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CAD6" w14:textId="14022926" w:rsidR="00D247EA" w:rsidRPr="00AD38DB" w:rsidRDefault="00D247EA" w:rsidP="0079518A">
      <w:pPr>
        <w:pBdr>
          <w:top w:val="single" w:sz="4" w:space="1" w:color="auto"/>
          <w:left w:val="single" w:sz="4" w:space="4" w:color="auto"/>
          <w:bottom w:val="single" w:sz="4" w:space="1" w:color="auto"/>
          <w:right w:val="single" w:sz="4" w:space="4" w:color="auto"/>
        </w:pBdr>
        <w:spacing w:after="0" w:line="276" w:lineRule="auto"/>
        <w:ind w:right="-330"/>
        <w:jc w:val="both"/>
        <w:rPr>
          <w:color w:val="1F3864" w:themeColor="accent5" w:themeShade="80"/>
          <w:shd w:val="clear" w:color="auto" w:fill="FFFFFF"/>
          <w14:ligatures w14:val="standardContextual"/>
        </w:rPr>
      </w:pPr>
      <w:r w:rsidRPr="00AD38DB">
        <w:rPr>
          <w:color w:val="1F3864" w:themeColor="accent5" w:themeShade="80"/>
          <w14:ligatures w14:val="standardContextual"/>
        </w:rPr>
        <w:t xml:space="preserve">CITE AS: Saha, A.K. and Khan, I. (2024). </w:t>
      </w:r>
      <w:r w:rsidRPr="00AD38DB">
        <w:rPr>
          <w:color w:val="1F3864" w:themeColor="accent5" w:themeShade="80"/>
          <w:shd w:val="clear" w:color="auto" w:fill="FFFFFF"/>
          <w14:ligatures w14:val="standardContextual"/>
        </w:rPr>
        <w:t>Regulatory influence, board characteristics and climate change disclosures: Evidence from environmentally sensitive firms in developing economy context</w:t>
      </w:r>
      <w:r w:rsidRPr="00AD38DB">
        <w:rPr>
          <w:color w:val="1F3864" w:themeColor="accent5" w:themeShade="80"/>
          <w14:ligatures w14:val="standardContextual"/>
        </w:rPr>
        <w:t>, </w:t>
      </w:r>
      <w:r w:rsidRPr="00AD38DB">
        <w:rPr>
          <w:color w:val="1F3864" w:themeColor="accent5" w:themeShade="80"/>
          <w:shd w:val="clear" w:color="auto" w:fill="FFFFFF"/>
          <w14:ligatures w14:val="standardContextual"/>
        </w:rPr>
        <w:t>Corporate Governance</w:t>
      </w:r>
      <w:r w:rsidRPr="00AD38DB">
        <w:rPr>
          <w:i/>
          <w:iCs/>
          <w:color w:val="1F3864" w:themeColor="accent5" w:themeShade="80"/>
          <w14:ligatures w14:val="standardContextual"/>
        </w:rPr>
        <w:t>, 00</w:t>
      </w:r>
      <w:r w:rsidRPr="00AD38DB">
        <w:rPr>
          <w:color w:val="1F3864" w:themeColor="accent5" w:themeShade="80"/>
          <w14:ligatures w14:val="standardContextual"/>
        </w:rPr>
        <w:t xml:space="preserve">(00), 00-00. </w:t>
      </w:r>
      <w:hyperlink r:id="rId8" w:history="1">
        <w:r w:rsidRPr="00AD38DB">
          <w:rPr>
            <w:rStyle w:val="Hyperlink"/>
            <w:color w:val="1F3864" w:themeColor="accent5" w:themeShade="80"/>
            <w14:ligatures w14:val="standardContextual"/>
          </w:rPr>
          <w:t>https://doi.org/</w:t>
        </w:r>
        <w:r w:rsidRPr="00AD38DB">
          <w:rPr>
            <w:rStyle w:val="Hyperlink"/>
            <w:color w:val="1F3864" w:themeColor="accent5" w:themeShade="80"/>
            <w:shd w:val="clear" w:color="auto" w:fill="FFFFFF"/>
            <w14:ligatures w14:val="standardContextual"/>
          </w:rPr>
          <w:t>10.1108/CG-06-2023-0262</w:t>
        </w:r>
      </w:hyperlink>
      <w:r w:rsidRPr="00AD38DB">
        <w:rPr>
          <w:color w:val="1F3864" w:themeColor="accent5" w:themeShade="80"/>
          <w14:ligatures w14:val="standardContextual"/>
        </w:rPr>
        <w:t>.</w:t>
      </w:r>
      <w:r w:rsidRPr="00AD38DB">
        <w:rPr>
          <w:color w:val="1F3864" w:themeColor="accent5" w:themeShade="80"/>
          <w:shd w:val="clear" w:color="auto" w:fill="FFFFFF"/>
          <w14:ligatures w14:val="standardContextual"/>
        </w:rPr>
        <w:t xml:space="preserve"> </w:t>
      </w:r>
    </w:p>
    <w:p w14:paraId="4704F694" w14:textId="77777777" w:rsidR="00AD38DB" w:rsidRDefault="00AD38DB" w:rsidP="00AD38DB">
      <w:pPr>
        <w:jc w:val="center"/>
        <w:rPr>
          <w:i/>
          <w:iCs/>
        </w:rPr>
      </w:pPr>
    </w:p>
    <w:p w14:paraId="14665D76" w14:textId="00FEB8D2" w:rsidR="00AD38DB" w:rsidRPr="00AD38DB" w:rsidRDefault="00AD38DB" w:rsidP="00AD38DB">
      <w:pPr>
        <w:jc w:val="center"/>
        <w:rPr>
          <w:i/>
          <w:iCs/>
          <w:color w:val="FF0000"/>
        </w:rPr>
      </w:pPr>
      <w:r w:rsidRPr="00AD38DB">
        <w:rPr>
          <w:i/>
          <w:iCs/>
          <w:color w:val="FF0000"/>
        </w:rPr>
        <w:t>Author Accepted Manuscript</w:t>
      </w:r>
    </w:p>
    <w:p w14:paraId="1D8DA77C" w14:textId="77777777" w:rsidR="00D247EA" w:rsidRPr="00AE77D4" w:rsidRDefault="00D247EA" w:rsidP="00AE77D4">
      <w:pPr>
        <w:spacing w:after="0" w:line="276" w:lineRule="auto"/>
        <w:ind w:right="-330"/>
        <w:jc w:val="both"/>
        <w:rPr>
          <w:shd w:val="clear" w:color="auto" w:fill="FFFFFF"/>
          <w14:ligatures w14:val="standardContextual"/>
        </w:rPr>
      </w:pPr>
    </w:p>
    <w:p w14:paraId="5C0E01EB" w14:textId="3EF02379" w:rsidR="002128C3" w:rsidRPr="00AE77D4" w:rsidRDefault="00661A05" w:rsidP="00AE77D4">
      <w:pPr>
        <w:spacing w:after="0" w:line="276" w:lineRule="auto"/>
        <w:ind w:right="-330"/>
        <w:jc w:val="both"/>
        <w:rPr>
          <w:rFonts w:ascii="Times New Roman" w:hAnsi="Times New Roman" w:cs="Times New Roman"/>
          <w:b/>
          <w:sz w:val="28"/>
          <w:szCs w:val="28"/>
          <w:lang w:val="en-GB"/>
        </w:rPr>
      </w:pPr>
      <w:r w:rsidRPr="00AE77D4">
        <w:rPr>
          <w:rFonts w:ascii="Times New Roman" w:hAnsi="Times New Roman" w:cs="Times New Roman"/>
          <w:b/>
          <w:sz w:val="28"/>
          <w:szCs w:val="28"/>
          <w:lang w:val="en-GB"/>
        </w:rPr>
        <w:t xml:space="preserve">Regulatory influence, board characteristics and climate change disclosures: Evidence from </w:t>
      </w:r>
      <w:r w:rsidRPr="00AE77D4">
        <w:rPr>
          <w:rFonts w:ascii="Times New Roman" w:hAnsi="Times New Roman" w:cs="Times New Roman"/>
          <w:b/>
          <w:noProof/>
          <w:sz w:val="28"/>
          <w:szCs w:val="28"/>
          <w:lang w:val="en-GB"/>
        </w:rPr>
        <w:t>environmentally sensitive firms</w:t>
      </w:r>
      <w:r w:rsidRPr="00AE77D4">
        <w:rPr>
          <w:rFonts w:ascii="Times New Roman" w:hAnsi="Times New Roman" w:cs="Times New Roman"/>
          <w:b/>
          <w:sz w:val="28"/>
          <w:szCs w:val="28"/>
          <w:lang w:val="en-GB"/>
        </w:rPr>
        <w:t xml:space="preserve"> in developing economy context</w:t>
      </w:r>
    </w:p>
    <w:p w14:paraId="55F793A6" w14:textId="77777777" w:rsidR="00B20C6C" w:rsidRDefault="00B20C6C" w:rsidP="00B20C6C">
      <w:pPr>
        <w:spacing w:after="0"/>
        <w:jc w:val="center"/>
        <w:rPr>
          <w:rFonts w:ascii="Times New Roman" w:hAnsi="Times New Roman" w:cs="Times New Roman"/>
          <w:sz w:val="24"/>
          <w:szCs w:val="24"/>
        </w:rPr>
      </w:pPr>
    </w:p>
    <w:p w14:paraId="3B355582" w14:textId="77777777" w:rsidR="00247ED2" w:rsidRDefault="00247ED2" w:rsidP="00B20C6C">
      <w:pPr>
        <w:spacing w:after="0"/>
        <w:rPr>
          <w:rFonts w:ascii="Times New Roman" w:hAnsi="Times New Roman" w:cs="Times New Roman"/>
          <w:sz w:val="24"/>
          <w:szCs w:val="24"/>
        </w:rPr>
      </w:pPr>
    </w:p>
    <w:p w14:paraId="35BB8A5B" w14:textId="0B865346" w:rsidR="00B20C6C" w:rsidRPr="00A05271" w:rsidRDefault="00B20C6C" w:rsidP="00B20C6C">
      <w:pPr>
        <w:spacing w:after="0"/>
        <w:rPr>
          <w:rFonts w:ascii="Times New Roman" w:hAnsi="Times New Roman" w:cs="Times New Roman"/>
          <w:sz w:val="24"/>
          <w:szCs w:val="24"/>
        </w:rPr>
      </w:pPr>
      <w:r w:rsidRPr="00A05271">
        <w:rPr>
          <w:rFonts w:ascii="Times New Roman" w:hAnsi="Times New Roman" w:cs="Times New Roman"/>
          <w:sz w:val="24"/>
          <w:szCs w:val="24"/>
        </w:rPr>
        <w:t>Anup Kumar Saha</w:t>
      </w:r>
    </w:p>
    <w:p w14:paraId="76B7886B" w14:textId="77777777" w:rsidR="00B20C6C" w:rsidRPr="00A05271" w:rsidRDefault="00B20C6C" w:rsidP="00B20C6C">
      <w:pPr>
        <w:spacing w:after="0"/>
        <w:rPr>
          <w:rFonts w:ascii="Times New Roman" w:hAnsi="Times New Roman" w:cs="Times New Roman"/>
          <w:sz w:val="24"/>
          <w:szCs w:val="24"/>
          <w:shd w:val="clear" w:color="auto" w:fill="FFFFFF"/>
        </w:rPr>
      </w:pPr>
      <w:r w:rsidRPr="00A05271">
        <w:rPr>
          <w:rFonts w:ascii="Times New Roman" w:hAnsi="Times New Roman" w:cs="Times New Roman"/>
          <w:sz w:val="24"/>
          <w:szCs w:val="24"/>
          <w:shd w:val="clear" w:color="auto" w:fill="FFFFFF"/>
        </w:rPr>
        <w:t>Keele Business School, Keele University, Staffordshire, United Kingdom.</w:t>
      </w:r>
    </w:p>
    <w:p w14:paraId="79F95605" w14:textId="77777777" w:rsidR="00B20C6C" w:rsidRPr="00A05271" w:rsidRDefault="00B20C6C" w:rsidP="00B20C6C">
      <w:pPr>
        <w:spacing w:after="0"/>
        <w:rPr>
          <w:rFonts w:ascii="Times New Roman" w:hAnsi="Times New Roman" w:cs="Times New Roman"/>
          <w:sz w:val="24"/>
          <w:szCs w:val="24"/>
          <w:shd w:val="clear" w:color="auto" w:fill="FFFFFF"/>
        </w:rPr>
      </w:pPr>
      <w:r w:rsidRPr="00A05271">
        <w:rPr>
          <w:rFonts w:ascii="Times New Roman" w:hAnsi="Times New Roman" w:cs="Times New Roman"/>
          <w:sz w:val="24"/>
          <w:szCs w:val="24"/>
          <w:shd w:val="clear" w:color="auto" w:fill="FFFFFF"/>
        </w:rPr>
        <w:t>Department of Accounting &amp; Information Systems, University of Dhaka, Bangladesh</w:t>
      </w:r>
    </w:p>
    <w:p w14:paraId="6D660669" w14:textId="77777777" w:rsidR="00B20C6C" w:rsidRPr="00A05271" w:rsidRDefault="00000000" w:rsidP="00B20C6C">
      <w:pPr>
        <w:rPr>
          <w:rFonts w:ascii="Times New Roman" w:hAnsi="Times New Roman" w:cs="Times New Roman"/>
          <w:sz w:val="24"/>
          <w:szCs w:val="24"/>
          <w:shd w:val="clear" w:color="auto" w:fill="FFFFFF"/>
        </w:rPr>
      </w:pPr>
      <w:hyperlink r:id="rId9" w:history="1">
        <w:r w:rsidR="00B20C6C" w:rsidRPr="00A05271">
          <w:rPr>
            <w:rStyle w:val="Hyperlink"/>
            <w:rFonts w:ascii="Times New Roman" w:hAnsi="Times New Roman" w:cs="Times New Roman"/>
            <w:sz w:val="24"/>
            <w:szCs w:val="24"/>
            <w:shd w:val="clear" w:color="auto" w:fill="FFFFFF"/>
          </w:rPr>
          <w:t>a.saha1@keele.ac.uk</w:t>
        </w:r>
      </w:hyperlink>
    </w:p>
    <w:p w14:paraId="7E10C913" w14:textId="77777777" w:rsidR="00B20C6C" w:rsidRPr="00A05271" w:rsidRDefault="00B20C6C" w:rsidP="00B20C6C">
      <w:pPr>
        <w:spacing w:after="0"/>
        <w:rPr>
          <w:rFonts w:ascii="Times New Roman" w:hAnsi="Times New Roman" w:cs="Times New Roman"/>
          <w:sz w:val="24"/>
          <w:szCs w:val="24"/>
          <w:shd w:val="clear" w:color="auto" w:fill="FFFFFF"/>
        </w:rPr>
      </w:pPr>
      <w:r w:rsidRPr="00A05271">
        <w:rPr>
          <w:rFonts w:ascii="Times New Roman" w:hAnsi="Times New Roman" w:cs="Times New Roman"/>
          <w:sz w:val="24"/>
          <w:szCs w:val="24"/>
          <w:shd w:val="clear" w:color="auto" w:fill="FFFFFF"/>
        </w:rPr>
        <w:t>Imran Khan</w:t>
      </w:r>
    </w:p>
    <w:p w14:paraId="64FEE37F" w14:textId="77777777" w:rsidR="00B20C6C" w:rsidRPr="00A05271" w:rsidRDefault="00B20C6C" w:rsidP="00B20C6C">
      <w:pPr>
        <w:spacing w:after="0"/>
        <w:rPr>
          <w:rFonts w:ascii="Times New Roman" w:hAnsi="Times New Roman" w:cs="Times New Roman"/>
          <w:sz w:val="24"/>
          <w:szCs w:val="24"/>
        </w:rPr>
      </w:pPr>
      <w:r w:rsidRPr="00A05271">
        <w:rPr>
          <w:rFonts w:ascii="Times New Roman" w:hAnsi="Times New Roman" w:cs="Times New Roman"/>
          <w:sz w:val="24"/>
          <w:szCs w:val="24"/>
          <w:shd w:val="clear" w:color="auto" w:fill="FFFFFF"/>
        </w:rPr>
        <w:t xml:space="preserve">Department of Business Administration, Hamdard University Bangladesh, </w:t>
      </w:r>
      <w:r w:rsidRPr="00A05271">
        <w:rPr>
          <w:rFonts w:ascii="Times New Roman" w:hAnsi="Times New Roman" w:cs="Times New Roman"/>
          <w:sz w:val="24"/>
          <w:szCs w:val="24"/>
        </w:rPr>
        <w:t>Bangladesh.</w:t>
      </w:r>
    </w:p>
    <w:p w14:paraId="0771616A" w14:textId="5F38301A" w:rsidR="00B20C6C" w:rsidRPr="00B20C6C" w:rsidRDefault="00000000" w:rsidP="00B20C6C">
      <w:pPr>
        <w:rPr>
          <w:rFonts w:ascii="Times New Roman" w:hAnsi="Times New Roman" w:cs="Times New Roman"/>
          <w:sz w:val="24"/>
          <w:szCs w:val="24"/>
          <w:u w:val="single"/>
          <w:shd w:val="clear" w:color="auto" w:fill="FFFFFF"/>
        </w:rPr>
      </w:pPr>
      <w:hyperlink r:id="rId10" w:history="1">
        <w:r w:rsidR="00B20C6C" w:rsidRPr="00A05271">
          <w:rPr>
            <w:rStyle w:val="Hyperlink"/>
            <w:rFonts w:ascii="Times New Roman" w:hAnsi="Times New Roman" w:cs="Times New Roman"/>
            <w:sz w:val="24"/>
            <w:szCs w:val="24"/>
            <w:shd w:val="clear" w:color="auto" w:fill="FFFFFF"/>
          </w:rPr>
          <w:t>ikimran05@gmail.com</w:t>
        </w:r>
      </w:hyperlink>
    </w:p>
    <w:p w14:paraId="7960A427" w14:textId="77777777" w:rsidR="00247ED2" w:rsidRDefault="00247ED2" w:rsidP="00AE77D4">
      <w:pPr>
        <w:autoSpaceDE w:val="0"/>
        <w:autoSpaceDN w:val="0"/>
        <w:adjustRightInd w:val="0"/>
        <w:spacing w:before="240" w:line="276" w:lineRule="auto"/>
        <w:jc w:val="both"/>
        <w:rPr>
          <w:rFonts w:ascii="Times New Roman" w:hAnsi="Times New Roman" w:cs="Times New Roman"/>
          <w:b/>
          <w:sz w:val="24"/>
          <w:szCs w:val="24"/>
          <w:lang w:val="en-GB"/>
        </w:rPr>
      </w:pPr>
    </w:p>
    <w:p w14:paraId="3801058C" w14:textId="2502D98C" w:rsidR="00C708E3" w:rsidRPr="00AE77D4" w:rsidRDefault="00661A05" w:rsidP="00AE77D4">
      <w:pPr>
        <w:autoSpaceDE w:val="0"/>
        <w:autoSpaceDN w:val="0"/>
        <w:adjustRightInd w:val="0"/>
        <w:spacing w:before="240"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Abstract</w:t>
      </w:r>
    </w:p>
    <w:p w14:paraId="180B6012" w14:textId="15E32D97" w:rsidR="00C708E3" w:rsidRPr="00AE77D4" w:rsidRDefault="00661A05" w:rsidP="00AE77D4">
      <w:pPr>
        <w:autoSpaceDE w:val="0"/>
        <w:autoSpaceDN w:val="0"/>
        <w:adjustRightInd w:val="0"/>
        <w:spacing w:line="276" w:lineRule="auto"/>
        <w:jc w:val="both"/>
        <w:rPr>
          <w:rFonts w:ascii="Times New Roman" w:hAnsi="Times New Roman" w:cs="Times New Roman"/>
          <w:iCs/>
          <w:sz w:val="24"/>
          <w:szCs w:val="24"/>
          <w:lang w:val="en-GB"/>
        </w:rPr>
      </w:pPr>
      <w:r w:rsidRPr="00AE77D4">
        <w:rPr>
          <w:rFonts w:ascii="Times New Roman" w:hAnsi="Times New Roman" w:cs="Times New Roman"/>
          <w:b/>
          <w:bCs/>
          <w:sz w:val="24"/>
          <w:szCs w:val="24"/>
          <w:lang w:val="en-GB"/>
        </w:rPr>
        <w:t>Purpose</w:t>
      </w:r>
      <w:r w:rsidR="00474ED2" w:rsidRPr="00AE77D4">
        <w:rPr>
          <w:rFonts w:ascii="Times New Roman" w:hAnsi="Times New Roman" w:cs="Times New Roman"/>
          <w:b/>
          <w:bCs/>
          <w:sz w:val="24"/>
          <w:szCs w:val="24"/>
          <w:lang w:val="en-GB"/>
        </w:rPr>
        <w:t xml:space="preserve">- </w:t>
      </w:r>
      <w:r w:rsidR="00546FB1" w:rsidRPr="00AE77D4">
        <w:rPr>
          <w:rFonts w:ascii="Times New Roman" w:hAnsi="Times New Roman" w:cs="Times New Roman"/>
          <w:iCs/>
          <w:sz w:val="24"/>
          <w:szCs w:val="24"/>
          <w:lang w:val="en-GB"/>
        </w:rPr>
        <w:t>This study examines the impact of board characteristics on climate change disclosures (CCD) in the context of an emerging economy, with a unique focus on regulatory influences.</w:t>
      </w:r>
    </w:p>
    <w:p w14:paraId="46743426" w14:textId="430B6506" w:rsidR="00C708E3"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b/>
          <w:bCs/>
          <w:iCs/>
          <w:sz w:val="24"/>
          <w:szCs w:val="24"/>
          <w:lang w:val="en-GB"/>
        </w:rPr>
        <w:t>Design/methodology/approach</w:t>
      </w:r>
      <w:r w:rsidR="00474ED2" w:rsidRPr="00AE77D4">
        <w:rPr>
          <w:rFonts w:ascii="Times New Roman" w:hAnsi="Times New Roman" w:cs="Times New Roman"/>
          <w:b/>
          <w:bCs/>
          <w:iCs/>
          <w:sz w:val="24"/>
          <w:szCs w:val="24"/>
          <w:lang w:val="en-GB"/>
        </w:rPr>
        <w:t xml:space="preserve">- </w:t>
      </w:r>
      <w:r w:rsidR="00546FB1" w:rsidRPr="00AE77D4">
        <w:rPr>
          <w:rFonts w:ascii="Times New Roman" w:hAnsi="Times New Roman" w:cs="Times New Roman"/>
          <w:sz w:val="24"/>
          <w:szCs w:val="24"/>
          <w:lang w:val="en-GB"/>
        </w:rPr>
        <w:t>This study analyzes longitudinal data (2014-2021) from environmentally sensitive firms listed on the Dhaka Stock Exchange (DSE), utilizing a disclosure index developed within the Global Reporting Initiative (GRI) framework. The authors employ a neo-institutional theoretical lens to explore regulatory influences on CCD through board characteristics. This study utilizes hand-collected data from annual reports owing to the absence of an established database.</w:t>
      </w:r>
    </w:p>
    <w:p w14:paraId="1B40FC13" w14:textId="6CFF35EA" w:rsidR="00C708E3"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b/>
          <w:bCs/>
          <w:sz w:val="24"/>
          <w:szCs w:val="24"/>
          <w:lang w:val="en-GB"/>
        </w:rPr>
        <w:t>Findings</w:t>
      </w:r>
      <w:r w:rsidR="00474ED2" w:rsidRPr="00AE77D4">
        <w:rPr>
          <w:rFonts w:ascii="Times New Roman" w:hAnsi="Times New Roman" w:cs="Times New Roman"/>
          <w:sz w:val="24"/>
          <w:szCs w:val="24"/>
          <w:lang w:val="en-GB"/>
        </w:rPr>
        <w:t>–</w:t>
      </w:r>
      <w:r w:rsidRPr="00AE77D4">
        <w:rPr>
          <w:rFonts w:ascii="Times New Roman" w:eastAsia="Calibri" w:hAnsi="Times New Roman" w:cs="Times New Roman"/>
          <w:sz w:val="24"/>
          <w:szCs w:val="24"/>
          <w:lang w:val="en-GB"/>
        </w:rPr>
        <w:t xml:space="preserve">The </w:t>
      </w:r>
      <w:r w:rsidR="00546FB1" w:rsidRPr="00AE77D4">
        <w:rPr>
          <w:rFonts w:ascii="Times New Roman" w:hAnsi="Times New Roman" w:cs="Times New Roman"/>
          <w:sz w:val="24"/>
          <w:szCs w:val="24"/>
          <w:lang w:val="en-GB"/>
        </w:rPr>
        <w:t xml:space="preserve">results indicate that </w:t>
      </w:r>
      <w:r w:rsidRPr="00AE77D4">
        <w:rPr>
          <w:rFonts w:ascii="Times New Roman" w:eastAsia="Calibri" w:hAnsi="Times New Roman" w:cs="Times New Roman"/>
          <w:sz w:val="24"/>
          <w:szCs w:val="24"/>
          <w:lang w:val="en-GB"/>
        </w:rPr>
        <w:t xml:space="preserve">a </w:t>
      </w:r>
      <w:r w:rsidR="00731FDC" w:rsidRPr="00AE77D4">
        <w:rPr>
          <w:rFonts w:ascii="Times New Roman" w:hAnsi="Times New Roman" w:cs="Times New Roman"/>
          <w:sz w:val="24"/>
          <w:szCs w:val="24"/>
          <w:lang w:val="en-GB"/>
        </w:rPr>
        <w:t>larger board</w:t>
      </w:r>
      <w:r w:rsidR="00546FB1" w:rsidRPr="00AE77D4">
        <w:rPr>
          <w:rFonts w:ascii="Times New Roman" w:hAnsi="Times New Roman" w:cs="Times New Roman"/>
          <w:sz w:val="24"/>
          <w:szCs w:val="24"/>
          <w:lang w:val="en-GB"/>
        </w:rPr>
        <w:t xml:space="preserve"> size, the presence of foreign directors, and the existence of an audit committee correlate with higher levels of CCD disclosure. Conversely, a higher frequency of board meetings is associated with lower CCD disclosure</w:t>
      </w:r>
      <w:r w:rsidRPr="00AE77D4">
        <w:rPr>
          <w:rFonts w:ascii="Times New Roman" w:eastAsia="Calibri" w:hAnsi="Times New Roman" w:cs="Times New Roman"/>
          <w:sz w:val="24"/>
          <w:szCs w:val="24"/>
          <w:lang w:val="en-GB"/>
        </w:rPr>
        <w:t xml:space="preserve"> levels. The study also observe</w:t>
      </w:r>
      <w:r w:rsidR="00546FB1" w:rsidRPr="00AE77D4">
        <w:rPr>
          <w:rFonts w:ascii="Times New Roman" w:hAnsi="Times New Roman" w:cs="Times New Roman"/>
          <w:sz w:val="24"/>
          <w:szCs w:val="24"/>
          <w:lang w:val="en-GB"/>
        </w:rPr>
        <w:t>d an increase in CCD following the implementation of corporate governance guidelines by the Bangladesh Securities and Exchange Commission, albeit with a relatively low number of firms making these disclosures.</w:t>
      </w:r>
    </w:p>
    <w:p w14:paraId="0E9F04B6" w14:textId="22C18AEC" w:rsidR="00C708E3"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b/>
          <w:bCs/>
          <w:sz w:val="24"/>
          <w:szCs w:val="24"/>
          <w:lang w:val="en-GB"/>
        </w:rPr>
        <w:t>Research limitations/implications</w:t>
      </w:r>
      <w:r w:rsidR="00474ED2" w:rsidRPr="00AE77D4">
        <w:rPr>
          <w:rFonts w:ascii="Times New Roman" w:hAnsi="Times New Roman" w:cs="Times New Roman"/>
          <w:sz w:val="24"/>
          <w:szCs w:val="24"/>
          <w:lang w:val="en-GB"/>
        </w:rPr>
        <w:t xml:space="preserve">- </w:t>
      </w:r>
      <w:r w:rsidR="00546FB1" w:rsidRPr="00AE77D4">
        <w:rPr>
          <w:rFonts w:ascii="Times New Roman" w:hAnsi="Times New Roman" w:cs="Times New Roman"/>
          <w:sz w:val="24"/>
          <w:szCs w:val="24"/>
          <w:lang w:val="en-GB"/>
        </w:rPr>
        <w:t xml:space="preserve">This study contributes to </w:t>
      </w:r>
      <w:r w:rsidRPr="00AE77D4">
        <w:rPr>
          <w:rFonts w:ascii="Times New Roman" w:eastAsia="Calibri" w:hAnsi="Times New Roman" w:cs="Times New Roman"/>
          <w:sz w:val="24"/>
          <w:szCs w:val="24"/>
          <w:lang w:val="en-GB"/>
        </w:rPr>
        <w:t xml:space="preserve">the climate change reporting literature by providing empirical evidence of regulatory influences on CCD through board characteristics in an emerging economy. However, the findings may not be universally applicable, considering the study's focus on </w:t>
      </w:r>
      <w:r w:rsidR="003E6392" w:rsidRPr="00AE77D4">
        <w:rPr>
          <w:rFonts w:ascii="Times New Roman" w:hAnsi="Times New Roman" w:cs="Times New Roman"/>
          <w:sz w:val="24"/>
          <w:szCs w:val="24"/>
          <w:lang w:val="en-GB"/>
        </w:rPr>
        <w:t>Bangladeshi listed</w:t>
      </w:r>
      <w:r w:rsidR="00546FB1" w:rsidRPr="00AE77D4">
        <w:rPr>
          <w:rFonts w:ascii="Times New Roman" w:hAnsi="Times New Roman" w:cs="Times New Roman"/>
          <w:sz w:val="24"/>
          <w:szCs w:val="24"/>
          <w:lang w:val="en-GB"/>
        </w:rPr>
        <w:t xml:space="preserve"> firms.</w:t>
      </w:r>
    </w:p>
    <w:p w14:paraId="35A2458A" w14:textId="011628BF" w:rsidR="00C708E3" w:rsidRPr="00AE77D4" w:rsidRDefault="00661A05" w:rsidP="00AE77D4">
      <w:pPr>
        <w:spacing w:line="276" w:lineRule="auto"/>
        <w:jc w:val="both"/>
        <w:rPr>
          <w:rFonts w:ascii="Times New Roman" w:hAnsi="Times New Roman" w:cs="Times New Roman"/>
          <w:b/>
          <w:bCs/>
          <w:iCs/>
          <w:sz w:val="24"/>
          <w:szCs w:val="24"/>
          <w:lang w:val="en-GB"/>
        </w:rPr>
      </w:pPr>
      <w:r w:rsidRPr="00AE77D4">
        <w:rPr>
          <w:rFonts w:ascii="Times New Roman" w:hAnsi="Times New Roman" w:cs="Times New Roman"/>
          <w:b/>
          <w:bCs/>
          <w:sz w:val="24"/>
          <w:szCs w:val="24"/>
          <w:lang w:val="en-GB"/>
        </w:rPr>
        <w:lastRenderedPageBreak/>
        <w:t>Practical Implications</w:t>
      </w:r>
      <w:r w:rsidR="00474ED2" w:rsidRPr="00AE77D4">
        <w:rPr>
          <w:rFonts w:ascii="Times New Roman" w:hAnsi="Times New Roman" w:cs="Times New Roman"/>
          <w:b/>
          <w:bCs/>
          <w:sz w:val="24"/>
          <w:szCs w:val="24"/>
          <w:lang w:val="en-GB"/>
        </w:rPr>
        <w:t xml:space="preserve">- </w:t>
      </w:r>
      <w:r w:rsidR="00546FB1" w:rsidRPr="00AE77D4">
        <w:rPr>
          <w:rFonts w:ascii="Times New Roman" w:hAnsi="Times New Roman" w:cs="Times New Roman"/>
          <w:sz w:val="24"/>
          <w:szCs w:val="24"/>
          <w:lang w:val="en-GB"/>
        </w:rPr>
        <w:t>This study suggests growing pressures for diverse stakeholders, including researchers and regulatory bodies, to integrate climate change disclosure into routine activities. This study offers valuable framework and insights for various stakeholders.</w:t>
      </w:r>
    </w:p>
    <w:p w14:paraId="36A815E2" w14:textId="4A25DCF6" w:rsidR="00C708E3"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b/>
          <w:bCs/>
          <w:iCs/>
          <w:sz w:val="24"/>
          <w:szCs w:val="24"/>
          <w:lang w:val="en-GB"/>
        </w:rPr>
        <w:t>Social implications</w:t>
      </w:r>
      <w:r w:rsidR="00474ED2" w:rsidRPr="00AE77D4">
        <w:rPr>
          <w:rFonts w:ascii="Times New Roman" w:hAnsi="Times New Roman" w:cs="Times New Roman"/>
          <w:b/>
          <w:bCs/>
          <w:iCs/>
          <w:sz w:val="24"/>
          <w:szCs w:val="24"/>
          <w:lang w:val="en-GB"/>
        </w:rPr>
        <w:t xml:space="preserve">- </w:t>
      </w:r>
      <w:r w:rsidR="00546FB1" w:rsidRPr="00AE77D4">
        <w:rPr>
          <w:rFonts w:ascii="Times New Roman" w:hAnsi="Times New Roman" w:cs="Times New Roman"/>
          <w:iCs/>
          <w:sz w:val="24"/>
          <w:szCs w:val="24"/>
          <w:lang w:val="en-GB"/>
        </w:rPr>
        <w:t>By emphasizing the influence of good governance and sustainability practices, this study contributes to stakeholders' understanding, aiming to contribute to a better world.</w:t>
      </w:r>
    </w:p>
    <w:p w14:paraId="45F584A1" w14:textId="0817BFBB" w:rsidR="00C708E3"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bCs/>
          <w:iCs/>
          <w:sz w:val="24"/>
          <w:szCs w:val="24"/>
          <w:lang w:val="en-GB"/>
        </w:rPr>
        <w:t>Originality/value</w:t>
      </w:r>
      <w:r w:rsidR="00474ED2" w:rsidRPr="00AE77D4">
        <w:rPr>
          <w:rFonts w:ascii="Times New Roman" w:hAnsi="Times New Roman" w:cs="Times New Roman"/>
          <w:b/>
          <w:bCs/>
          <w:iCs/>
          <w:sz w:val="24"/>
          <w:szCs w:val="24"/>
          <w:lang w:val="en-GB"/>
        </w:rPr>
        <w:t xml:space="preserve">- </w:t>
      </w:r>
      <w:r w:rsidR="00546FB1" w:rsidRPr="00AE77D4">
        <w:rPr>
          <w:rFonts w:ascii="Times New Roman" w:hAnsi="Times New Roman" w:cs="Times New Roman"/>
          <w:sz w:val="24"/>
          <w:szCs w:val="24"/>
          <w:lang w:val="en-GB"/>
        </w:rPr>
        <w:t>This study stands out by uniquely positioning itself in the climate change reporting literature, shedding light on regulatory influences on CCD through board characteristics in the context of an emerging economy.</w:t>
      </w:r>
    </w:p>
    <w:p w14:paraId="76EDDD77" w14:textId="77777777" w:rsidR="00C708E3"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b/>
          <w:sz w:val="24"/>
          <w:szCs w:val="24"/>
          <w:lang w:val="en-GB"/>
        </w:rPr>
        <w:t xml:space="preserve">Keywords </w:t>
      </w:r>
      <w:r w:rsidRPr="00AE77D4">
        <w:rPr>
          <w:rFonts w:ascii="Times New Roman" w:hAnsi="Times New Roman" w:cs="Times New Roman"/>
          <w:sz w:val="24"/>
          <w:szCs w:val="24"/>
          <w:lang w:val="en-GB"/>
        </w:rPr>
        <w:t xml:space="preserve">Climate change disclosure, corporate governance, board </w:t>
      </w:r>
      <w:r w:rsidRPr="00AE77D4">
        <w:rPr>
          <w:rFonts w:ascii="Times New Roman" w:hAnsi="Times New Roman" w:cs="Times New Roman"/>
          <w:bCs/>
          <w:sz w:val="24"/>
          <w:szCs w:val="24"/>
          <w:lang w:val="en-GB"/>
        </w:rPr>
        <w:t>characteristics</w:t>
      </w:r>
      <w:r w:rsidRPr="00AE77D4">
        <w:rPr>
          <w:rFonts w:ascii="Times New Roman" w:hAnsi="Times New Roman" w:cs="Times New Roman"/>
          <w:sz w:val="24"/>
          <w:szCs w:val="24"/>
          <w:lang w:val="en-GB"/>
        </w:rPr>
        <w:t>, regulatory influence, neo-institutional theory</w:t>
      </w:r>
    </w:p>
    <w:p w14:paraId="2EAFA2FB" w14:textId="77777777" w:rsidR="00E05134" w:rsidRDefault="00E05134" w:rsidP="00AE77D4">
      <w:pPr>
        <w:spacing w:line="276" w:lineRule="auto"/>
        <w:jc w:val="both"/>
        <w:rPr>
          <w:rFonts w:ascii="Times New Roman" w:hAnsi="Times New Roman" w:cs="Times New Roman"/>
          <w:sz w:val="24"/>
          <w:szCs w:val="24"/>
          <w:lang w:val="en-GB"/>
        </w:rPr>
      </w:pPr>
    </w:p>
    <w:p w14:paraId="49C48479" w14:textId="0779759C" w:rsidR="00CC27C8" w:rsidRPr="00CC27C8" w:rsidRDefault="00E05134" w:rsidP="00CC27C8">
      <w:pPr>
        <w:jc w:val="both"/>
        <w:rPr>
          <w:rFonts w:cstheme="minorHAnsi"/>
          <w:color w:val="000000" w:themeColor="text1"/>
        </w:rPr>
      </w:pPr>
      <w:r w:rsidRPr="00CC27C8">
        <w:rPr>
          <w:rFonts w:eastAsia="Times New Roman" w:cstheme="minorHAnsi"/>
          <w:b/>
          <w:bCs/>
          <w:i/>
          <w:iCs/>
          <w:lang w:bidi="bn-BD"/>
        </w:rPr>
        <w:t xml:space="preserve">Acknowledgement </w:t>
      </w:r>
      <w:r w:rsidRPr="00CC27C8">
        <w:rPr>
          <w:rFonts w:eastAsia="Times New Roman" w:cstheme="minorHAnsi"/>
          <w:b/>
          <w:bCs/>
          <w:lang w:bidi="bn-BD"/>
        </w:rPr>
        <w:t>–</w:t>
      </w:r>
      <w:r w:rsidR="0042547D">
        <w:rPr>
          <w:rFonts w:eastAsia="Times New Roman" w:cstheme="minorHAnsi"/>
          <w:b/>
          <w:bCs/>
          <w:lang w:bidi="bn-BD"/>
        </w:rPr>
        <w:t xml:space="preserve"> </w:t>
      </w:r>
      <w:r w:rsidR="0042547D" w:rsidRPr="0042547D">
        <w:rPr>
          <w:rFonts w:eastAsia="Times New Roman" w:cstheme="minorHAnsi"/>
          <w:lang w:bidi="bn-BD"/>
        </w:rPr>
        <w:t>Authors</w:t>
      </w:r>
      <w:r w:rsidR="00CC27C8" w:rsidRPr="0042547D">
        <w:rPr>
          <w:rFonts w:cstheme="minorHAnsi"/>
          <w:color w:val="000000" w:themeColor="text1"/>
        </w:rPr>
        <w:t xml:space="preserve"> appreciate</w:t>
      </w:r>
      <w:r w:rsidR="00CC27C8" w:rsidRPr="00CC27C8">
        <w:rPr>
          <w:rFonts w:cstheme="minorHAnsi"/>
          <w:color w:val="000000" w:themeColor="text1"/>
        </w:rPr>
        <w:t xml:space="preserve"> Stuart Cooper, Giovanna Michelon, Charles Cho and other participants of the 1st Accountability Sustainability and Governance Workshop for their helpful comments on an earlier version of this research paper. </w:t>
      </w:r>
      <w:r w:rsidR="0042547D" w:rsidRPr="00CC27C8">
        <w:rPr>
          <w:rFonts w:cstheme="minorHAnsi"/>
          <w:color w:val="000000" w:themeColor="text1"/>
        </w:rPr>
        <w:t>In addition,</w:t>
      </w:r>
      <w:r w:rsidR="0042547D">
        <w:rPr>
          <w:rFonts w:cstheme="minorHAnsi"/>
          <w:color w:val="000000" w:themeColor="text1"/>
        </w:rPr>
        <w:t xml:space="preserve"> </w:t>
      </w:r>
      <w:r w:rsidR="0042547D">
        <w:rPr>
          <w:rFonts w:eastAsia="Calibri" w:cstheme="minorHAnsi"/>
        </w:rPr>
        <w:t>we</w:t>
      </w:r>
      <w:r w:rsidR="0042547D" w:rsidRPr="00CC27C8">
        <w:rPr>
          <w:rFonts w:eastAsia="Calibri" w:cstheme="minorHAnsi"/>
        </w:rPr>
        <w:t xml:space="preserve"> acknowledge all comments received from colleagues, anonymous </w:t>
      </w:r>
      <w:r w:rsidR="009271F2" w:rsidRPr="00CC27C8">
        <w:rPr>
          <w:rFonts w:eastAsia="Calibri" w:cstheme="minorHAnsi"/>
        </w:rPr>
        <w:t>reviewers,</w:t>
      </w:r>
      <w:r w:rsidR="0042547D" w:rsidRPr="00CC27C8">
        <w:rPr>
          <w:rFonts w:eastAsia="Calibri" w:cstheme="minorHAnsi"/>
        </w:rPr>
        <w:t xml:space="preserve"> and the editor on earlier drafts of this paper to improve its quality. </w:t>
      </w:r>
    </w:p>
    <w:p w14:paraId="52327432" w14:textId="5BC40A77" w:rsidR="00E05134" w:rsidRPr="003F1B18" w:rsidRDefault="00E05134" w:rsidP="00E05134">
      <w:pPr>
        <w:jc w:val="both"/>
        <w:rPr>
          <w:rFonts w:eastAsia="Calibri" w:cstheme="minorHAnsi"/>
        </w:rPr>
      </w:pPr>
      <w:r w:rsidRPr="003F1B18">
        <w:rPr>
          <w:rFonts w:eastAsia="Times New Roman" w:cstheme="minorHAnsi"/>
          <w:b/>
          <w:bCs/>
          <w:i/>
          <w:iCs/>
          <w:lang w:bidi="bn-BD"/>
        </w:rPr>
        <w:t xml:space="preserve">Funding information </w:t>
      </w:r>
      <w:r w:rsidRPr="003F1B18">
        <w:rPr>
          <w:rFonts w:eastAsia="Times New Roman" w:cstheme="minorHAnsi"/>
          <w:b/>
          <w:bCs/>
          <w:lang w:bidi="bn-BD"/>
        </w:rPr>
        <w:t>–</w:t>
      </w:r>
      <w:r w:rsidR="00CC27C8">
        <w:rPr>
          <w:rFonts w:eastAsia="Calibri" w:cstheme="minorHAnsi"/>
        </w:rPr>
        <w:t xml:space="preserve"> </w:t>
      </w:r>
      <w:r w:rsidR="00CC27C8" w:rsidRPr="00CC27C8">
        <w:rPr>
          <w:rFonts w:eastAsia="Calibri" w:cstheme="minorHAnsi"/>
        </w:rPr>
        <w:t>Authors acknowledge the generous support from Keele Business School Faculty Research Fund</w:t>
      </w:r>
      <w:r w:rsidR="00CC27C8">
        <w:rPr>
          <w:rFonts w:eastAsia="Calibri" w:cstheme="minorHAnsi"/>
        </w:rPr>
        <w:t xml:space="preserve"> 2022-23</w:t>
      </w:r>
      <w:r w:rsidR="00CC27C8" w:rsidRPr="00CC27C8">
        <w:rPr>
          <w:rFonts w:eastAsia="Calibri" w:cstheme="minorHAnsi"/>
        </w:rPr>
        <w:t xml:space="preserve"> for this research project.</w:t>
      </w:r>
    </w:p>
    <w:p w14:paraId="74A081EB" w14:textId="77777777" w:rsidR="00E05134" w:rsidRPr="003F1B18" w:rsidRDefault="00E05134" w:rsidP="00E05134">
      <w:pPr>
        <w:jc w:val="both"/>
        <w:rPr>
          <w:rFonts w:eastAsia="Times New Roman" w:cstheme="minorHAnsi"/>
          <w:lang w:bidi="bn-BD"/>
        </w:rPr>
      </w:pPr>
      <w:r w:rsidRPr="003F1B18">
        <w:rPr>
          <w:rFonts w:eastAsia="Times New Roman" w:cstheme="minorHAnsi"/>
          <w:b/>
          <w:bCs/>
          <w:i/>
          <w:iCs/>
          <w:lang w:bidi="bn-BD"/>
        </w:rPr>
        <w:t>Conflicts of interest -</w:t>
      </w:r>
      <w:r w:rsidRPr="003F1B18">
        <w:rPr>
          <w:rFonts w:eastAsia="Times New Roman" w:cstheme="minorHAnsi"/>
          <w:i/>
          <w:iCs/>
          <w:lang w:bidi="bn-BD"/>
        </w:rPr>
        <w:t xml:space="preserve"> </w:t>
      </w:r>
      <w:r w:rsidRPr="003F1B18">
        <w:rPr>
          <w:rFonts w:eastAsia="Times New Roman" w:cstheme="minorHAnsi"/>
          <w:lang w:bidi="bn-BD"/>
        </w:rPr>
        <w:t>The authors declare no conflict of interest.</w:t>
      </w:r>
    </w:p>
    <w:p w14:paraId="61D5346F" w14:textId="77777777" w:rsidR="00546FB1" w:rsidRPr="00AE77D4" w:rsidRDefault="00546FB1" w:rsidP="00AE77D4">
      <w:pPr>
        <w:spacing w:line="276" w:lineRule="auto"/>
        <w:jc w:val="both"/>
        <w:rPr>
          <w:rFonts w:ascii="Times New Roman" w:hAnsi="Times New Roman" w:cs="Times New Roman"/>
          <w:sz w:val="24"/>
          <w:szCs w:val="24"/>
          <w:lang w:val="en-GB"/>
        </w:rPr>
      </w:pPr>
    </w:p>
    <w:p w14:paraId="24F16831" w14:textId="3988751C" w:rsidR="00C166AE" w:rsidRPr="00AE77D4" w:rsidRDefault="00661A05" w:rsidP="00AE77D4">
      <w:pPr>
        <w:spacing w:line="276" w:lineRule="auto"/>
        <w:jc w:val="both"/>
        <w:rPr>
          <w:rFonts w:ascii="Times New Roman" w:hAnsi="Times New Roman" w:cs="Times New Roman"/>
          <w:b/>
          <w:bCs/>
          <w:sz w:val="24"/>
          <w:szCs w:val="24"/>
          <w:lang w:val="en-GB"/>
        </w:rPr>
      </w:pPr>
      <w:r w:rsidRPr="00AE77D4">
        <w:rPr>
          <w:rFonts w:ascii="Times New Roman" w:hAnsi="Times New Roman" w:cs="Times New Roman"/>
          <w:b/>
          <w:bCs/>
          <w:sz w:val="24"/>
          <w:szCs w:val="24"/>
          <w:lang w:val="en-GB"/>
        </w:rPr>
        <w:t>1 | INTRODUCTION</w:t>
      </w:r>
    </w:p>
    <w:p w14:paraId="0895C9BE" w14:textId="4A238C31" w:rsidR="006F1CBA" w:rsidRPr="00AE77D4" w:rsidRDefault="00661A05" w:rsidP="00AE77D4">
      <w:pPr>
        <w:autoSpaceDE w:val="0"/>
        <w:autoSpaceDN w:val="0"/>
        <w:adjustRightInd w:val="0"/>
        <w:spacing w:line="276" w:lineRule="auto"/>
        <w:jc w:val="both"/>
        <w:rPr>
          <w:rFonts w:ascii="Times New Roman" w:hAnsi="Times New Roman" w:cs="Times New Roman"/>
          <w:noProof/>
          <w:sz w:val="24"/>
          <w:szCs w:val="24"/>
          <w:lang w:val="en-GB"/>
        </w:rPr>
      </w:pPr>
      <w:bookmarkStart w:id="0" w:name="_Hlk157342285"/>
      <w:r w:rsidRPr="00AE77D4">
        <w:rPr>
          <w:rFonts w:ascii="Times New Roman" w:hAnsi="Times New Roman" w:cs="Times New Roman"/>
        </w:rPr>
        <w:t>Climate change disclosure (CCD) has emerged as a critical focus for scholars, researchers, policymakers, and regulators in recent decades (Adams et al., 2020; Jiang et al., 2021), gaining prominence among environmentally sensitive firms. The escalating global emission of greenhouse gases pose</w:t>
      </w:r>
      <w:r w:rsidRPr="00AE77D4">
        <w:rPr>
          <w:rFonts w:ascii="Times New Roman" w:eastAsia="Calibri" w:hAnsi="Times New Roman" w:cs="Times New Roman"/>
        </w:rPr>
        <w:t xml:space="preserve">s severe threats to the environment, economic systems, and human lives (Goworek et al., 2018; Sun et al., 2020). In response, international and national organizations have introduced various initiatives, policies, and practices to combat climate change (Baboukardos et al., 2021; Gaganis et al., 2021). Notable among these are the 1997 Kyoto Protocol and </w:t>
      </w:r>
      <w:r w:rsidRPr="00AE77D4">
        <w:rPr>
          <w:rFonts w:ascii="Times New Roman" w:hAnsi="Times New Roman" w:cs="Times New Roman"/>
        </w:rPr>
        <w:t xml:space="preserve">2015 Paris Agreement, significant international accords designed to reduce greenhouse gas emissions and enhance climate change resilience (Luo &amp; Tang, 2021). At the national level, countries such as Denmark, Malaysia, China, Brazil, South Africa, and Spain have implemented mandatory climate standards, indicating a global shift in </w:t>
      </w:r>
      <w:r w:rsidRPr="00AE77D4">
        <w:rPr>
          <w:rFonts w:ascii="Times New Roman" w:eastAsia="Calibri" w:hAnsi="Times New Roman" w:cs="Times New Roman"/>
        </w:rPr>
        <w:t xml:space="preserve">their regulatory frameworks (Simpson et al., 2021). In Bangladesh, the Securities and Exchange Commission </w:t>
      </w:r>
      <w:r w:rsidRPr="00AE77D4">
        <w:rPr>
          <w:rFonts w:ascii="Times New Roman" w:hAnsi="Times New Roman" w:cs="Times New Roman"/>
        </w:rPr>
        <w:t xml:space="preserve">introduced </w:t>
      </w:r>
      <w:r w:rsidRPr="00AE77D4">
        <w:rPr>
          <w:rFonts w:ascii="Times New Roman" w:hAnsi="Times New Roman" w:cs="Times New Roman"/>
          <w:sz w:val="24"/>
          <w:szCs w:val="24"/>
          <w:lang w:val="en-GB"/>
        </w:rPr>
        <w:t>regulations</w:t>
      </w:r>
      <w:r w:rsidRPr="00AE77D4">
        <w:rPr>
          <w:rStyle w:val="FootnoteReference"/>
          <w:rFonts w:ascii="Times New Roman" w:hAnsi="Times New Roman" w:cs="Times New Roman"/>
          <w:sz w:val="24"/>
          <w:szCs w:val="24"/>
          <w:lang w:val="en-GB"/>
        </w:rPr>
        <w:footnoteReference w:id="2"/>
      </w:r>
      <w:bookmarkEnd w:id="0"/>
      <w:r w:rsidRPr="00AE77D4">
        <w:rPr>
          <w:rFonts w:ascii="Times New Roman" w:hAnsi="Times New Roman" w:cs="Times New Roman"/>
          <w:sz w:val="24"/>
          <w:szCs w:val="24"/>
          <w:lang w:val="en-GB"/>
        </w:rPr>
        <w:t xml:space="preserve"> </w:t>
      </w:r>
      <w:r w:rsidRPr="00AE77D4">
        <w:rPr>
          <w:rFonts w:ascii="Times New Roman" w:hAnsi="Times New Roman" w:cs="Times New Roman"/>
        </w:rPr>
        <w:t>and guidelines, including the Corporate Governance Code, underscoring the increasing importance of regulatory perspectives in emerging nations (Brooks &amp; Oikonomou, 2017).</w:t>
      </w:r>
    </w:p>
    <w:p w14:paraId="2539BDAF" w14:textId="3792467E" w:rsidR="00354D4A"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lastRenderedPageBreak/>
        <w:t>Despite the growing significance of climate change, firms face mounting pressure from stakeholders to disclose their environmental impact</w:t>
      </w:r>
      <w:r w:rsidRPr="00AE77D4">
        <w:rPr>
          <w:rFonts w:ascii="Times New Roman" w:eastAsia="Calibri" w:hAnsi="Times New Roman" w:cs="Times New Roman"/>
          <w:sz w:val="24"/>
          <w:szCs w:val="24"/>
          <w:lang w:val="en-GB"/>
        </w:rPr>
        <w:t xml:space="preserve">s and engage in decarbonization initiatives (Alsaifi et al., 2019; Backman et al., 2017). This pressure is intertwined with regulatory </w:t>
      </w:r>
      <w:r w:rsidRPr="00AE77D4">
        <w:rPr>
          <w:rFonts w:ascii="Times New Roman" w:hAnsi="Times New Roman" w:cs="Times New Roman"/>
          <w:sz w:val="24"/>
          <w:szCs w:val="24"/>
          <w:lang w:val="en-GB"/>
        </w:rPr>
        <w:t xml:space="preserve">initiatives, shaping the strength of climate disclosure as a value-creating strategy to showcase </w:t>
      </w:r>
      <w:r w:rsidRPr="00AE77D4">
        <w:rPr>
          <w:rFonts w:ascii="Times New Roman" w:eastAsia="Calibri" w:hAnsi="Times New Roman" w:cs="Times New Roman"/>
          <w:sz w:val="24"/>
          <w:szCs w:val="24"/>
          <w:lang w:val="en-GB"/>
        </w:rPr>
        <w:t xml:space="preserve">stakeholders’ oversight and accountability to stakeholders (Hollindale et al., 2019). Surprisingly, limited attention has been </w:t>
      </w:r>
      <w:r w:rsidRPr="00AE77D4">
        <w:rPr>
          <w:rFonts w:ascii="Times New Roman" w:hAnsi="Times New Roman" w:cs="Times New Roman"/>
          <w:sz w:val="24"/>
          <w:szCs w:val="24"/>
          <w:lang w:val="en-GB"/>
        </w:rPr>
        <w:t>paid to exploring how regulatory initiatives influence climate change disclosures and contribute to sustainable business practices (Luo &amp; Tang, 2021). This study aims to fill this gap by examining the regulatory influence on climate disclosure.</w:t>
      </w:r>
    </w:p>
    <w:p w14:paraId="1836B7EC" w14:textId="4D1EA573" w:rsidR="00354D4A" w:rsidRPr="00AE77D4" w:rsidRDefault="00661A05" w:rsidP="00AE77D4">
      <w:pPr>
        <w:autoSpaceDE w:val="0"/>
        <w:autoSpaceDN w:val="0"/>
        <w:adjustRightInd w:val="0"/>
        <w:spacing w:line="276" w:lineRule="auto"/>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While various justifications exist for firms engaging in CCD initiatives (Young &amp; Marais, 2012), a crucial theoretical development suggests that </w:t>
      </w:r>
      <w:r w:rsidRPr="00AE77D4">
        <w:rPr>
          <w:rFonts w:ascii="Times New Roman" w:eastAsia="Calibri" w:hAnsi="Times New Roman" w:cs="Times New Roman"/>
          <w:noProof/>
          <w:sz w:val="24"/>
          <w:szCs w:val="24"/>
          <w:lang w:val="en-GB"/>
        </w:rPr>
        <w:t>the institutional context and theory can offer insights into the surge in climate disclosure activities (Bui et al., 2020). Firms engaging in environmental practices respond to stakeholder pressures and expectations from both internal (e.g., investors, personnel, management) and external (e.g., customers, suppliers, society, regulators) perspectives (Donaldson &amp; Preston, 1995; Mahadeo et al., 2011). Additionally, firms disclose climate change</w:t>
      </w:r>
      <w:r w:rsidRPr="00AE77D4">
        <w:rPr>
          <w:rFonts w:ascii="Times New Roman" w:hAnsi="Times New Roman" w:cs="Times New Roman"/>
          <w:noProof/>
          <w:sz w:val="24"/>
          <w:szCs w:val="24"/>
          <w:lang w:val="en-GB"/>
        </w:rPr>
        <w:t xml:space="preserve"> to maintain reporting accountability, reduce information asymmetry, and manage managerial impressions (Al‐Shaer et al., 2018). External stakeholders, especially regulators, exert pressure on firms through regulations and guidelines (Helfaya et al., 2019; Jizi, 2017). Signaling theory posits that environmentally sensitive firms with significant carbon exposure are likely to extensively report CCD to highlight their positive performance to stakeholders. </w:t>
      </w:r>
      <w:r w:rsidRPr="00AE77D4">
        <w:rPr>
          <w:rFonts w:ascii="Times New Roman" w:eastAsia="Calibri" w:hAnsi="Times New Roman" w:cs="Times New Roman"/>
          <w:noProof/>
          <w:sz w:val="24"/>
          <w:szCs w:val="24"/>
          <w:lang w:val="en-GB"/>
        </w:rPr>
        <w:t xml:space="preserve">The </w:t>
      </w:r>
      <w:r w:rsidRPr="00AE77D4">
        <w:rPr>
          <w:rFonts w:ascii="Times New Roman" w:hAnsi="Times New Roman" w:cs="Times New Roman"/>
          <w:noProof/>
          <w:sz w:val="24"/>
          <w:szCs w:val="24"/>
          <w:lang w:val="en-GB"/>
        </w:rPr>
        <w:t xml:space="preserve">neo-institutional theory further contends that institutional forces can interact to shape, control, and/or enable the adoption of business practices and innovations (DiMaggio &amp; Powell, 1983; Scott, 2013). However, there is a dearth of knowledge regarding the institutional influence </w:t>
      </w:r>
      <w:r w:rsidRPr="00AE77D4">
        <w:rPr>
          <w:rFonts w:ascii="Times New Roman" w:eastAsia="Calibri" w:hAnsi="Times New Roman" w:cs="Times New Roman"/>
          <w:noProof/>
          <w:sz w:val="24"/>
          <w:szCs w:val="24"/>
          <w:lang w:val="en-GB"/>
        </w:rPr>
        <w:t>that driv</w:t>
      </w:r>
      <w:r w:rsidRPr="00AE77D4">
        <w:rPr>
          <w:rFonts w:ascii="Times New Roman" w:hAnsi="Times New Roman" w:cs="Times New Roman"/>
          <w:noProof/>
          <w:sz w:val="24"/>
          <w:szCs w:val="24"/>
          <w:lang w:val="en-GB"/>
        </w:rPr>
        <w:t>es the rapid expansion of CCD among firms (Ntim &amp; Soobaroyen, 2013).</w:t>
      </w:r>
    </w:p>
    <w:p w14:paraId="6697A494" w14:textId="264B937E" w:rsidR="00227856" w:rsidRPr="00AE77D4" w:rsidRDefault="00661A05" w:rsidP="00AE77D4">
      <w:pPr>
        <w:autoSpaceDE w:val="0"/>
        <w:autoSpaceDN w:val="0"/>
        <w:adjustRightInd w:val="0"/>
        <w:spacing w:line="276" w:lineRule="auto"/>
        <w:jc w:val="both"/>
        <w:rPr>
          <w:rFonts w:ascii="Times New Roman" w:hAnsi="Times New Roman" w:cs="Times New Roman"/>
          <w:sz w:val="24"/>
          <w:szCs w:val="24"/>
          <w:shd w:val="clear" w:color="auto" w:fill="FFFFFF"/>
          <w:lang w:val="en-GB"/>
        </w:rPr>
      </w:pPr>
      <w:r w:rsidRPr="00AE77D4">
        <w:rPr>
          <w:rFonts w:ascii="Times New Roman" w:hAnsi="Times New Roman" w:cs="Times New Roman"/>
          <w:sz w:val="24"/>
          <w:szCs w:val="24"/>
          <w:lang w:val="en-GB"/>
        </w:rPr>
        <w:t xml:space="preserve">This study seeks to extend and apply </w:t>
      </w:r>
      <w:r w:rsidRPr="00AE77D4">
        <w:rPr>
          <w:rFonts w:ascii="Times New Roman" w:eastAsia="Calibri" w:hAnsi="Times New Roman" w:cs="Times New Roman"/>
          <w:sz w:val="24"/>
          <w:szCs w:val="24"/>
          <w:lang w:val="en-GB"/>
        </w:rPr>
        <w:t>the neo-institutional theory to elucidate the amplification of CCD practices at the organizational level. Firms sharing a CCD under greater legitimacy are more likely to conform to expected social behavio</w:t>
      </w:r>
      <w:r w:rsidRPr="00AE77D4">
        <w:rPr>
          <w:rFonts w:ascii="Times New Roman" w:hAnsi="Times New Roman" w:cs="Times New Roman"/>
          <w:sz w:val="24"/>
          <w:szCs w:val="24"/>
          <w:lang w:val="en-GB"/>
        </w:rPr>
        <w:t>r due to regulative institutional pressures (Datt et al., 2019). The alignment of company objectives and standards with broader societal norms, facilitated by compliance with adequate CCD practices, enhances organizational legitimacy (Ntim &amp; Soobaroyen, 2013). Corporate legitimacy fosters positive relationships with influential stakeholders</w:t>
      </w:r>
      <w:r w:rsidRPr="00AE77D4">
        <w:rPr>
          <w:rFonts w:ascii="Times New Roman" w:eastAsia="Calibri" w:hAnsi="Times New Roman" w:cs="Times New Roman"/>
          <w:sz w:val="24"/>
          <w:szCs w:val="24"/>
          <w:lang w:val="en-GB"/>
        </w:rPr>
        <w:t xml:space="preserve">, such as governments, politicians, shareholders, and trade unions (Aguilera et al., 2007). Given </w:t>
      </w:r>
      <w:r w:rsidRPr="00AE77D4">
        <w:rPr>
          <w:rFonts w:ascii="Times New Roman" w:hAnsi="Times New Roman" w:cs="Times New Roman"/>
          <w:sz w:val="24"/>
          <w:szCs w:val="24"/>
          <w:lang w:val="en-GB"/>
        </w:rPr>
        <w:t>regulatory responsiveness to climate issues and their consequences for firms (Choi &amp; Luo, 2021), exploring how regulatory initiatives influence CCD is crucial.</w:t>
      </w:r>
      <w:r w:rsidR="00E216DE" w:rsidRPr="00AE77D4">
        <w:rPr>
          <w:rFonts w:ascii="Times New Roman" w:hAnsi="Times New Roman" w:cs="Times New Roman"/>
          <w:sz w:val="24"/>
          <w:szCs w:val="24"/>
          <w:shd w:val="clear" w:color="auto" w:fill="FFFFFF"/>
          <w:lang w:val="en-GB"/>
        </w:rPr>
        <w:t xml:space="preserve"> </w:t>
      </w:r>
    </w:p>
    <w:p w14:paraId="7816296C" w14:textId="0E906EE5" w:rsidR="00354D4A"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Furthermore, the efficiency perspective of </w:t>
      </w:r>
      <w:r w:rsidRPr="00AE77D4">
        <w:rPr>
          <w:rFonts w:ascii="Times New Roman" w:eastAsia="Calibri" w:hAnsi="Times New Roman" w:cs="Times New Roman"/>
          <w:sz w:val="24"/>
          <w:szCs w:val="24"/>
          <w:lang w:val="en-GB"/>
        </w:rPr>
        <w:t>the neo-institutional theory posits that regulat</w:t>
      </w:r>
      <w:r w:rsidRPr="00AE77D4">
        <w:rPr>
          <w:rFonts w:ascii="Times New Roman" w:hAnsi="Times New Roman" w:cs="Times New Roman"/>
          <w:sz w:val="24"/>
          <w:szCs w:val="24"/>
          <w:lang w:val="en-GB"/>
        </w:rPr>
        <w:t xml:space="preserve">ory, cognitive, and normative institutional pressures can compel businesses to access vital resources, safeguard shareholder interests, and maximize corporate performance (Aguilera et al., 2007; Chen &amp; Roberts, 2010; Grecco et al., 2013). Commitment to CCD can enhance corporate efficiency by reducing agency conflicts and minimizing information asymmetry between managers and stakeholders (Rhodes, 2010). Considering the intricate nature of CCD </w:t>
      </w:r>
      <w:r w:rsidRPr="00AE77D4">
        <w:rPr>
          <w:rFonts w:ascii="Times New Roman" w:hAnsi="Times New Roman" w:cs="Times New Roman"/>
          <w:sz w:val="24"/>
          <w:szCs w:val="24"/>
          <w:lang w:val="en-GB"/>
        </w:rPr>
        <w:lastRenderedPageBreak/>
        <w:t>practices and their associated consequences (Devinney, 2009), there is a growing consensus that regulatory perspectives require closer examination (Zattoni &amp; Cuomo, 2008).</w:t>
      </w:r>
    </w:p>
    <w:p w14:paraId="0FCCCFC3" w14:textId="432D435D" w:rsidR="00F352C1"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The literature emphasizes the need for studies in emerging economies, such as Asia, to provide fresh perspectives on climate-related challenges (Brooks &amp; Oikonomou, 2017). This study focuses on Bangladesh, a rapidly expanding country in Asia </w:t>
      </w:r>
      <w:r w:rsidRPr="00AE77D4">
        <w:rPr>
          <w:rFonts w:ascii="Times New Roman" w:eastAsia="Calibri" w:hAnsi="Times New Roman" w:cs="Times New Roman"/>
          <w:sz w:val="24"/>
          <w:szCs w:val="24"/>
          <w:lang w:val="en-GB"/>
        </w:rPr>
        <w:t xml:space="preserve">that is undergoing industrialization, albeit with adverse environmental and public health consequences (Elmagrhi et al., 2019). </w:t>
      </w:r>
      <w:r w:rsidR="00696F59" w:rsidRPr="00AE77D4">
        <w:rPr>
          <w:rFonts w:ascii="Times New Roman" w:hAnsi="Times New Roman" w:cs="Times New Roman"/>
          <w:sz w:val="24"/>
          <w:szCs w:val="24"/>
          <w:lang w:val="en-GB"/>
        </w:rPr>
        <w:t>For instance</w:t>
      </w:r>
      <w:r w:rsidRPr="00AE77D4">
        <w:rPr>
          <w:rFonts w:ascii="Times New Roman" w:hAnsi="Times New Roman" w:cs="Times New Roman"/>
          <w:sz w:val="24"/>
          <w:szCs w:val="24"/>
          <w:lang w:val="en-GB"/>
        </w:rPr>
        <w:t>, the textile factory</w:t>
      </w:r>
      <w:r w:rsidRPr="00AE77D4">
        <w:rPr>
          <w:rStyle w:val="FootnoteReference"/>
          <w:rFonts w:ascii="Times New Roman" w:hAnsi="Times New Roman" w:cs="Times New Roman"/>
          <w:sz w:val="24"/>
          <w:szCs w:val="24"/>
          <w:lang w:val="en-GB"/>
        </w:rPr>
        <w:footnoteReference w:id="3"/>
      </w:r>
      <w:r w:rsidRPr="00AE77D4">
        <w:rPr>
          <w:rFonts w:ascii="Times New Roman" w:hAnsi="Times New Roman" w:cs="Times New Roman"/>
          <w:sz w:val="24"/>
          <w:szCs w:val="24"/>
          <w:lang w:val="en-GB"/>
        </w:rPr>
        <w:t xml:space="preserve"> disaster in Bangladesh has </w:t>
      </w:r>
      <w:r>
        <w:rPr>
          <w:rFonts w:ascii="Times New Roman" w:hAnsi="Times New Roman" w:cs="Times New Roman"/>
          <w:sz w:val="24"/>
          <w:szCs w:val="24"/>
          <w:lang w:val="en-GB"/>
        </w:rPr>
        <w:t>led to</w:t>
      </w:r>
      <w:r w:rsidRPr="00AE77D4">
        <w:rPr>
          <w:rFonts w:ascii="Times New Roman" w:eastAsia="Calibri" w:hAnsi="Times New Roman" w:cs="Times New Roman"/>
          <w:sz w:val="24"/>
          <w:szCs w:val="24"/>
          <w:lang w:val="en-GB"/>
        </w:rPr>
        <w:t xml:space="preserve"> </w:t>
      </w:r>
      <w:r w:rsidR="009271F2">
        <w:rPr>
          <w:rFonts w:ascii="Times New Roman" w:eastAsia="Calibri" w:hAnsi="Times New Roman" w:cs="Times New Roman"/>
          <w:sz w:val="24"/>
          <w:szCs w:val="24"/>
          <w:lang w:val="en-GB"/>
        </w:rPr>
        <w:t>a</w:t>
      </w:r>
      <w:r w:rsidRPr="00AE77D4">
        <w:rPr>
          <w:rFonts w:ascii="Times New Roman" w:eastAsia="Calibri" w:hAnsi="Times New Roman" w:cs="Times New Roman"/>
          <w:sz w:val="24"/>
          <w:szCs w:val="24"/>
          <w:lang w:val="en-GB"/>
        </w:rPr>
        <w:t xml:space="preserve"> global outcry </w:t>
      </w:r>
      <w:r w:rsidRPr="00AE77D4">
        <w:rPr>
          <w:rFonts w:ascii="Times New Roman" w:hAnsi="Times New Roman" w:cs="Times New Roman"/>
          <w:noProof/>
          <w:sz w:val="24"/>
          <w:szCs w:val="24"/>
          <w:lang w:val="en-GB"/>
        </w:rPr>
        <w:t xml:space="preserve">(Siddiqui </w:t>
      </w:r>
      <w:r w:rsidR="00BE7FA3"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Uddin, 2016),</w:t>
      </w:r>
      <w:r w:rsidRPr="00AE77D4">
        <w:rPr>
          <w:rFonts w:ascii="Times New Roman" w:hAnsi="Times New Roman" w:cs="Times New Roman"/>
          <w:sz w:val="24"/>
          <w:szCs w:val="24"/>
          <w:lang w:val="en-GB"/>
        </w:rPr>
        <w:t xml:space="preserve"> causing severe threats to foreign investment, readymade garments, </w:t>
      </w:r>
      <w:r w:rsidRPr="00AE77D4">
        <w:rPr>
          <w:rFonts w:ascii="Times New Roman" w:eastAsia="Calibri" w:hAnsi="Times New Roman" w:cs="Times New Roman"/>
          <w:sz w:val="24"/>
          <w:szCs w:val="24"/>
          <w:lang w:val="en-GB"/>
        </w:rPr>
        <w:t xml:space="preserve">and industry contracts (Khan et al., 2013). </w:t>
      </w:r>
      <w:r w:rsidRPr="00AE77D4">
        <w:rPr>
          <w:rFonts w:ascii="Times New Roman" w:hAnsi="Times New Roman" w:cs="Times New Roman"/>
        </w:rPr>
        <w:t xml:space="preserve">Notably, environmentally sensitive firms </w:t>
      </w:r>
      <w:r w:rsidRPr="00AE77D4">
        <w:rPr>
          <w:rFonts w:ascii="Times New Roman" w:hAnsi="Times New Roman" w:cs="Times New Roman"/>
          <w:sz w:val="24"/>
          <w:szCs w:val="24"/>
          <w:lang w:val="en-GB" w:bidi="bn-BD"/>
        </w:rPr>
        <w:t>(</w:t>
      </w:r>
      <w:r w:rsidRPr="00AE77D4">
        <w:rPr>
          <w:rFonts w:ascii="Times New Roman" w:hAnsi="Times New Roman" w:cs="Times New Roman"/>
          <w:sz w:val="24"/>
          <w:szCs w:val="24"/>
          <w:lang w:val="en-GB"/>
        </w:rPr>
        <w:t>Elmagrhi et al.</w:t>
      </w:r>
      <w:r w:rsidRPr="00AE77D4">
        <w:rPr>
          <w:rFonts w:ascii="Times New Roman" w:hAnsi="Times New Roman" w:cs="Times New Roman"/>
          <w:sz w:val="24"/>
          <w:szCs w:val="24"/>
          <w:lang w:val="en-GB" w:bidi="bn-BD"/>
        </w:rPr>
        <w:t>, 2019)</w:t>
      </w:r>
      <w:r w:rsidRPr="00AE77D4">
        <w:rPr>
          <w:rFonts w:ascii="Times New Roman" w:hAnsi="Times New Roman" w:cs="Times New Roman"/>
          <w:sz w:val="24"/>
          <w:szCs w:val="24"/>
        </w:rPr>
        <w:t>, primarily responsible for significant climate damage between 2014 and 2021, are explored to understand the impact of regulatory influence on CCD.</w:t>
      </w:r>
      <w:r w:rsidRPr="00AE77D4">
        <w:rPr>
          <w:rFonts w:ascii="Times New Roman" w:hAnsi="Times New Roman" w:cs="Times New Roman"/>
          <w:sz w:val="24"/>
          <w:szCs w:val="24"/>
          <w:lang w:val="en-GB" w:bidi="bn-BD"/>
        </w:rPr>
        <w:t xml:space="preserve"> </w:t>
      </w:r>
    </w:p>
    <w:p w14:paraId="362B002D" w14:textId="381ADBF8" w:rsidR="00BB6E69"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Previous studies have emphasized the significance of corporate governance (CG) in developing climate change initiatives and strategies that provide value to shareholders (Luo </w:t>
      </w:r>
      <w:r w:rsidR="00BE7FA3" w:rsidRPr="00AE77D4">
        <w:rPr>
          <w:rFonts w:ascii="Times New Roman" w:hAnsi="Times New Roman" w:cs="Times New Roman"/>
          <w:sz w:val="24"/>
          <w:szCs w:val="24"/>
          <w:lang w:val="en-GB"/>
        </w:rPr>
        <w:t>&amp;</w:t>
      </w:r>
      <w:r w:rsidR="00AA2F0E" w:rsidRPr="00AE77D4">
        <w:rPr>
          <w:rFonts w:ascii="Times New Roman" w:hAnsi="Times New Roman" w:cs="Times New Roman"/>
          <w:sz w:val="24"/>
          <w:szCs w:val="24"/>
          <w:lang w:val="en-GB"/>
        </w:rPr>
        <w:t xml:space="preserve"> </w:t>
      </w:r>
      <w:r w:rsidRPr="00AE77D4">
        <w:rPr>
          <w:rFonts w:ascii="Times New Roman" w:hAnsi="Times New Roman" w:cs="Times New Roman"/>
          <w:sz w:val="24"/>
          <w:szCs w:val="24"/>
          <w:lang w:val="en-GB"/>
        </w:rPr>
        <w:t>Tang, 2021).</w:t>
      </w:r>
      <w:r w:rsidR="00EF549C" w:rsidRPr="00AE77D4">
        <w:rPr>
          <w:rFonts w:ascii="Times New Roman" w:hAnsi="Times New Roman" w:cs="Times New Roman"/>
          <w:sz w:val="24"/>
          <w:szCs w:val="24"/>
          <w:lang w:val="en-GB"/>
        </w:rPr>
        <w:t xml:space="preserve"> For </w:t>
      </w:r>
      <w:r w:rsidR="007B4B78" w:rsidRPr="00AE77D4">
        <w:rPr>
          <w:rFonts w:ascii="Times New Roman" w:hAnsi="Times New Roman" w:cs="Times New Roman"/>
          <w:sz w:val="24"/>
          <w:szCs w:val="24"/>
          <w:lang w:val="en-GB"/>
        </w:rPr>
        <w:t>example</w:t>
      </w:r>
      <w:r w:rsidR="00EF549C" w:rsidRPr="00AE77D4">
        <w:rPr>
          <w:rFonts w:ascii="Times New Roman" w:hAnsi="Times New Roman" w:cs="Times New Roman"/>
          <w:sz w:val="24"/>
          <w:szCs w:val="24"/>
          <w:lang w:val="en-GB"/>
        </w:rPr>
        <w:t xml:space="preserve">, effective </w:t>
      </w:r>
      <w:r w:rsidR="00424BF7" w:rsidRPr="00AE77D4">
        <w:rPr>
          <w:rFonts w:ascii="Times New Roman" w:hAnsi="Times New Roman" w:cs="Times New Roman"/>
          <w:sz w:val="24"/>
          <w:szCs w:val="24"/>
          <w:lang w:val="en-GB"/>
        </w:rPr>
        <w:t>CG</w:t>
      </w:r>
      <w:r w:rsidR="00A73094" w:rsidRPr="00AE77D4">
        <w:rPr>
          <w:rFonts w:ascii="Times New Roman" w:hAnsi="Times New Roman" w:cs="Times New Roman"/>
          <w:sz w:val="24"/>
          <w:szCs w:val="24"/>
          <w:lang w:val="en-GB"/>
        </w:rPr>
        <w:t xml:space="preserve"> can </w:t>
      </w:r>
      <w:r w:rsidR="007B4B78" w:rsidRPr="00AE77D4">
        <w:rPr>
          <w:rFonts w:ascii="Times New Roman" w:hAnsi="Times New Roman" w:cs="Times New Roman"/>
          <w:sz w:val="24"/>
          <w:szCs w:val="24"/>
          <w:lang w:val="en-GB"/>
        </w:rPr>
        <w:t>improve</w:t>
      </w:r>
      <w:r w:rsidR="00A73094" w:rsidRPr="00AE77D4">
        <w:rPr>
          <w:rFonts w:ascii="Times New Roman" w:hAnsi="Times New Roman" w:cs="Times New Roman"/>
          <w:sz w:val="24"/>
          <w:szCs w:val="24"/>
          <w:lang w:val="en-GB"/>
        </w:rPr>
        <w:t xml:space="preserve"> accountabil</w:t>
      </w:r>
      <w:r w:rsidR="00EF549C" w:rsidRPr="00AE77D4">
        <w:rPr>
          <w:rFonts w:ascii="Times New Roman" w:hAnsi="Times New Roman" w:cs="Times New Roman"/>
          <w:sz w:val="24"/>
          <w:szCs w:val="24"/>
          <w:lang w:val="en-GB"/>
        </w:rPr>
        <w:t xml:space="preserve">ity for </w:t>
      </w:r>
      <w:r w:rsidRPr="00AE77D4">
        <w:rPr>
          <w:rFonts w:ascii="Times New Roman" w:eastAsia="Calibri" w:hAnsi="Times New Roman" w:cs="Times New Roman"/>
          <w:sz w:val="24"/>
          <w:szCs w:val="24"/>
          <w:lang w:val="en-GB"/>
        </w:rPr>
        <w:t>the environ</w:t>
      </w:r>
      <w:r w:rsidR="007B4B78" w:rsidRPr="00AE77D4">
        <w:rPr>
          <w:rFonts w:ascii="Times New Roman" w:hAnsi="Times New Roman" w:cs="Times New Roman"/>
          <w:sz w:val="24"/>
          <w:szCs w:val="24"/>
          <w:lang w:val="en-GB"/>
        </w:rPr>
        <w:t>mental</w:t>
      </w:r>
      <w:r w:rsidR="00A73094" w:rsidRPr="00AE77D4">
        <w:rPr>
          <w:rFonts w:ascii="Times New Roman" w:hAnsi="Times New Roman" w:cs="Times New Roman"/>
          <w:sz w:val="24"/>
          <w:szCs w:val="24"/>
          <w:lang w:val="en-GB"/>
        </w:rPr>
        <w:t xml:space="preserve"> </w:t>
      </w:r>
      <w:r w:rsidR="007B4B78" w:rsidRPr="00AE77D4">
        <w:rPr>
          <w:rFonts w:ascii="Times New Roman" w:hAnsi="Times New Roman" w:cs="Times New Roman"/>
          <w:sz w:val="24"/>
          <w:szCs w:val="24"/>
          <w:lang w:val="en-GB"/>
        </w:rPr>
        <w:t>footprint</w:t>
      </w:r>
      <w:r w:rsidR="00A73094" w:rsidRPr="00AE77D4">
        <w:rPr>
          <w:rFonts w:ascii="Times New Roman" w:hAnsi="Times New Roman" w:cs="Times New Roman"/>
          <w:sz w:val="24"/>
          <w:szCs w:val="24"/>
          <w:lang w:val="en-GB"/>
        </w:rPr>
        <w:t xml:space="preserve"> by </w:t>
      </w:r>
      <w:r w:rsidR="007B4B78" w:rsidRPr="00AE77D4">
        <w:rPr>
          <w:rFonts w:ascii="Times New Roman" w:hAnsi="Times New Roman" w:cs="Times New Roman"/>
          <w:sz w:val="24"/>
          <w:szCs w:val="24"/>
          <w:lang w:val="en-GB"/>
        </w:rPr>
        <w:t>advocating</w:t>
      </w:r>
      <w:r w:rsidR="00EF549C" w:rsidRPr="00AE77D4">
        <w:rPr>
          <w:rFonts w:ascii="Times New Roman" w:hAnsi="Times New Roman" w:cs="Times New Roman"/>
          <w:sz w:val="24"/>
          <w:szCs w:val="24"/>
          <w:lang w:val="en-GB"/>
        </w:rPr>
        <w:t xml:space="preserve"> environmentall</w:t>
      </w:r>
      <w:r w:rsidR="00A73094" w:rsidRPr="00AE77D4">
        <w:rPr>
          <w:rFonts w:ascii="Times New Roman" w:hAnsi="Times New Roman" w:cs="Times New Roman"/>
          <w:sz w:val="24"/>
          <w:szCs w:val="24"/>
          <w:lang w:val="en-GB"/>
        </w:rPr>
        <w:t xml:space="preserve">y responsible </w:t>
      </w:r>
      <w:r w:rsidR="007B4B78" w:rsidRPr="00AE77D4">
        <w:rPr>
          <w:rFonts w:ascii="Times New Roman" w:hAnsi="Times New Roman" w:cs="Times New Roman"/>
          <w:sz w:val="24"/>
          <w:szCs w:val="24"/>
          <w:lang w:val="en-GB"/>
        </w:rPr>
        <w:t>actions</w:t>
      </w:r>
      <w:r w:rsidR="00A73094" w:rsidRPr="00AE77D4">
        <w:rPr>
          <w:rFonts w:ascii="Times New Roman" w:hAnsi="Times New Roman" w:cs="Times New Roman"/>
          <w:sz w:val="24"/>
          <w:szCs w:val="24"/>
          <w:lang w:val="en-GB"/>
        </w:rPr>
        <w:t xml:space="preserve"> </w:t>
      </w:r>
      <w:r w:rsidR="0060161C" w:rsidRPr="00AE77D4">
        <w:rPr>
          <w:rFonts w:ascii="Times New Roman" w:hAnsi="Times New Roman" w:cs="Times New Roman"/>
          <w:sz w:val="24"/>
          <w:szCs w:val="24"/>
          <w:lang w:val="en-GB"/>
        </w:rPr>
        <w:t>to</w:t>
      </w:r>
      <w:r w:rsidR="007B4B78" w:rsidRPr="00AE77D4">
        <w:rPr>
          <w:rFonts w:ascii="Times New Roman" w:hAnsi="Times New Roman" w:cs="Times New Roman"/>
          <w:sz w:val="24"/>
          <w:szCs w:val="24"/>
          <w:lang w:val="en-GB"/>
        </w:rPr>
        <w:t xml:space="preserve"> control</w:t>
      </w:r>
      <w:r w:rsidR="00A73094" w:rsidRPr="00AE77D4">
        <w:rPr>
          <w:rFonts w:ascii="Times New Roman" w:hAnsi="Times New Roman" w:cs="Times New Roman"/>
          <w:sz w:val="24"/>
          <w:szCs w:val="24"/>
          <w:lang w:val="en-GB"/>
        </w:rPr>
        <w:t xml:space="preserve"> envi</w:t>
      </w:r>
      <w:r w:rsidR="00EF549C" w:rsidRPr="00AE77D4">
        <w:rPr>
          <w:rFonts w:ascii="Times New Roman" w:hAnsi="Times New Roman" w:cs="Times New Roman"/>
          <w:sz w:val="24"/>
          <w:szCs w:val="24"/>
          <w:lang w:val="en-GB"/>
        </w:rPr>
        <w:t>ronmental risks</w:t>
      </w:r>
      <w:r w:rsidR="00A73094" w:rsidRPr="00AE77D4">
        <w:rPr>
          <w:rFonts w:ascii="Times New Roman" w:hAnsi="Times New Roman" w:cs="Times New Roman"/>
          <w:sz w:val="24"/>
          <w:szCs w:val="24"/>
          <w:lang w:val="en-GB"/>
        </w:rPr>
        <w:t xml:space="preserve"> efficient</w:t>
      </w:r>
      <w:r w:rsidRPr="00AE77D4">
        <w:rPr>
          <w:rFonts w:ascii="Times New Roman" w:eastAsia="Calibri" w:hAnsi="Times New Roman" w:cs="Times New Roman"/>
          <w:sz w:val="24"/>
          <w:szCs w:val="24"/>
          <w:lang w:val="en-GB"/>
        </w:rPr>
        <w:t>ly and effec</w:t>
      </w:r>
      <w:r w:rsidR="00EF549C" w:rsidRPr="00AE77D4">
        <w:rPr>
          <w:rFonts w:ascii="Times New Roman" w:hAnsi="Times New Roman" w:cs="Times New Roman"/>
          <w:sz w:val="24"/>
          <w:szCs w:val="24"/>
          <w:lang w:val="en-GB"/>
        </w:rPr>
        <w:t>tive</w:t>
      </w:r>
      <w:r w:rsidRPr="00AE77D4">
        <w:rPr>
          <w:rFonts w:ascii="Times New Roman" w:eastAsia="Calibri" w:hAnsi="Times New Roman" w:cs="Times New Roman"/>
          <w:sz w:val="24"/>
          <w:szCs w:val="24"/>
          <w:lang w:val="en-GB"/>
        </w:rPr>
        <w:t>ly (Harjoto et al., 201</w:t>
      </w:r>
      <w:r w:rsidR="00A73094" w:rsidRPr="00AE77D4">
        <w:rPr>
          <w:rFonts w:ascii="Times New Roman" w:hAnsi="Times New Roman" w:cs="Times New Roman"/>
          <w:sz w:val="24"/>
          <w:szCs w:val="24"/>
          <w:lang w:val="en-GB"/>
        </w:rPr>
        <w:t>5).</w:t>
      </w:r>
      <w:r w:rsidR="00BA0AA8" w:rsidRPr="00AE77D4">
        <w:rPr>
          <w:rFonts w:ascii="Times New Roman" w:hAnsi="Times New Roman" w:cs="Times New Roman"/>
          <w:sz w:val="24"/>
          <w:szCs w:val="24"/>
          <w:lang w:val="en-GB"/>
        </w:rPr>
        <w:t xml:space="preserve"> In this regard, CG characteristics </w:t>
      </w:r>
      <w:r w:rsidR="008A66D7" w:rsidRPr="00AE77D4">
        <w:rPr>
          <w:rFonts w:ascii="Times New Roman" w:hAnsi="Times New Roman" w:cs="Times New Roman"/>
          <w:sz w:val="24"/>
          <w:szCs w:val="24"/>
          <w:lang w:val="en-GB"/>
        </w:rPr>
        <w:t>(i.e.</w:t>
      </w:r>
      <w:r w:rsidRPr="00AE77D4">
        <w:rPr>
          <w:rFonts w:ascii="Times New Roman" w:eastAsia="Calibri" w:hAnsi="Times New Roman" w:cs="Times New Roman"/>
          <w:sz w:val="24"/>
          <w:szCs w:val="24"/>
          <w:lang w:val="en-GB"/>
        </w:rPr>
        <w:t xml:space="preserve">, board size, independence, diversity, audit committee, and meetings) </w:t>
      </w:r>
      <w:r w:rsidR="00BA0AA8" w:rsidRPr="00AE77D4">
        <w:rPr>
          <w:rFonts w:ascii="Times New Roman" w:hAnsi="Times New Roman" w:cs="Times New Roman"/>
          <w:sz w:val="24"/>
          <w:szCs w:val="24"/>
          <w:lang w:val="en-GB"/>
        </w:rPr>
        <w:t xml:space="preserve">play </w:t>
      </w:r>
      <w:r w:rsidRPr="00AE77D4">
        <w:rPr>
          <w:rFonts w:ascii="Times New Roman" w:eastAsia="Calibri" w:hAnsi="Times New Roman" w:cs="Times New Roman"/>
          <w:sz w:val="24"/>
          <w:szCs w:val="24"/>
          <w:lang w:val="en-GB"/>
        </w:rPr>
        <w:t>an influential role in practicing climate disclosure</w:t>
      </w:r>
      <w:r w:rsidR="00BA0AA8" w:rsidRPr="00AE77D4">
        <w:rPr>
          <w:rFonts w:ascii="Times New Roman" w:hAnsi="Times New Roman" w:cs="Times New Roman"/>
          <w:sz w:val="24"/>
          <w:szCs w:val="24"/>
          <w:lang w:val="en-GB"/>
        </w:rPr>
        <w:t>, supported by the argument of Sullivan and Gouldson (2017)</w:t>
      </w:r>
      <w:r w:rsidRPr="00AE77D4">
        <w:rPr>
          <w:rFonts w:ascii="Times New Roman" w:eastAsia="Calibri" w:hAnsi="Times New Roman" w:cs="Times New Roman"/>
          <w:sz w:val="24"/>
          <w:szCs w:val="24"/>
          <w:lang w:val="en-GB"/>
        </w:rPr>
        <w:t xml:space="preserve">, who suggested that corporate responses to climate </w:t>
      </w:r>
      <w:r w:rsidR="00C6524B" w:rsidRPr="00AE77D4">
        <w:rPr>
          <w:rFonts w:ascii="Times New Roman" w:hAnsi="Times New Roman" w:cs="Times New Roman"/>
          <w:sz w:val="24"/>
          <w:szCs w:val="24"/>
          <w:lang w:val="en-GB"/>
        </w:rPr>
        <w:t>change</w:t>
      </w:r>
      <w:r w:rsidR="00BA0AA8" w:rsidRPr="00AE77D4">
        <w:rPr>
          <w:rFonts w:ascii="Times New Roman" w:hAnsi="Times New Roman" w:cs="Times New Roman"/>
          <w:sz w:val="24"/>
          <w:szCs w:val="24"/>
          <w:lang w:val="en-GB"/>
        </w:rPr>
        <w:t xml:space="preserve"> </w:t>
      </w:r>
      <w:r w:rsidR="00C6524B" w:rsidRPr="00AE77D4">
        <w:rPr>
          <w:rFonts w:ascii="Times New Roman" w:hAnsi="Times New Roman" w:cs="Times New Roman"/>
          <w:sz w:val="24"/>
          <w:szCs w:val="24"/>
          <w:lang w:val="en-GB"/>
        </w:rPr>
        <w:t>and performance</w:t>
      </w:r>
      <w:r w:rsidR="00BA0AA8" w:rsidRPr="00AE77D4">
        <w:rPr>
          <w:rFonts w:ascii="Times New Roman" w:hAnsi="Times New Roman" w:cs="Times New Roman"/>
          <w:sz w:val="24"/>
          <w:szCs w:val="24"/>
          <w:lang w:val="en-GB"/>
        </w:rPr>
        <w:t xml:space="preserve"> outcomes are interrelated and interdependent; therefore</w:t>
      </w:r>
      <w:r w:rsidRPr="00AE77D4">
        <w:rPr>
          <w:rFonts w:ascii="Times New Roman" w:eastAsia="Calibri" w:hAnsi="Times New Roman" w:cs="Times New Roman"/>
          <w:sz w:val="24"/>
          <w:szCs w:val="24"/>
          <w:lang w:val="en-GB"/>
        </w:rPr>
        <w:t xml:space="preserve">, it is important to assess them as a comprehensive, </w:t>
      </w:r>
      <w:r w:rsidR="005B3C22" w:rsidRPr="00AE77D4">
        <w:rPr>
          <w:rFonts w:ascii="Times New Roman" w:hAnsi="Times New Roman" w:cs="Times New Roman"/>
          <w:sz w:val="24"/>
          <w:szCs w:val="24"/>
          <w:lang w:val="en-GB"/>
        </w:rPr>
        <w:t>dynamic,</w:t>
      </w:r>
      <w:r w:rsidR="00BA0AA8" w:rsidRPr="00AE77D4">
        <w:rPr>
          <w:rFonts w:ascii="Times New Roman" w:hAnsi="Times New Roman" w:cs="Times New Roman"/>
          <w:sz w:val="24"/>
          <w:szCs w:val="24"/>
          <w:lang w:val="en-GB"/>
        </w:rPr>
        <w:t xml:space="preserve"> and interactive system.</w:t>
      </w:r>
      <w:r w:rsidR="00C6524B" w:rsidRPr="00AE77D4">
        <w:rPr>
          <w:rFonts w:ascii="Times New Roman" w:hAnsi="Times New Roman" w:cs="Times New Roman"/>
          <w:sz w:val="24"/>
          <w:szCs w:val="24"/>
          <w:lang w:val="en-GB"/>
        </w:rPr>
        <w:t xml:space="preserve"> </w:t>
      </w:r>
      <w:r w:rsidR="00106A46" w:rsidRPr="00AE77D4">
        <w:rPr>
          <w:rFonts w:ascii="Times New Roman" w:hAnsi="Times New Roman" w:cs="Times New Roman"/>
          <w:sz w:val="24"/>
          <w:szCs w:val="24"/>
          <w:lang w:val="en-GB"/>
        </w:rPr>
        <w:t>This study address</w:t>
      </w:r>
      <w:r w:rsidRPr="00AE77D4">
        <w:rPr>
          <w:rFonts w:ascii="Times New Roman" w:eastAsia="Calibri" w:hAnsi="Times New Roman" w:cs="Times New Roman"/>
          <w:sz w:val="24"/>
          <w:szCs w:val="24"/>
          <w:lang w:val="en-GB"/>
        </w:rPr>
        <w:t>es this research gap by examining the impact of board characteristics on CCD in an emerging country context.</w:t>
      </w:r>
    </w:p>
    <w:p w14:paraId="5655FD02" w14:textId="69B25190" w:rsidR="00AA1B8A"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rPr>
        <w:t>Despite the recent surge in the scrutiny of sustainable business practices in developing countries, Bangladeshi companies remain skeptical about their CCD (Belal &amp; Cooper, 2011; Elfeky &amp; Nasiri, 2017). Regulatory authorities, including the Ministry of Environment and Forest and the Bangladesh Securities and Exchange Commission (BSEC), have introduced various laws and guidelines promoting good environmental practices, yet poor enforcement has hindered their implementation</w:t>
      </w:r>
      <w:r w:rsidRPr="00AE77D4">
        <w:rPr>
          <w:rFonts w:ascii="Times New Roman" w:hAnsi="Times New Roman" w:cs="Times New Roman"/>
          <w:sz w:val="24"/>
          <w:szCs w:val="24"/>
          <w:lang w:val="en-GB"/>
        </w:rPr>
        <w:t xml:space="preserve"> (i.e.</w:t>
      </w:r>
      <w:r w:rsidRPr="00AE77D4">
        <w:rPr>
          <w:rFonts w:ascii="Times New Roman" w:eastAsia="Calibri" w:hAnsi="Times New Roman" w:cs="Times New Roman"/>
          <w:sz w:val="24"/>
          <w:szCs w:val="24"/>
          <w:lang w:val="en-GB"/>
        </w:rPr>
        <w:t>, the Bangladesh Environment Conservation Act and Corporate Governance Guidelines 2012</w:t>
      </w:r>
      <w:r w:rsidRPr="00AE77D4">
        <w:rPr>
          <w:rFonts w:ascii="Times New Roman" w:hAnsi="Times New Roman" w:cs="Times New Roman"/>
          <w:sz w:val="24"/>
          <w:szCs w:val="24"/>
          <w:vertAlign w:val="superscript"/>
          <w:lang w:val="en-GB"/>
        </w:rPr>
        <w:footnoteReference w:id="4"/>
      </w:r>
      <w:r w:rsidRPr="00AE77D4">
        <w:rPr>
          <w:rFonts w:ascii="Times New Roman" w:hAnsi="Times New Roman" w:cs="Times New Roman"/>
          <w:sz w:val="24"/>
          <w:szCs w:val="24"/>
          <w:lang w:val="en-GB"/>
        </w:rPr>
        <w:t xml:space="preserve">). Strengthening internal governance structures is crucial for promoting the adoption of climate-friendly strategies (García-Martín &amp; Herrero, 2020). For instance, having an appropriate board size, increasing board gender diversity, independent and foreign directors, having an audit committee, and initiating frequent board meetings play influential roles in ensuring organizational legitimacy through climate disclosure (Khan </w:t>
      </w:r>
      <w:r w:rsidRPr="00AE77D4">
        <w:rPr>
          <w:rFonts w:ascii="Times New Roman" w:hAnsi="Times New Roman" w:cs="Times New Roman"/>
          <w:iCs/>
          <w:sz w:val="24"/>
          <w:szCs w:val="24"/>
          <w:lang w:val="en-GB"/>
        </w:rPr>
        <w:t xml:space="preserve">et al., </w:t>
      </w:r>
      <w:r w:rsidRPr="00AE77D4">
        <w:rPr>
          <w:rFonts w:ascii="Times New Roman" w:hAnsi="Times New Roman" w:cs="Times New Roman"/>
          <w:sz w:val="24"/>
          <w:szCs w:val="24"/>
          <w:lang w:val="en-GB"/>
        </w:rPr>
        <w:t xml:space="preserve">2013; Ntim et al., 2013). There is a dearth of empirical research addressing how regulators affect CCD among mindful firms, despite the significance of governance structures for fostering adherence to climate-friendly practices (Nguyen et al., 2021), which provides a wonderful opportunity to contribute something new to </w:t>
      </w:r>
      <w:r w:rsidRPr="00AE77D4">
        <w:rPr>
          <w:rFonts w:ascii="Times New Roman" w:eastAsia="Calibri" w:hAnsi="Times New Roman" w:cs="Times New Roman"/>
          <w:sz w:val="24"/>
          <w:szCs w:val="24"/>
          <w:lang w:val="en-GB"/>
        </w:rPr>
        <w:t xml:space="preserve">the existing </w:t>
      </w:r>
      <w:r w:rsidRPr="00AE77D4">
        <w:rPr>
          <w:rFonts w:ascii="Times New Roman" w:eastAsia="Calibri" w:hAnsi="Times New Roman" w:cs="Times New Roman"/>
          <w:sz w:val="24"/>
          <w:szCs w:val="24"/>
          <w:lang w:val="en-GB"/>
        </w:rPr>
        <w:lastRenderedPageBreak/>
        <w:t xml:space="preserve">literature. </w:t>
      </w:r>
      <w:r w:rsidRPr="00AE77D4">
        <w:rPr>
          <w:rFonts w:ascii="Times New Roman" w:hAnsi="Times New Roman" w:cs="Times New Roman"/>
          <w:sz w:val="24"/>
          <w:szCs w:val="24"/>
          <w:lang w:val="en-GB"/>
        </w:rPr>
        <w:t>This study explores how regulators influence CCD among mindful firms by considering the significance of governance structures in fostering adherence to climate-friendly practices.</w:t>
      </w:r>
    </w:p>
    <w:p w14:paraId="34110A62" w14:textId="06067FCD" w:rsidR="000209D4" w:rsidRPr="00AE77D4" w:rsidRDefault="00661A05" w:rsidP="00AE77D4">
      <w:pPr>
        <w:autoSpaceDE w:val="0"/>
        <w:autoSpaceDN w:val="0"/>
        <w:adjustRightInd w:val="0"/>
        <w:spacing w:line="276" w:lineRule="auto"/>
        <w:jc w:val="both"/>
        <w:rPr>
          <w:rFonts w:ascii="Times New Roman" w:hAnsi="Times New Roman" w:cs="Times New Roman"/>
          <w:noProof/>
          <w:sz w:val="24"/>
          <w:szCs w:val="24"/>
          <w:lang w:val="en-GB"/>
        </w:rPr>
      </w:pPr>
      <w:r w:rsidRPr="00AE77D4">
        <w:rPr>
          <w:rFonts w:ascii="Times New Roman" w:hAnsi="Times New Roman" w:cs="Times New Roman"/>
          <w:sz w:val="24"/>
          <w:szCs w:val="24"/>
          <w:lang w:val="en-GB"/>
        </w:rPr>
        <w:t>This study contributes novel findings to the literature on climate disclosure.</w:t>
      </w:r>
      <w:r w:rsidR="001B2212" w:rsidRPr="00AE77D4">
        <w:rPr>
          <w:rFonts w:ascii="Times New Roman" w:hAnsi="Times New Roman" w:cs="Times New Roman"/>
          <w:sz w:val="24"/>
          <w:szCs w:val="24"/>
          <w:lang w:val="en-GB"/>
        </w:rPr>
        <w:t xml:space="preserve"> I</w:t>
      </w:r>
      <w:r w:rsidRPr="00AE77D4">
        <w:rPr>
          <w:rFonts w:ascii="Times New Roman" w:hAnsi="Times New Roman" w:cs="Times New Roman"/>
          <w:sz w:val="24"/>
          <w:szCs w:val="24"/>
          <w:lang w:val="en-GB"/>
        </w:rPr>
        <w:t>t examines the effects of regulatory influence on CCD through the lens of a CG matrix, focusing on an emerging country context (i.e., Bangladesh). While previous research has predominantly explored the impact of carbon emissions on financial performance</w:t>
      </w:r>
      <w:r w:rsidR="00E04323" w:rsidRPr="00AE77D4">
        <w:rPr>
          <w:rFonts w:ascii="Times New Roman" w:hAnsi="Times New Roman" w:cs="Times New Roman"/>
          <w:noProof/>
          <w:sz w:val="24"/>
          <w:szCs w:val="24"/>
          <w:lang w:val="en-GB"/>
        </w:rPr>
        <w:t xml:space="preserve"> </w:t>
      </w:r>
      <w:r w:rsidR="00E04323" w:rsidRPr="00AE77D4">
        <w:rPr>
          <w:rFonts w:ascii="Times New Roman" w:hAnsi="Times New Roman" w:cs="Times New Roman"/>
          <w:noProof/>
          <w:sz w:val="24"/>
          <w:szCs w:val="24"/>
          <w:lang w:val="en-GB"/>
        </w:rPr>
        <w:fldChar w:fldCharType="begin"/>
      </w:r>
      <w:r w:rsidR="00E04323" w:rsidRPr="00AE77D4">
        <w:rPr>
          <w:rFonts w:ascii="Times New Roman" w:hAnsi="Times New Roman" w:cs="Times New Roman"/>
          <w:noProof/>
          <w:sz w:val="24"/>
          <w:szCs w:val="24"/>
          <w:lang w:val="en-GB"/>
        </w:rPr>
        <w:instrText xml:space="preserve"> ADDIN ZOTERO_ITEM CSL_CITATION {"citationID":"nQcTGMij","properties":{"formattedCitation":"(Lewandowski, 2017)","plainCitation":"(Lewandowski, 2017)","noteIndex":0},"citationItems":[{"id":54,"uris":["http://zotero.org/users/local/sE24SX8K/items/8P9QQVLW"],"itemData":{"id":54,"type":"article-journal","abstract":"Abstract\n            \n              This article uses econometric techniques to examine the effect of corporate carbon performance on corporate financial performance. I extend the existing literature in this research field by differentiating between two measurement perspectives: carbon performance expressed as annually reported carbon dioxide (CO\n              2\n              ) emission equivalents and improvements in carbon performance over time. Thereby, the article re‐addresses the research question ‘when and how does it pay to be green?’ in the context of carbon emissions and climate change mitigation. Using a nonlinear modeling technique, the findings indicate that it pays to be green for companies with superior carbon performance but not for companies with inferior carbon performance. The results also show that carbon emission mitigation is linearly and significantly positive related to return on sales (ROS) but negatively related to Tobin's\n              q\n              . These contradictory findings help us to understand why – in spite of growing regulatory pressure – companies have been slow to respond with effective action to tackle climate change beyond marginal efficiency improvements that correspond to ‘low‐hanging fruits’. The empirical analysis is based on an unbalanced sample of 7625 firm‐year observations covering carbon emission data (Scope 1 and Scope 2) for 1640 international firms from 2003 to 2015. Copyright © 2017 John Wiley &amp; Sons, Ltd and ERP Environment","container-title":"Business Strategy and the Environment","DOI":"10.1002/bse.1978","ISSN":"0964-4733, 1099-0836","issue":"8","journalAbbreviation":"Bus Strat Env","language":"en","page":"1196-1211","source":"DOI.org (Crossref)","title":"Corporate Carbon and Financial Performance: The Role of Emission Reductions","title-short":"Corporate Carbon and Financial Performance","volume":"26","author":[{"family":"Lewandowski","given":"Stefan"}],"issued":{"date-parts":[["2017",12]]}}}],"schema":"https://github.com/citation-style-language/schema/raw/master/csl-citation.json"} </w:instrText>
      </w:r>
      <w:r w:rsidR="00E04323" w:rsidRPr="00AE77D4">
        <w:rPr>
          <w:rFonts w:ascii="Times New Roman" w:hAnsi="Times New Roman" w:cs="Times New Roman"/>
          <w:noProof/>
          <w:sz w:val="24"/>
          <w:szCs w:val="24"/>
          <w:lang w:val="en-GB"/>
        </w:rPr>
        <w:fldChar w:fldCharType="separate"/>
      </w:r>
      <w:r w:rsidR="00E04323" w:rsidRPr="00AE77D4">
        <w:rPr>
          <w:rFonts w:ascii="Times New Roman" w:hAnsi="Times New Roman" w:cs="Times New Roman"/>
          <w:noProof/>
          <w:sz w:val="24"/>
          <w:szCs w:val="24"/>
          <w:lang w:val="en-GB"/>
        </w:rPr>
        <w:t>(Lewandowski, 2017)</w:t>
      </w:r>
      <w:r w:rsidR="00E04323" w:rsidRPr="00AE77D4">
        <w:rPr>
          <w:rFonts w:ascii="Times New Roman" w:hAnsi="Times New Roman" w:cs="Times New Roman"/>
          <w:noProof/>
          <w:sz w:val="24"/>
          <w:szCs w:val="24"/>
          <w:lang w:val="en-GB"/>
        </w:rPr>
        <w:fldChar w:fldCharType="end"/>
      </w:r>
      <w:r w:rsidR="00D7280E" w:rsidRPr="00AE77D4">
        <w:rPr>
          <w:rFonts w:ascii="Times New Roman" w:hAnsi="Times New Roman" w:cs="Times New Roman"/>
          <w:noProof/>
          <w:sz w:val="24"/>
          <w:szCs w:val="24"/>
          <w:lang w:val="en-GB"/>
        </w:rPr>
        <w:t xml:space="preserve">, </w:t>
      </w:r>
      <w:r w:rsidRPr="00AE77D4">
        <w:rPr>
          <w:rFonts w:ascii="Times New Roman" w:hAnsi="Times New Roman" w:cs="Times New Roman"/>
          <w:noProof/>
          <w:sz w:val="24"/>
          <w:szCs w:val="24"/>
          <w:lang w:val="en-GB"/>
        </w:rPr>
        <w:t>limited attention has been paid to regulatory influence on CCD</w:t>
      </w:r>
      <w:r w:rsidR="00BD608D" w:rsidRPr="00AE77D4">
        <w:rPr>
          <w:rFonts w:ascii="Times New Roman" w:hAnsi="Times New Roman" w:cs="Times New Roman"/>
          <w:noProof/>
          <w:sz w:val="24"/>
          <w:szCs w:val="24"/>
          <w:lang w:val="en-GB"/>
        </w:rPr>
        <w:t xml:space="preserve"> in the </w:t>
      </w:r>
      <w:r w:rsidRPr="00AE77D4">
        <w:rPr>
          <w:rFonts w:ascii="Times New Roman" w:eastAsia="Calibri" w:hAnsi="Times New Roman" w:cs="Times New Roman"/>
          <w:noProof/>
          <w:sz w:val="24"/>
          <w:szCs w:val="24"/>
          <w:lang w:val="en-GB"/>
        </w:rPr>
        <w:t xml:space="preserve">context of developing </w:t>
      </w:r>
      <w:r w:rsidR="00BD608D" w:rsidRPr="00AE77D4">
        <w:rPr>
          <w:rFonts w:ascii="Times New Roman" w:hAnsi="Times New Roman" w:cs="Times New Roman"/>
          <w:noProof/>
          <w:sz w:val="24"/>
          <w:szCs w:val="24"/>
          <w:lang w:val="en-GB"/>
        </w:rPr>
        <w:t>economies</w:t>
      </w:r>
      <w:r w:rsidR="00D7280E" w:rsidRPr="00AE77D4">
        <w:rPr>
          <w:rFonts w:ascii="Times New Roman" w:hAnsi="Times New Roman" w:cs="Times New Roman"/>
          <w:noProof/>
          <w:sz w:val="24"/>
          <w:szCs w:val="24"/>
          <w:lang w:val="en-GB"/>
        </w:rPr>
        <w:t xml:space="preserve">. </w:t>
      </w:r>
      <w:r w:rsidR="00371586" w:rsidRPr="00AE77D4">
        <w:rPr>
          <w:rFonts w:ascii="Times New Roman" w:hAnsi="Times New Roman" w:cs="Times New Roman"/>
          <w:noProof/>
          <w:sz w:val="24"/>
          <w:szCs w:val="24"/>
          <w:lang w:val="en-GB"/>
        </w:rPr>
        <w:t>For instance, empirical evidence indicates that companies with more independent boards and a higher proportion of women on their boards tend to implement more comprehensive climate initi</w:t>
      </w:r>
      <w:r w:rsidRPr="00AE77D4">
        <w:rPr>
          <w:rFonts w:ascii="Times New Roman" w:eastAsia="Calibri" w:hAnsi="Times New Roman" w:cs="Times New Roman"/>
          <w:noProof/>
          <w:sz w:val="24"/>
          <w:szCs w:val="24"/>
          <w:lang w:val="en-GB"/>
        </w:rPr>
        <w:t>atives (</w:t>
      </w:r>
      <w:r w:rsidR="00371586" w:rsidRPr="00AE77D4">
        <w:rPr>
          <w:rFonts w:ascii="Times New Roman" w:hAnsi="Times New Roman" w:cs="Times New Roman"/>
          <w:noProof/>
          <w:sz w:val="24"/>
          <w:szCs w:val="24"/>
          <w:lang w:val="en-GB"/>
        </w:rPr>
        <w:t xml:space="preserve">Al-Shaer </w:t>
      </w:r>
      <w:r w:rsidR="00371586" w:rsidRPr="00AE77D4">
        <w:rPr>
          <w:rFonts w:ascii="Times New Roman" w:hAnsi="Times New Roman" w:cs="Times New Roman"/>
          <w:sz w:val="24"/>
          <w:szCs w:val="24"/>
          <w:lang w:val="en-GB"/>
        </w:rPr>
        <w:t xml:space="preserve">&amp; </w:t>
      </w:r>
      <w:r w:rsidR="00371586" w:rsidRPr="00AE77D4">
        <w:rPr>
          <w:rFonts w:ascii="Times New Roman" w:hAnsi="Times New Roman" w:cs="Times New Roman"/>
          <w:noProof/>
          <w:sz w:val="24"/>
          <w:szCs w:val="24"/>
          <w:lang w:val="en-GB"/>
        </w:rPr>
        <w:t xml:space="preserve">Zaman, 2019; </w:t>
      </w:r>
      <w:r w:rsidR="00371586" w:rsidRPr="00AE77D4">
        <w:rPr>
          <w:rFonts w:ascii="Times New Roman" w:hAnsi="Times New Roman" w:cs="Times New Roman"/>
          <w:sz w:val="24"/>
          <w:szCs w:val="24"/>
          <w:lang w:val="en-GB"/>
        </w:rPr>
        <w:t xml:space="preserve">Amran et al., 2014; </w:t>
      </w:r>
      <w:r w:rsidR="00371586" w:rsidRPr="00AE77D4">
        <w:rPr>
          <w:rFonts w:ascii="Times New Roman" w:hAnsi="Times New Roman" w:cs="Times New Roman"/>
          <w:noProof/>
          <w:sz w:val="24"/>
          <w:szCs w:val="24"/>
          <w:lang w:val="en-GB"/>
        </w:rPr>
        <w:t xml:space="preserve">Haque, 2017). According to Haque and Ntim (2018), companies with less effective CG have lower actual CCD than well-governed competitors. </w:t>
      </w:r>
      <w:r w:rsidR="00834CE8" w:rsidRPr="00AE77D4">
        <w:rPr>
          <w:rFonts w:ascii="Times New Roman" w:hAnsi="Times New Roman" w:cs="Times New Roman"/>
          <w:noProof/>
          <w:sz w:val="24"/>
          <w:szCs w:val="24"/>
          <w:lang w:val="en-GB"/>
        </w:rPr>
        <w:t xml:space="preserve">In this instance, an emerging country analysis of environmentally sensitive firms can help explain the mixed findings documented in prior literature. </w:t>
      </w:r>
    </w:p>
    <w:p w14:paraId="3C40D408" w14:textId="61B26059" w:rsidR="006A51A0"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The remainder of this paper is </w:t>
      </w:r>
      <w:r w:rsidR="00A5140C" w:rsidRPr="00AE77D4">
        <w:rPr>
          <w:rFonts w:ascii="Times New Roman" w:hAnsi="Times New Roman" w:cs="Times New Roman"/>
          <w:sz w:val="24"/>
          <w:szCs w:val="24"/>
          <w:lang w:val="en-GB"/>
        </w:rPr>
        <w:t xml:space="preserve">organized </w:t>
      </w:r>
      <w:r w:rsidRPr="00AE77D4">
        <w:rPr>
          <w:rFonts w:ascii="Times New Roman" w:hAnsi="Times New Roman" w:cs="Times New Roman"/>
          <w:sz w:val="24"/>
          <w:szCs w:val="24"/>
          <w:lang w:val="en-GB"/>
        </w:rPr>
        <w:t xml:space="preserve">as follows. </w:t>
      </w:r>
      <w:r w:rsidR="00DC0162" w:rsidRPr="00AE77D4">
        <w:rPr>
          <w:rFonts w:ascii="Times New Roman" w:hAnsi="Times New Roman" w:cs="Times New Roman"/>
          <w:sz w:val="24"/>
          <w:szCs w:val="24"/>
          <w:lang w:val="en-GB"/>
        </w:rPr>
        <w:t>Section 2 provides the background</w:t>
      </w:r>
      <w:r w:rsidRPr="00AE77D4">
        <w:rPr>
          <w:rFonts w:ascii="Times New Roman" w:eastAsia="Calibri" w:hAnsi="Times New Roman" w:cs="Times New Roman"/>
          <w:sz w:val="24"/>
          <w:szCs w:val="24"/>
          <w:lang w:val="en-GB"/>
        </w:rPr>
        <w:t xml:space="preserve"> for this study</w:t>
      </w:r>
      <w:r w:rsidR="004812D2" w:rsidRPr="00AE77D4">
        <w:rPr>
          <w:rFonts w:ascii="Times New Roman" w:hAnsi="Times New Roman" w:cs="Times New Roman"/>
          <w:sz w:val="24"/>
          <w:szCs w:val="24"/>
          <w:lang w:val="en-GB"/>
        </w:rPr>
        <w:t>.</w:t>
      </w:r>
      <w:r w:rsidR="00433B2D" w:rsidRPr="00AE77D4">
        <w:rPr>
          <w:rFonts w:ascii="Times New Roman" w:hAnsi="Times New Roman" w:cs="Times New Roman"/>
          <w:sz w:val="24"/>
          <w:szCs w:val="24"/>
          <w:lang w:val="en-GB"/>
        </w:rPr>
        <w:t xml:space="preserve"> Section 3 </w:t>
      </w:r>
      <w:r w:rsidR="007F0A2E" w:rsidRPr="00AE77D4">
        <w:rPr>
          <w:rFonts w:ascii="Times New Roman" w:hAnsi="Times New Roman" w:cs="Times New Roman"/>
          <w:sz w:val="24"/>
          <w:szCs w:val="24"/>
          <w:lang w:val="en-GB"/>
        </w:rPr>
        <w:t>presents</w:t>
      </w:r>
      <w:r w:rsidR="00433B2D" w:rsidRPr="00AE77D4">
        <w:rPr>
          <w:rFonts w:ascii="Times New Roman" w:hAnsi="Times New Roman" w:cs="Times New Roman"/>
          <w:sz w:val="24"/>
          <w:szCs w:val="24"/>
          <w:lang w:val="en-GB"/>
        </w:rPr>
        <w:t xml:space="preserve"> a theoretical literature review that guides this study.</w:t>
      </w:r>
      <w:r w:rsidR="00964079" w:rsidRPr="00AE77D4">
        <w:rPr>
          <w:rFonts w:ascii="Times New Roman" w:hAnsi="Times New Roman" w:cs="Times New Roman"/>
          <w:sz w:val="24"/>
          <w:szCs w:val="24"/>
          <w:lang w:val="en-GB"/>
        </w:rPr>
        <w:t xml:space="preserve"> Section 4 </w:t>
      </w:r>
      <w:r w:rsidR="00B40B3C" w:rsidRPr="00AE77D4">
        <w:rPr>
          <w:rFonts w:ascii="Times New Roman" w:hAnsi="Times New Roman" w:cs="Times New Roman"/>
          <w:sz w:val="24"/>
          <w:szCs w:val="24"/>
          <w:lang w:val="en-GB"/>
        </w:rPr>
        <w:t>report</w:t>
      </w:r>
      <w:r w:rsidR="00964079" w:rsidRPr="00AE77D4">
        <w:rPr>
          <w:rFonts w:ascii="Times New Roman" w:hAnsi="Times New Roman" w:cs="Times New Roman"/>
          <w:sz w:val="24"/>
          <w:szCs w:val="24"/>
          <w:lang w:val="en-GB"/>
        </w:rPr>
        <w:t>s a condensed empirical literature review and hypothesis development.</w:t>
      </w:r>
      <w:r w:rsidR="008269EA" w:rsidRPr="00AE77D4">
        <w:rPr>
          <w:rFonts w:ascii="Times New Roman" w:hAnsi="Times New Roman" w:cs="Times New Roman"/>
          <w:sz w:val="24"/>
          <w:szCs w:val="24"/>
          <w:lang w:val="en-GB"/>
        </w:rPr>
        <w:t xml:space="preserve"> Section 5 </w:t>
      </w:r>
      <w:r w:rsidR="00B40B3C" w:rsidRPr="00AE77D4">
        <w:rPr>
          <w:rFonts w:ascii="Times New Roman" w:hAnsi="Times New Roman" w:cs="Times New Roman"/>
          <w:sz w:val="24"/>
          <w:szCs w:val="24"/>
          <w:lang w:val="en-GB"/>
        </w:rPr>
        <w:t xml:space="preserve">outlines </w:t>
      </w:r>
      <w:r w:rsidR="008269EA" w:rsidRPr="00AE77D4">
        <w:rPr>
          <w:rFonts w:ascii="Times New Roman" w:hAnsi="Times New Roman" w:cs="Times New Roman"/>
          <w:sz w:val="24"/>
          <w:szCs w:val="24"/>
          <w:lang w:val="en-GB"/>
        </w:rPr>
        <w:t>the research design</w:t>
      </w:r>
      <w:r w:rsidRPr="00AE77D4">
        <w:rPr>
          <w:rFonts w:ascii="Times New Roman" w:eastAsia="Calibri" w:hAnsi="Times New Roman" w:cs="Times New Roman"/>
          <w:sz w:val="24"/>
          <w:szCs w:val="24"/>
          <w:lang w:val="en-GB"/>
        </w:rPr>
        <w:t xml:space="preserve"> of this study. Section </w:t>
      </w:r>
      <w:r w:rsidR="00924649" w:rsidRPr="00AE77D4">
        <w:rPr>
          <w:rFonts w:ascii="Times New Roman" w:hAnsi="Times New Roman" w:cs="Times New Roman"/>
          <w:sz w:val="24"/>
          <w:szCs w:val="24"/>
          <w:lang w:val="en-GB"/>
        </w:rPr>
        <w:t>6</w:t>
      </w:r>
      <w:r w:rsidR="008269EA" w:rsidRPr="00AE77D4">
        <w:rPr>
          <w:rFonts w:ascii="Times New Roman" w:hAnsi="Times New Roman" w:cs="Times New Roman"/>
          <w:sz w:val="24"/>
          <w:szCs w:val="24"/>
          <w:lang w:val="en-GB"/>
        </w:rPr>
        <w:t xml:space="preserve"> presents </w:t>
      </w:r>
      <w:r w:rsidRPr="00AE77D4">
        <w:rPr>
          <w:rFonts w:ascii="Times New Roman" w:eastAsia="Calibri" w:hAnsi="Times New Roman" w:cs="Times New Roman"/>
          <w:sz w:val="24"/>
          <w:szCs w:val="24"/>
          <w:lang w:val="en-GB"/>
        </w:rPr>
        <w:t>the empirical results and a discussion. Section 7 provides the summary and concluding remarks.</w:t>
      </w:r>
    </w:p>
    <w:p w14:paraId="7F0AFD75" w14:textId="77777777" w:rsidR="00A43341" w:rsidRPr="00AE77D4" w:rsidRDefault="00A43341" w:rsidP="00AE77D4">
      <w:pPr>
        <w:autoSpaceDE w:val="0"/>
        <w:autoSpaceDN w:val="0"/>
        <w:adjustRightInd w:val="0"/>
        <w:spacing w:line="276" w:lineRule="auto"/>
        <w:jc w:val="both"/>
        <w:rPr>
          <w:rFonts w:ascii="Times New Roman" w:hAnsi="Times New Roman" w:cs="Times New Roman"/>
          <w:sz w:val="24"/>
          <w:szCs w:val="24"/>
          <w:lang w:val="en-GB"/>
        </w:rPr>
      </w:pPr>
    </w:p>
    <w:p w14:paraId="7F4E6CF4" w14:textId="14E04B87" w:rsidR="00BA752A" w:rsidRPr="00AE77D4" w:rsidRDefault="00661A05" w:rsidP="00AE77D4">
      <w:pPr>
        <w:autoSpaceDE w:val="0"/>
        <w:autoSpaceDN w:val="0"/>
        <w:adjustRightInd w:val="0"/>
        <w:spacing w:line="276" w:lineRule="auto"/>
        <w:jc w:val="both"/>
        <w:rPr>
          <w:rFonts w:ascii="Times New Roman" w:hAnsi="Times New Roman" w:cs="Times New Roman"/>
          <w:b/>
          <w:bCs/>
          <w:noProof/>
          <w:sz w:val="24"/>
          <w:szCs w:val="24"/>
          <w:lang w:val="en-GB"/>
        </w:rPr>
      </w:pPr>
      <w:r w:rsidRPr="00AE77D4">
        <w:rPr>
          <w:rFonts w:ascii="Times New Roman" w:hAnsi="Times New Roman" w:cs="Times New Roman"/>
          <w:b/>
          <w:bCs/>
          <w:noProof/>
          <w:sz w:val="24"/>
          <w:szCs w:val="24"/>
          <w:lang w:val="en-GB"/>
        </w:rPr>
        <w:t xml:space="preserve">2 | </w:t>
      </w:r>
      <w:r w:rsidR="00FA3716" w:rsidRPr="00AE77D4">
        <w:rPr>
          <w:rFonts w:ascii="Times New Roman" w:hAnsi="Times New Roman" w:cs="Times New Roman"/>
          <w:b/>
          <w:bCs/>
          <w:noProof/>
          <w:sz w:val="24"/>
          <w:szCs w:val="24"/>
          <w:lang w:val="en-GB"/>
        </w:rPr>
        <w:t>BACKGROUND</w:t>
      </w:r>
    </w:p>
    <w:p w14:paraId="6E133F3B" w14:textId="6791B4FE" w:rsidR="002D348A"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Corporate governance (CG) encompasses various definitions, with the Cadbury Report 1992 in the United Kingdom offering a widely recognized definition, framing it as a system for managing and controlling companies (FRC, 2018). Driven by the global imperative for effective governance, Bangladesh implemented mandatory regulations in 2012, issuing Corporate Governance Guidelines (CGG) through the Bangladesh Securities and Exchange Commission (Securities and Exchange Commission, 2012). The Securities and Exchange Commission was founded on June 8, 1993, and underwent a name change to the Bangladesh Securities and Exchange Commission on December 10, 2012. These guidelines cover key principles under seven heads</w:t>
      </w:r>
      <w:r w:rsidRPr="00AE77D4">
        <w:rPr>
          <w:rFonts w:ascii="Times New Roman" w:eastAsia="Calibri" w:hAnsi="Times New Roman" w:cs="Times New Roman"/>
          <w:sz w:val="24"/>
          <w:szCs w:val="24"/>
          <w:lang w:val="en-GB"/>
        </w:rPr>
        <w:t xml:space="preserve">, including 95 conditions and one </w:t>
      </w:r>
      <w:r w:rsidR="00B83723" w:rsidRPr="00AE77D4">
        <w:rPr>
          <w:rFonts w:ascii="Times New Roman" w:hAnsi="Times New Roman" w:cs="Times New Roman"/>
          <w:sz w:val="24"/>
          <w:szCs w:val="24"/>
          <w:lang w:val="en-GB"/>
        </w:rPr>
        <w:t>annexure,</w:t>
      </w:r>
      <w:r w:rsidRPr="00AE77D4">
        <w:rPr>
          <w:rFonts w:ascii="Times New Roman" w:hAnsi="Times New Roman" w:cs="Times New Roman"/>
          <w:sz w:val="24"/>
          <w:szCs w:val="24"/>
          <w:lang w:val="en-GB"/>
        </w:rPr>
        <w:t xml:space="preserve"> addressing concerns such as board size, independent directors, and board meetings. The detailed guideline</w:t>
      </w:r>
      <w:r w:rsidRPr="00AE77D4">
        <w:rPr>
          <w:rFonts w:ascii="Times New Roman" w:eastAsia="Calibri" w:hAnsi="Times New Roman" w:cs="Times New Roman"/>
          <w:sz w:val="24"/>
          <w:szCs w:val="24"/>
          <w:lang w:val="en-GB"/>
        </w:rPr>
        <w:t>s (CGG in 2012) cover</w:t>
      </w:r>
      <w:r w:rsidRPr="00AE77D4">
        <w:rPr>
          <w:rFonts w:ascii="Times New Roman" w:hAnsi="Times New Roman" w:cs="Times New Roman"/>
          <w:sz w:val="24"/>
          <w:szCs w:val="24"/>
          <w:lang w:val="en-GB"/>
        </w:rPr>
        <w:t xml:space="preserve"> the board’s size</w:t>
      </w:r>
      <w:r w:rsidRPr="00AE77D4">
        <w:rPr>
          <w:rFonts w:ascii="Times New Roman" w:eastAsia="Calibri" w:hAnsi="Times New Roman" w:cs="Times New Roman"/>
          <w:sz w:val="24"/>
          <w:szCs w:val="24"/>
          <w:lang w:val="en-GB"/>
        </w:rPr>
        <w:t>, pointing to the maximum and minimum number</w:t>
      </w:r>
      <w:r w:rsidRPr="00AE77D4">
        <w:rPr>
          <w:rFonts w:ascii="Times New Roman" w:hAnsi="Times New Roman" w:cs="Times New Roman"/>
          <w:sz w:val="24"/>
          <w:szCs w:val="24"/>
          <w:lang w:val="en-GB"/>
        </w:rPr>
        <w:t xml:space="preserve"> of independent directors highlighting the qualification of independent directors, duality of the chairman of the board and chief executive officer</w:t>
      </w:r>
      <w:r w:rsidRPr="00AE77D4">
        <w:rPr>
          <w:rFonts w:ascii="Times New Roman" w:eastAsia="Calibri" w:hAnsi="Times New Roman" w:cs="Times New Roman"/>
          <w:sz w:val="24"/>
          <w:szCs w:val="24"/>
          <w:lang w:val="en-GB"/>
        </w:rPr>
        <w:t xml:space="preserve">, and the establishment of an audit committee on the board composed of at least one independent director. </w:t>
      </w:r>
    </w:p>
    <w:p w14:paraId="3B191748" w14:textId="35007703" w:rsidR="00661766"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However, inconsistencies arose in some principles</w:t>
      </w:r>
      <w:r w:rsidRPr="00AE77D4">
        <w:rPr>
          <w:rFonts w:ascii="Times New Roman" w:eastAsia="Calibri" w:hAnsi="Times New Roman" w:cs="Times New Roman"/>
          <w:sz w:val="24"/>
          <w:szCs w:val="24"/>
          <w:lang w:val="en-GB"/>
        </w:rPr>
        <w:t>, including board size, independent directors, and board meetings</w:t>
      </w:r>
      <w:r w:rsidRPr="00AE77D4">
        <w:rPr>
          <w:rFonts w:ascii="Times New Roman" w:hAnsi="Times New Roman" w:cs="Times New Roman"/>
          <w:sz w:val="24"/>
          <w:szCs w:val="24"/>
          <w:lang w:val="en-GB"/>
        </w:rPr>
        <w:t>, particularly in the banking, non-bank finance</w:t>
      </w:r>
      <w:r w:rsidRPr="00AE77D4">
        <w:rPr>
          <w:rFonts w:ascii="Times New Roman" w:eastAsia="Calibri" w:hAnsi="Times New Roman" w:cs="Times New Roman"/>
          <w:sz w:val="24"/>
          <w:szCs w:val="24"/>
          <w:lang w:val="en-GB"/>
        </w:rPr>
        <w:t>, and insurance sectors. For instance, board size</w:t>
      </w:r>
      <w:r w:rsidR="00B83723" w:rsidRPr="00AE77D4">
        <w:rPr>
          <w:rFonts w:ascii="Times New Roman" w:hAnsi="Times New Roman" w:cs="Times New Roman"/>
          <w:sz w:val="24"/>
          <w:szCs w:val="24"/>
          <w:lang w:val="en-GB"/>
        </w:rPr>
        <w:t xml:space="preserve"> and </w:t>
      </w:r>
      <w:r w:rsidRPr="00AE77D4">
        <w:rPr>
          <w:rFonts w:ascii="Times New Roman" w:hAnsi="Times New Roman" w:cs="Times New Roman"/>
          <w:sz w:val="24"/>
          <w:szCs w:val="24"/>
          <w:lang w:val="en-GB"/>
        </w:rPr>
        <w:t xml:space="preserve">appointing independent directors, </w:t>
      </w:r>
      <w:r w:rsidR="00B83723" w:rsidRPr="00AE77D4">
        <w:rPr>
          <w:rFonts w:ascii="Times New Roman" w:hAnsi="Times New Roman" w:cs="Times New Roman"/>
          <w:sz w:val="24"/>
          <w:szCs w:val="24"/>
          <w:lang w:val="en-GB"/>
        </w:rPr>
        <w:t>where</w:t>
      </w:r>
      <w:r w:rsidRPr="00AE77D4">
        <w:rPr>
          <w:rFonts w:ascii="Times New Roman" w:hAnsi="Times New Roman" w:cs="Times New Roman"/>
          <w:sz w:val="24"/>
          <w:szCs w:val="24"/>
          <w:lang w:val="en-GB"/>
        </w:rPr>
        <w:t xml:space="preserve"> immediate executives </w:t>
      </w:r>
      <w:r w:rsidR="00B83723" w:rsidRPr="00AE77D4">
        <w:rPr>
          <w:rFonts w:ascii="Times New Roman" w:hAnsi="Times New Roman" w:cs="Times New Roman"/>
          <w:sz w:val="24"/>
          <w:szCs w:val="24"/>
          <w:lang w:val="en-GB"/>
        </w:rPr>
        <w:t>used to be appointed,</w:t>
      </w:r>
      <w:r w:rsidRPr="00AE77D4">
        <w:rPr>
          <w:rFonts w:ascii="Times New Roman" w:hAnsi="Times New Roman" w:cs="Times New Roman"/>
          <w:sz w:val="24"/>
          <w:szCs w:val="24"/>
          <w:lang w:val="en-GB"/>
        </w:rPr>
        <w:t xml:space="preserve"> cause</w:t>
      </w:r>
      <w:r w:rsidR="00B83723" w:rsidRPr="00AE77D4">
        <w:rPr>
          <w:rFonts w:ascii="Times New Roman" w:hAnsi="Times New Roman" w:cs="Times New Roman"/>
          <w:sz w:val="24"/>
          <w:szCs w:val="24"/>
          <w:lang w:val="en-GB"/>
        </w:rPr>
        <w:t>d</w:t>
      </w:r>
      <w:r w:rsidRPr="00AE77D4">
        <w:rPr>
          <w:rFonts w:ascii="Times New Roman" w:hAnsi="Times New Roman" w:cs="Times New Roman"/>
          <w:sz w:val="24"/>
          <w:szCs w:val="24"/>
          <w:lang w:val="en-GB"/>
        </w:rPr>
        <w:t xml:space="preserve"> a threat to independence. This prompted reforms in the 2018 Corporate Governance Code (CGC) (Bangladesh Securities and Exchange </w:t>
      </w:r>
      <w:r w:rsidRPr="00AE77D4">
        <w:rPr>
          <w:rFonts w:ascii="Times New Roman" w:hAnsi="Times New Roman" w:cs="Times New Roman"/>
          <w:sz w:val="24"/>
          <w:szCs w:val="24"/>
          <w:lang w:val="en-GB"/>
        </w:rPr>
        <w:lastRenderedPageBreak/>
        <w:t>Commission, 2018). The new code (CGC in 2018), comprising 166 conditions under nine heads and three annexures, aimed to enhance governance transparency and accountability for shareholders and stakeholders alike (Aguilera &amp; Cuervo-Cazurra, 2009). The 2018 Corporate Governance Code introduced 62 new conditions, along with four conditions from the 2012 Corporate Governance Guidelines</w:t>
      </w:r>
      <w:r w:rsidRPr="00AE77D4">
        <w:rPr>
          <w:rFonts w:ascii="Times New Roman" w:eastAsia="Calibri" w:hAnsi="Times New Roman" w:cs="Times New Roman"/>
          <w:sz w:val="24"/>
          <w:szCs w:val="24"/>
          <w:lang w:val="en-GB"/>
        </w:rPr>
        <w:t>, split</w:t>
      </w:r>
      <w:r w:rsidRPr="00AE77D4">
        <w:rPr>
          <w:rFonts w:ascii="Times New Roman" w:hAnsi="Times New Roman" w:cs="Times New Roman"/>
          <w:sz w:val="24"/>
          <w:szCs w:val="24"/>
          <w:lang w:val="en-GB"/>
        </w:rPr>
        <w:t xml:space="preserve"> into 13 separate </w:t>
      </w:r>
      <w:r w:rsidRPr="00AE77D4">
        <w:rPr>
          <w:rFonts w:ascii="Times New Roman" w:eastAsia="Calibri" w:hAnsi="Times New Roman" w:cs="Times New Roman"/>
          <w:sz w:val="24"/>
          <w:szCs w:val="24"/>
          <w:lang w:val="en-GB"/>
        </w:rPr>
        <w:t>con</w:t>
      </w:r>
      <w:r w:rsidRPr="00AE77D4">
        <w:rPr>
          <w:rFonts w:ascii="Times New Roman" w:hAnsi="Times New Roman" w:cs="Times New Roman"/>
          <w:sz w:val="24"/>
          <w:szCs w:val="24"/>
          <w:lang w:val="en-GB"/>
        </w:rPr>
        <w:t xml:space="preserve">ditions. </w:t>
      </w:r>
    </w:p>
    <w:p w14:paraId="33569535" w14:textId="6FFE9CCA" w:rsidR="004163EE"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Noteworthy changes include the specification</w:t>
      </w:r>
      <w:r w:rsidRPr="00AE77D4">
        <w:rPr>
          <w:rFonts w:ascii="Times New Roman" w:eastAsia="Calibri" w:hAnsi="Times New Roman" w:cs="Times New Roman"/>
          <w:sz w:val="24"/>
          <w:szCs w:val="24"/>
          <w:lang w:val="en-GB"/>
        </w:rPr>
        <w:t xml:space="preserve">s of board composition, qualifications for independent directors, and additional conditions regarding the duality of chairpersons and </w:t>
      </w:r>
      <w:r w:rsidRPr="00AE77D4">
        <w:rPr>
          <w:rFonts w:ascii="Times New Roman" w:hAnsi="Times New Roman" w:cs="Times New Roman"/>
          <w:sz w:val="24"/>
          <w:szCs w:val="24"/>
          <w:lang w:val="en-GB"/>
        </w:rPr>
        <w:t>directors' report</w:t>
      </w:r>
      <w:r w:rsidRPr="00AE77D4">
        <w:rPr>
          <w:rFonts w:ascii="Times New Roman" w:eastAsia="Calibri" w:hAnsi="Times New Roman" w:cs="Times New Roman"/>
          <w:sz w:val="24"/>
          <w:szCs w:val="24"/>
          <w:lang w:val="en-GB"/>
        </w:rPr>
        <w:t xml:space="preserve">s to shareholders. </w:t>
      </w:r>
      <w:r w:rsidRPr="00AE77D4">
        <w:rPr>
          <w:rFonts w:ascii="Times New Roman" w:hAnsi="Times New Roman" w:cs="Times New Roman"/>
          <w:sz w:val="24"/>
          <w:szCs w:val="24"/>
          <w:lang w:val="en-GB"/>
        </w:rPr>
        <w:t>To address concerns about independence, the CGC improve</w:t>
      </w:r>
      <w:r w:rsidRPr="00AE77D4">
        <w:rPr>
          <w:rFonts w:ascii="Times New Roman" w:eastAsia="Calibri" w:hAnsi="Times New Roman" w:cs="Times New Roman"/>
          <w:sz w:val="24"/>
          <w:szCs w:val="24"/>
          <w:lang w:val="en-GB"/>
        </w:rPr>
        <w:t>d the appointment</w:t>
      </w:r>
      <w:r w:rsidRPr="00AE77D4">
        <w:rPr>
          <w:rFonts w:ascii="Times New Roman" w:hAnsi="Times New Roman" w:cs="Times New Roman"/>
          <w:sz w:val="24"/>
          <w:szCs w:val="24"/>
          <w:lang w:val="en-GB"/>
        </w:rPr>
        <w:t xml:space="preserve"> of independent directors, eliminating threats to independence. </w:t>
      </w:r>
      <w:r w:rsidR="007E0F1D" w:rsidRPr="00AE77D4">
        <w:rPr>
          <w:rFonts w:ascii="Times New Roman" w:hAnsi="Times New Roman" w:cs="Times New Roman"/>
          <w:sz w:val="24"/>
          <w:szCs w:val="24"/>
          <w:lang w:val="en-GB"/>
        </w:rPr>
        <w:t xml:space="preserve">First, it </w:t>
      </w:r>
      <w:r w:rsidR="00416BD5" w:rsidRPr="00AE77D4">
        <w:rPr>
          <w:rFonts w:ascii="Times New Roman" w:hAnsi="Times New Roman" w:cs="Times New Roman"/>
          <w:sz w:val="24"/>
          <w:szCs w:val="24"/>
          <w:lang w:val="en-GB"/>
        </w:rPr>
        <w:t xml:space="preserve">uniquely </w:t>
      </w:r>
      <w:r w:rsidR="007E0F1D" w:rsidRPr="00AE77D4">
        <w:rPr>
          <w:rFonts w:ascii="Times New Roman" w:hAnsi="Times New Roman" w:cs="Times New Roman"/>
          <w:sz w:val="24"/>
          <w:szCs w:val="24"/>
          <w:lang w:val="en-GB"/>
        </w:rPr>
        <w:t xml:space="preserve">guides </w:t>
      </w:r>
      <w:r w:rsidR="0079018C" w:rsidRPr="00AE77D4">
        <w:rPr>
          <w:rFonts w:ascii="Times New Roman" w:hAnsi="Times New Roman" w:cs="Times New Roman"/>
          <w:sz w:val="24"/>
          <w:szCs w:val="24"/>
          <w:lang w:val="en-GB"/>
        </w:rPr>
        <w:t xml:space="preserve">all </w:t>
      </w:r>
      <w:r w:rsidR="007E0F1D" w:rsidRPr="00AE77D4">
        <w:rPr>
          <w:rFonts w:ascii="Times New Roman" w:hAnsi="Times New Roman" w:cs="Times New Roman"/>
          <w:sz w:val="24"/>
          <w:szCs w:val="24"/>
          <w:lang w:val="en-GB"/>
        </w:rPr>
        <w:t>compan</w:t>
      </w:r>
      <w:r w:rsidR="0079018C" w:rsidRPr="00AE77D4">
        <w:rPr>
          <w:rFonts w:ascii="Times New Roman" w:hAnsi="Times New Roman" w:cs="Times New Roman"/>
          <w:sz w:val="24"/>
          <w:szCs w:val="24"/>
          <w:lang w:val="en-GB"/>
        </w:rPr>
        <w:t>ies</w:t>
      </w:r>
      <w:r w:rsidR="00416BD5" w:rsidRPr="00AE77D4">
        <w:rPr>
          <w:rFonts w:ascii="Times New Roman" w:hAnsi="Times New Roman" w:cs="Times New Roman"/>
          <w:sz w:val="24"/>
          <w:szCs w:val="24"/>
          <w:lang w:val="en-GB"/>
        </w:rPr>
        <w:t xml:space="preserve"> to organize a board with a specific number </w:t>
      </w:r>
      <w:r w:rsidR="0079018C" w:rsidRPr="00AE77D4">
        <w:rPr>
          <w:rFonts w:ascii="Times New Roman" w:hAnsi="Times New Roman" w:cs="Times New Roman"/>
          <w:sz w:val="24"/>
          <w:szCs w:val="24"/>
          <w:lang w:val="en-GB"/>
        </w:rPr>
        <w:t>of directors</w:t>
      </w:r>
      <w:r w:rsidR="00416BD5" w:rsidRPr="00AE77D4">
        <w:rPr>
          <w:rFonts w:ascii="Times New Roman" w:hAnsi="Times New Roman" w:cs="Times New Roman"/>
          <w:sz w:val="24"/>
          <w:szCs w:val="24"/>
          <w:lang w:val="en-GB"/>
        </w:rPr>
        <w:t xml:space="preserve"> (the CGC, Provision 1.1)</w:t>
      </w:r>
      <w:r w:rsidR="00D239CD" w:rsidRPr="00AE77D4">
        <w:rPr>
          <w:rFonts w:ascii="Times New Roman" w:hAnsi="Times New Roman" w:cs="Times New Roman"/>
          <w:sz w:val="24"/>
          <w:szCs w:val="24"/>
          <w:lang w:val="en-GB"/>
        </w:rPr>
        <w:t xml:space="preserve"> by eliminating earlier inconsistencies</w:t>
      </w:r>
      <w:r w:rsidR="009608D1" w:rsidRPr="00AE77D4">
        <w:rPr>
          <w:rFonts w:ascii="Times New Roman" w:hAnsi="Times New Roman" w:cs="Times New Roman"/>
          <w:sz w:val="24"/>
          <w:szCs w:val="24"/>
          <w:lang w:val="en-GB"/>
        </w:rPr>
        <w:t xml:space="preserve"> with any other </w:t>
      </w:r>
      <w:r w:rsidR="0079018C" w:rsidRPr="00AE77D4">
        <w:rPr>
          <w:rFonts w:ascii="Times New Roman" w:hAnsi="Times New Roman" w:cs="Times New Roman"/>
          <w:sz w:val="24"/>
          <w:szCs w:val="24"/>
          <w:lang w:val="en-GB"/>
        </w:rPr>
        <w:t xml:space="preserve">primary </w:t>
      </w:r>
      <w:r w:rsidR="009608D1" w:rsidRPr="00AE77D4">
        <w:rPr>
          <w:rFonts w:ascii="Times New Roman" w:hAnsi="Times New Roman" w:cs="Times New Roman"/>
          <w:sz w:val="24"/>
          <w:szCs w:val="24"/>
          <w:lang w:val="en-GB"/>
        </w:rPr>
        <w:t>regulator</w:t>
      </w:r>
      <w:r w:rsidR="00E22DEB" w:rsidRPr="00AE77D4">
        <w:rPr>
          <w:rFonts w:ascii="Times New Roman" w:hAnsi="Times New Roman" w:cs="Times New Roman"/>
          <w:sz w:val="24"/>
          <w:szCs w:val="24"/>
          <w:lang w:val="en-GB"/>
        </w:rPr>
        <w:t>.</w:t>
      </w:r>
      <w:r w:rsidR="008A721A" w:rsidRPr="00AE77D4">
        <w:rPr>
          <w:rFonts w:ascii="Times New Roman" w:hAnsi="Times New Roman" w:cs="Times New Roman"/>
          <w:sz w:val="24"/>
          <w:szCs w:val="24"/>
          <w:lang w:val="en-GB"/>
        </w:rPr>
        <w:t xml:space="preserve"> </w:t>
      </w:r>
      <w:r w:rsidR="000874D8" w:rsidRPr="00AE77D4">
        <w:rPr>
          <w:rFonts w:ascii="Times New Roman" w:hAnsi="Times New Roman" w:cs="Times New Roman"/>
          <w:sz w:val="24"/>
          <w:szCs w:val="24"/>
          <w:lang w:val="en-GB"/>
        </w:rPr>
        <w:t xml:space="preserve">Second, </w:t>
      </w:r>
      <w:r w:rsidR="00040F13" w:rsidRPr="00AE77D4">
        <w:rPr>
          <w:rFonts w:ascii="Times New Roman" w:hAnsi="Times New Roman" w:cs="Times New Roman"/>
          <w:sz w:val="24"/>
          <w:szCs w:val="24"/>
          <w:lang w:val="en-GB"/>
        </w:rPr>
        <w:t>clarity on independent directors’ qualification</w:t>
      </w:r>
      <w:r w:rsidR="008638D2" w:rsidRPr="00AE77D4">
        <w:rPr>
          <w:rFonts w:ascii="Times New Roman" w:hAnsi="Times New Roman" w:cs="Times New Roman"/>
          <w:sz w:val="24"/>
          <w:szCs w:val="24"/>
          <w:lang w:val="en-GB"/>
        </w:rPr>
        <w:t>s</w:t>
      </w:r>
      <w:r w:rsidR="00040F13" w:rsidRPr="00AE77D4">
        <w:rPr>
          <w:rFonts w:ascii="Times New Roman" w:hAnsi="Times New Roman" w:cs="Times New Roman"/>
          <w:sz w:val="24"/>
          <w:szCs w:val="24"/>
          <w:lang w:val="en-GB"/>
        </w:rPr>
        <w:t xml:space="preserve"> </w:t>
      </w:r>
      <w:r w:rsidR="000B3DF0" w:rsidRPr="00AE77D4">
        <w:rPr>
          <w:rFonts w:ascii="Times New Roman" w:hAnsi="Times New Roman" w:cs="Times New Roman"/>
          <w:sz w:val="24"/>
          <w:szCs w:val="24"/>
          <w:lang w:val="en-GB"/>
        </w:rPr>
        <w:t>is</w:t>
      </w:r>
      <w:r w:rsidR="000874D8" w:rsidRPr="00AE77D4">
        <w:rPr>
          <w:rFonts w:ascii="Times New Roman" w:hAnsi="Times New Roman" w:cs="Times New Roman"/>
          <w:sz w:val="24"/>
          <w:szCs w:val="24"/>
          <w:lang w:val="en-GB"/>
        </w:rPr>
        <w:t xml:space="preserve"> incorporated to ensure greater independence ( CGC, Provision 1.2)</w:t>
      </w:r>
      <w:r w:rsidR="00C07B0F" w:rsidRPr="00AE77D4">
        <w:rPr>
          <w:rFonts w:ascii="Times New Roman" w:hAnsi="Times New Roman" w:cs="Times New Roman"/>
          <w:sz w:val="24"/>
          <w:szCs w:val="24"/>
          <w:lang w:val="en-GB"/>
        </w:rPr>
        <w:t>.</w:t>
      </w:r>
      <w:r w:rsidR="000874D8" w:rsidRPr="00AE77D4">
        <w:rPr>
          <w:rFonts w:ascii="Times New Roman" w:hAnsi="Times New Roman" w:cs="Times New Roman"/>
          <w:sz w:val="24"/>
          <w:szCs w:val="24"/>
          <w:lang w:val="en-GB"/>
        </w:rPr>
        <w:t xml:space="preserve">  </w:t>
      </w:r>
      <w:r w:rsidR="002F4FB4" w:rsidRPr="00AE77D4">
        <w:rPr>
          <w:rFonts w:ascii="Times New Roman" w:hAnsi="Times New Roman" w:cs="Times New Roman"/>
          <w:sz w:val="24"/>
          <w:szCs w:val="24"/>
          <w:lang w:val="en-GB"/>
        </w:rPr>
        <w:t xml:space="preserve">Third, two new conditions </w:t>
      </w:r>
      <w:r w:rsidR="00EF1D9C" w:rsidRPr="00AE77D4">
        <w:rPr>
          <w:rFonts w:ascii="Times New Roman" w:hAnsi="Times New Roman" w:cs="Times New Roman"/>
          <w:sz w:val="24"/>
          <w:szCs w:val="24"/>
          <w:lang w:val="en-GB"/>
        </w:rPr>
        <w:t xml:space="preserve">with further explanation are integrated </w:t>
      </w:r>
      <w:r w:rsidR="002F4FB4" w:rsidRPr="00AE77D4">
        <w:rPr>
          <w:rFonts w:ascii="Times New Roman" w:hAnsi="Times New Roman" w:cs="Times New Roman"/>
          <w:sz w:val="24"/>
          <w:szCs w:val="24"/>
          <w:lang w:val="en-GB"/>
        </w:rPr>
        <w:t xml:space="preserve">into </w:t>
      </w:r>
      <w:r w:rsidRPr="00AE77D4">
        <w:rPr>
          <w:rFonts w:ascii="Times New Roman" w:eastAsia="Calibri" w:hAnsi="Times New Roman" w:cs="Times New Roman"/>
          <w:sz w:val="24"/>
          <w:szCs w:val="24"/>
          <w:lang w:val="en-GB"/>
        </w:rPr>
        <w:t>the duality of the chairperson of the board of directors and the managing director or chief executive officer</w:t>
      </w:r>
      <w:r w:rsidR="008638D2" w:rsidRPr="00AE77D4">
        <w:rPr>
          <w:rFonts w:ascii="Times New Roman" w:hAnsi="Times New Roman" w:cs="Times New Roman"/>
          <w:sz w:val="24"/>
          <w:szCs w:val="24"/>
          <w:lang w:val="en-GB"/>
        </w:rPr>
        <w:t>. To outline the directors’ report to shareholders</w:t>
      </w:r>
      <w:r w:rsidRPr="00AE77D4">
        <w:rPr>
          <w:rFonts w:ascii="Times New Roman" w:eastAsia="Calibri" w:hAnsi="Times New Roman" w:cs="Times New Roman"/>
          <w:sz w:val="24"/>
          <w:szCs w:val="24"/>
          <w:lang w:val="en-GB"/>
        </w:rPr>
        <w:t xml:space="preserve">, </w:t>
      </w:r>
      <w:r w:rsidR="008638D2" w:rsidRPr="00AE77D4">
        <w:rPr>
          <w:rFonts w:ascii="Times New Roman" w:hAnsi="Times New Roman" w:cs="Times New Roman"/>
          <w:sz w:val="24"/>
          <w:szCs w:val="24"/>
          <w:lang w:val="en-GB"/>
        </w:rPr>
        <w:t>11 new conditions are added (the CGC, Provision 5)</w:t>
      </w:r>
      <w:r w:rsidRPr="00AE77D4">
        <w:rPr>
          <w:rFonts w:ascii="Times New Roman" w:eastAsia="Calibri" w:hAnsi="Times New Roman" w:cs="Times New Roman"/>
          <w:sz w:val="24"/>
          <w:szCs w:val="24"/>
          <w:lang w:val="en-GB"/>
        </w:rPr>
        <w:t>,</w:t>
      </w:r>
      <w:r w:rsidR="002721C7" w:rsidRPr="00AE77D4">
        <w:rPr>
          <w:rFonts w:ascii="Times New Roman" w:hAnsi="Times New Roman" w:cs="Times New Roman"/>
          <w:sz w:val="24"/>
          <w:szCs w:val="24"/>
          <w:lang w:val="en-GB"/>
        </w:rPr>
        <w:t xml:space="preserve"> including protection </w:t>
      </w:r>
      <w:r w:rsidR="00034546" w:rsidRPr="00AE77D4">
        <w:rPr>
          <w:rFonts w:ascii="Times New Roman" w:hAnsi="Times New Roman" w:cs="Times New Roman"/>
          <w:sz w:val="24"/>
          <w:szCs w:val="24"/>
          <w:lang w:val="en-GB"/>
        </w:rPr>
        <w:t>for</w:t>
      </w:r>
      <w:r w:rsidR="002721C7" w:rsidRPr="00AE77D4">
        <w:rPr>
          <w:rFonts w:ascii="Times New Roman" w:hAnsi="Times New Roman" w:cs="Times New Roman"/>
          <w:sz w:val="24"/>
          <w:szCs w:val="24"/>
          <w:lang w:val="en-GB"/>
        </w:rPr>
        <w:t xml:space="preserve"> minority shareholders, interim bonus share, detail company position</w:t>
      </w:r>
      <w:r w:rsidRPr="00AE77D4">
        <w:rPr>
          <w:rFonts w:ascii="Times New Roman" w:eastAsia="Calibri" w:hAnsi="Times New Roman" w:cs="Times New Roman"/>
          <w:sz w:val="24"/>
          <w:szCs w:val="24"/>
          <w:lang w:val="en-GB"/>
        </w:rPr>
        <w:t>, etc</w:t>
      </w:r>
      <w:r w:rsidR="008638D2" w:rsidRPr="00AE77D4">
        <w:rPr>
          <w:rFonts w:ascii="Times New Roman" w:hAnsi="Times New Roman" w:cs="Times New Roman"/>
          <w:sz w:val="24"/>
          <w:szCs w:val="24"/>
          <w:lang w:val="en-GB"/>
        </w:rPr>
        <w:t>.</w:t>
      </w:r>
      <w:r w:rsidR="002721C7" w:rsidRPr="00AE77D4">
        <w:rPr>
          <w:rFonts w:ascii="Times New Roman" w:hAnsi="Times New Roman" w:cs="Times New Roman"/>
          <w:sz w:val="24"/>
          <w:szCs w:val="24"/>
          <w:lang w:val="en-GB"/>
        </w:rPr>
        <w:t xml:space="preserve"> In addition, </w:t>
      </w:r>
      <w:r w:rsidR="00126432" w:rsidRPr="00AE77D4">
        <w:rPr>
          <w:rFonts w:ascii="Times New Roman" w:hAnsi="Times New Roman" w:cs="Times New Roman"/>
          <w:sz w:val="24"/>
          <w:szCs w:val="24"/>
          <w:lang w:val="en-GB"/>
        </w:rPr>
        <w:t xml:space="preserve">four existing conditions are </w:t>
      </w:r>
      <w:r w:rsidR="009B53D8" w:rsidRPr="00AE77D4">
        <w:rPr>
          <w:rFonts w:ascii="Times New Roman" w:hAnsi="Times New Roman" w:cs="Times New Roman"/>
          <w:sz w:val="24"/>
          <w:szCs w:val="24"/>
          <w:lang w:val="en-GB"/>
        </w:rPr>
        <w:t xml:space="preserve">improved </w:t>
      </w:r>
      <w:r w:rsidR="00126432" w:rsidRPr="00AE77D4">
        <w:rPr>
          <w:rFonts w:ascii="Times New Roman" w:hAnsi="Times New Roman" w:cs="Times New Roman"/>
          <w:sz w:val="24"/>
          <w:szCs w:val="24"/>
          <w:lang w:val="en-GB"/>
        </w:rPr>
        <w:t xml:space="preserve">with the aim of </w:t>
      </w:r>
      <w:r w:rsidR="00034546" w:rsidRPr="00AE77D4">
        <w:rPr>
          <w:rFonts w:ascii="Times New Roman" w:hAnsi="Times New Roman" w:cs="Times New Roman"/>
          <w:sz w:val="24"/>
          <w:szCs w:val="24"/>
          <w:lang w:val="en-GB"/>
        </w:rPr>
        <w:t>bringing</w:t>
      </w:r>
      <w:r w:rsidR="00126432" w:rsidRPr="00AE77D4">
        <w:rPr>
          <w:rFonts w:ascii="Times New Roman" w:hAnsi="Times New Roman" w:cs="Times New Roman"/>
          <w:sz w:val="24"/>
          <w:szCs w:val="24"/>
          <w:lang w:val="en-GB"/>
        </w:rPr>
        <w:t xml:space="preserve"> more clarity to </w:t>
      </w:r>
      <w:r w:rsidRPr="00AE77D4">
        <w:rPr>
          <w:rFonts w:ascii="Times New Roman" w:eastAsia="Calibri" w:hAnsi="Times New Roman" w:cs="Times New Roman"/>
          <w:sz w:val="24"/>
          <w:szCs w:val="24"/>
          <w:lang w:val="en-GB"/>
        </w:rPr>
        <w:t>the disclosure o</w:t>
      </w:r>
      <w:r w:rsidR="00126432" w:rsidRPr="00AE77D4">
        <w:rPr>
          <w:rFonts w:ascii="Times New Roman" w:hAnsi="Times New Roman" w:cs="Times New Roman"/>
          <w:sz w:val="24"/>
          <w:szCs w:val="24"/>
          <w:lang w:val="en-GB"/>
        </w:rPr>
        <w:t xml:space="preserve">f risk factors, profits, gains, </w:t>
      </w:r>
      <w:r w:rsidRPr="00AE77D4">
        <w:rPr>
          <w:rFonts w:ascii="Times New Roman" w:eastAsia="Calibri" w:hAnsi="Times New Roman" w:cs="Times New Roman"/>
          <w:sz w:val="24"/>
          <w:szCs w:val="24"/>
          <w:lang w:val="en-GB"/>
        </w:rPr>
        <w:t xml:space="preserve">and related </w:t>
      </w:r>
      <w:r w:rsidR="00126432" w:rsidRPr="00AE77D4">
        <w:rPr>
          <w:rFonts w:ascii="Times New Roman" w:hAnsi="Times New Roman" w:cs="Times New Roman"/>
          <w:sz w:val="24"/>
          <w:szCs w:val="24"/>
          <w:lang w:val="en-GB"/>
        </w:rPr>
        <w:t>parties.</w:t>
      </w:r>
      <w:r w:rsidR="004A4684" w:rsidRPr="00AE77D4">
        <w:rPr>
          <w:rFonts w:ascii="Times New Roman" w:hAnsi="Times New Roman" w:cs="Times New Roman"/>
          <w:sz w:val="24"/>
          <w:szCs w:val="24"/>
          <w:lang w:val="en-GB"/>
        </w:rPr>
        <w:t xml:space="preserve"> In addition, for accountability, a new condition is included in </w:t>
      </w:r>
      <w:r w:rsidRPr="00AE77D4">
        <w:rPr>
          <w:rFonts w:ascii="Times New Roman" w:eastAsia="Calibri" w:hAnsi="Times New Roman" w:cs="Times New Roman"/>
          <w:sz w:val="24"/>
          <w:szCs w:val="24"/>
          <w:lang w:val="en-GB"/>
        </w:rPr>
        <w:t xml:space="preserve">the CGC to conduct board meetings and </w:t>
      </w:r>
      <w:r w:rsidR="004A4684" w:rsidRPr="00AE77D4">
        <w:rPr>
          <w:rFonts w:ascii="Times New Roman" w:hAnsi="Times New Roman" w:cs="Times New Roman"/>
          <w:sz w:val="24"/>
          <w:szCs w:val="24"/>
          <w:lang w:val="en-GB"/>
        </w:rPr>
        <w:t>formally record the minutes of the meetings.</w:t>
      </w:r>
      <w:r w:rsidR="00596467" w:rsidRPr="00AE77D4">
        <w:rPr>
          <w:rFonts w:ascii="Times New Roman" w:hAnsi="Times New Roman" w:cs="Times New Roman"/>
          <w:sz w:val="24"/>
          <w:szCs w:val="24"/>
          <w:lang w:val="en-GB"/>
        </w:rPr>
        <w:t xml:space="preserve"> </w:t>
      </w:r>
      <w:r w:rsidR="002C5EFE" w:rsidRPr="00AE77D4">
        <w:rPr>
          <w:rFonts w:ascii="Times New Roman" w:hAnsi="Times New Roman" w:cs="Times New Roman"/>
          <w:sz w:val="24"/>
          <w:szCs w:val="24"/>
          <w:lang w:val="en-GB"/>
        </w:rPr>
        <w:t xml:space="preserve">To ensure that the audit committee is structured with the right mix of </w:t>
      </w:r>
      <w:r w:rsidR="00816A03" w:rsidRPr="00AE77D4">
        <w:rPr>
          <w:rFonts w:ascii="Times New Roman" w:hAnsi="Times New Roman" w:cs="Times New Roman"/>
          <w:sz w:val="24"/>
          <w:szCs w:val="24"/>
          <w:lang w:val="en-GB"/>
        </w:rPr>
        <w:t xml:space="preserve">professional </w:t>
      </w:r>
      <w:r w:rsidR="002C5EFE" w:rsidRPr="00AE77D4">
        <w:rPr>
          <w:rFonts w:ascii="Times New Roman" w:hAnsi="Times New Roman" w:cs="Times New Roman"/>
          <w:sz w:val="24"/>
          <w:szCs w:val="24"/>
          <w:lang w:val="en-GB"/>
        </w:rPr>
        <w:t xml:space="preserve">skills and experience, </w:t>
      </w:r>
      <w:r w:rsidRPr="00AE77D4">
        <w:rPr>
          <w:rFonts w:ascii="Times New Roman" w:eastAsia="Calibri" w:hAnsi="Times New Roman" w:cs="Times New Roman"/>
          <w:sz w:val="24"/>
          <w:szCs w:val="24"/>
          <w:lang w:val="en-GB"/>
        </w:rPr>
        <w:t xml:space="preserve">the CGC </w:t>
      </w:r>
      <w:r w:rsidR="00BC163E" w:rsidRPr="00AE77D4">
        <w:rPr>
          <w:rFonts w:ascii="Times New Roman" w:hAnsi="Times New Roman" w:cs="Times New Roman"/>
          <w:sz w:val="24"/>
          <w:szCs w:val="24"/>
          <w:lang w:val="en-GB"/>
        </w:rPr>
        <w:t xml:space="preserve">2018 </w:t>
      </w:r>
      <w:r w:rsidR="002C5EFE" w:rsidRPr="00AE77D4">
        <w:rPr>
          <w:rFonts w:ascii="Times New Roman" w:hAnsi="Times New Roman" w:cs="Times New Roman"/>
          <w:sz w:val="24"/>
          <w:szCs w:val="24"/>
          <w:lang w:val="en-GB"/>
        </w:rPr>
        <w:t>included new condition</w:t>
      </w:r>
      <w:r w:rsidR="00816A03" w:rsidRPr="00AE77D4">
        <w:rPr>
          <w:rFonts w:ascii="Times New Roman" w:hAnsi="Times New Roman" w:cs="Times New Roman"/>
          <w:sz w:val="24"/>
          <w:szCs w:val="24"/>
          <w:lang w:val="en-GB"/>
        </w:rPr>
        <w:t>s</w:t>
      </w:r>
      <w:r w:rsidR="002C5EFE" w:rsidRPr="00AE77D4">
        <w:rPr>
          <w:rFonts w:ascii="Times New Roman" w:hAnsi="Times New Roman" w:cs="Times New Roman"/>
          <w:sz w:val="24"/>
          <w:szCs w:val="24"/>
          <w:lang w:val="en-GB"/>
        </w:rPr>
        <w:t xml:space="preserve"> for </w:t>
      </w:r>
      <w:r w:rsidRPr="00AE77D4">
        <w:rPr>
          <w:rFonts w:ascii="Times New Roman" w:eastAsia="Calibri" w:hAnsi="Times New Roman" w:cs="Times New Roman"/>
          <w:sz w:val="24"/>
          <w:szCs w:val="24"/>
          <w:lang w:val="en-GB"/>
        </w:rPr>
        <w:t>the determination of the chairperson</w:t>
      </w:r>
      <w:r w:rsidR="00816A03" w:rsidRPr="00AE77D4">
        <w:rPr>
          <w:rFonts w:ascii="Times New Roman" w:hAnsi="Times New Roman" w:cs="Times New Roman"/>
          <w:sz w:val="24"/>
          <w:szCs w:val="24"/>
          <w:lang w:val="en-GB"/>
        </w:rPr>
        <w:t>,</w:t>
      </w:r>
      <w:r w:rsidR="002C5EFE" w:rsidRPr="00AE77D4">
        <w:rPr>
          <w:rFonts w:ascii="Times New Roman" w:hAnsi="Times New Roman" w:cs="Times New Roman"/>
          <w:sz w:val="24"/>
          <w:szCs w:val="24"/>
          <w:lang w:val="en-GB"/>
        </w:rPr>
        <w:t xml:space="preserve"> </w:t>
      </w:r>
      <w:r w:rsidR="00CD0F4E" w:rsidRPr="00AE77D4">
        <w:rPr>
          <w:rFonts w:ascii="Times New Roman" w:hAnsi="Times New Roman" w:cs="Times New Roman"/>
          <w:sz w:val="24"/>
          <w:szCs w:val="24"/>
          <w:lang w:val="en-GB"/>
        </w:rPr>
        <w:t>the minimum four meetings in a financial year</w:t>
      </w:r>
      <w:r w:rsidR="00816A03"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the quorum of the meeting, and the role of the committee</w:t>
      </w:r>
      <w:r w:rsidR="002C5EFE" w:rsidRPr="00AE77D4">
        <w:rPr>
          <w:rFonts w:ascii="Times New Roman" w:hAnsi="Times New Roman" w:cs="Times New Roman"/>
          <w:sz w:val="24"/>
          <w:szCs w:val="24"/>
          <w:lang w:val="en-GB"/>
        </w:rPr>
        <w:t>.</w:t>
      </w:r>
      <w:r w:rsidRPr="00AE77D4">
        <w:rPr>
          <w:rFonts w:ascii="Times New Roman" w:hAnsi="Times New Roman" w:cs="Times New Roman"/>
          <w:sz w:val="24"/>
          <w:szCs w:val="24"/>
          <w:lang w:val="en-GB"/>
        </w:rPr>
        <w:t xml:space="preserve"> In addition, CGC 2018 also highlights a new head called </w:t>
      </w:r>
      <w:r w:rsidRPr="00AE77D4">
        <w:rPr>
          <w:rFonts w:ascii="Times New Roman" w:eastAsia="Calibri" w:hAnsi="Times New Roman" w:cs="Times New Roman"/>
          <w:sz w:val="24"/>
          <w:szCs w:val="24"/>
          <w:lang w:val="en-GB"/>
        </w:rPr>
        <w:t xml:space="preserve">the nominations and remuneration committee with the nomination criteria or policy for determining qualifications, positive attributes, experiences, and independence of directors and </w:t>
      </w:r>
      <w:r w:rsidRPr="00AE77D4">
        <w:rPr>
          <w:rFonts w:ascii="Times New Roman" w:hAnsi="Times New Roman" w:cs="Times New Roman"/>
          <w:sz w:val="24"/>
          <w:szCs w:val="24"/>
          <w:lang w:val="en-GB"/>
        </w:rPr>
        <w:t>top-level executive</w:t>
      </w:r>
      <w:r w:rsidRPr="00AE77D4">
        <w:rPr>
          <w:rFonts w:ascii="Times New Roman" w:eastAsia="Calibri" w:hAnsi="Times New Roman" w:cs="Times New Roman"/>
          <w:sz w:val="24"/>
          <w:szCs w:val="24"/>
          <w:lang w:val="en-GB"/>
        </w:rPr>
        <w:t>s</w:t>
      </w:r>
      <w:r w:rsidR="000141A3" w:rsidRPr="00AE77D4">
        <w:rPr>
          <w:rFonts w:ascii="Times New Roman" w:hAnsi="Times New Roman" w:cs="Times New Roman"/>
          <w:sz w:val="24"/>
          <w:szCs w:val="24"/>
          <w:lang w:val="en-GB"/>
        </w:rPr>
        <w:t xml:space="preserve">. CGC 2018 </w:t>
      </w:r>
      <w:r w:rsidR="006606A8" w:rsidRPr="00AE77D4">
        <w:rPr>
          <w:rFonts w:ascii="Times New Roman" w:hAnsi="Times New Roman" w:cs="Times New Roman"/>
          <w:sz w:val="24"/>
          <w:szCs w:val="24"/>
          <w:lang w:val="en-GB"/>
        </w:rPr>
        <w:t>includes additional provisions concerning external or statutory auditors to prevent conflicts of interest and their presence in annual general meeting</w:t>
      </w:r>
      <w:r w:rsidRPr="00AE77D4">
        <w:rPr>
          <w:rFonts w:ascii="Times New Roman" w:eastAsia="Calibri" w:hAnsi="Times New Roman" w:cs="Times New Roman"/>
          <w:sz w:val="24"/>
          <w:szCs w:val="24"/>
          <w:lang w:val="en-GB"/>
        </w:rPr>
        <w:t xml:space="preserve">s or extraordinary general meetings. In terms of </w:t>
      </w:r>
      <w:r w:rsidR="006606A8" w:rsidRPr="00AE77D4">
        <w:rPr>
          <w:rFonts w:ascii="Times New Roman" w:hAnsi="Times New Roman" w:cs="Times New Roman"/>
          <w:sz w:val="24"/>
          <w:szCs w:val="24"/>
          <w:lang w:val="en-GB"/>
        </w:rPr>
        <w:t xml:space="preserve">disclosure, CGC 2018 introduced a requirement for companies to maintain an official website, operational from the date of listing, for detailed disclosures. To ensure compliance, the CGC 2018 mandates </w:t>
      </w:r>
      <w:r w:rsidRPr="00AE77D4">
        <w:rPr>
          <w:rFonts w:ascii="Times New Roman" w:eastAsia="Calibri" w:hAnsi="Times New Roman" w:cs="Times New Roman"/>
          <w:sz w:val="24"/>
          <w:szCs w:val="24"/>
          <w:lang w:val="en-GB"/>
        </w:rPr>
        <w:t xml:space="preserve">that firms </w:t>
      </w:r>
      <w:r w:rsidR="006606A8" w:rsidRPr="00AE77D4">
        <w:rPr>
          <w:rFonts w:ascii="Times New Roman" w:hAnsi="Times New Roman" w:cs="Times New Roman"/>
          <w:sz w:val="24"/>
          <w:szCs w:val="24"/>
          <w:lang w:val="en-GB"/>
        </w:rPr>
        <w:t>obtain certificate</w:t>
      </w:r>
      <w:r w:rsidRPr="00AE77D4">
        <w:rPr>
          <w:rFonts w:ascii="Times New Roman" w:eastAsia="Calibri" w:hAnsi="Times New Roman" w:cs="Times New Roman"/>
          <w:sz w:val="24"/>
          <w:szCs w:val="24"/>
          <w:lang w:val="en-GB"/>
        </w:rPr>
        <w:t>s that confirm</w:t>
      </w:r>
      <w:r w:rsidR="006606A8" w:rsidRPr="00AE77D4">
        <w:rPr>
          <w:rFonts w:ascii="Times New Roman" w:hAnsi="Times New Roman" w:cs="Times New Roman"/>
          <w:sz w:val="24"/>
          <w:szCs w:val="24"/>
          <w:lang w:val="en-GB"/>
        </w:rPr>
        <w:t xml:space="preserve"> adherence to the Corporate Governance Code. This certificate was issued by a professional appointed by shareholders during an annual general meeting.</w:t>
      </w:r>
    </w:p>
    <w:p w14:paraId="25960129" w14:textId="15D1F6FC" w:rsidR="00661766"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The significance of the CGC </w:t>
      </w:r>
      <w:r w:rsidR="00F64A5B" w:rsidRPr="00AE77D4">
        <w:rPr>
          <w:rFonts w:ascii="Times New Roman" w:hAnsi="Times New Roman" w:cs="Times New Roman"/>
          <w:sz w:val="24"/>
          <w:szCs w:val="24"/>
          <w:lang w:val="en-GB"/>
        </w:rPr>
        <w:t xml:space="preserve">2018 </w:t>
      </w:r>
      <w:r w:rsidRPr="00AE77D4">
        <w:rPr>
          <w:rFonts w:ascii="Times New Roman" w:hAnsi="Times New Roman" w:cs="Times New Roman"/>
          <w:sz w:val="24"/>
          <w:szCs w:val="24"/>
          <w:lang w:val="en-GB"/>
        </w:rPr>
        <w:t>extends beyond mere regulatory compliance. Focus</w:t>
      </w:r>
      <w:r w:rsidRPr="00AE77D4">
        <w:rPr>
          <w:rFonts w:ascii="Times New Roman" w:eastAsia="Calibri" w:hAnsi="Times New Roman" w:cs="Times New Roman"/>
          <w:sz w:val="24"/>
          <w:szCs w:val="24"/>
          <w:lang w:val="en-GB"/>
        </w:rPr>
        <w:t>ing on maintaining an official website, obtaining compliance certificates, and addressing potential conflicts of interest, the CGC</w:t>
      </w:r>
      <w:r w:rsidR="00F64A5B" w:rsidRPr="00AE77D4">
        <w:rPr>
          <w:rFonts w:ascii="Times New Roman" w:hAnsi="Times New Roman" w:cs="Times New Roman"/>
          <w:sz w:val="24"/>
          <w:szCs w:val="24"/>
          <w:lang w:val="en-GB"/>
        </w:rPr>
        <w:t xml:space="preserve"> </w:t>
      </w:r>
      <w:r w:rsidRPr="00AE77D4">
        <w:rPr>
          <w:rFonts w:ascii="Times New Roman" w:hAnsi="Times New Roman" w:cs="Times New Roman"/>
          <w:sz w:val="24"/>
          <w:szCs w:val="24"/>
          <w:lang w:val="en-GB"/>
        </w:rPr>
        <w:t xml:space="preserve">anticipates a profound impact on companies' responses to establishing a corporate culture that prioritizes integrity and addresses climate change risks (Luo &amp; Tang, 2021). This regulatory shift is expected to build stakeholders' trust in the basic framework of the amended CGC 2018, </w:t>
      </w:r>
      <w:r w:rsidRPr="00AE77D4">
        <w:rPr>
          <w:rFonts w:ascii="Times New Roman" w:eastAsia="Calibri" w:hAnsi="Times New Roman" w:cs="Times New Roman"/>
          <w:sz w:val="24"/>
          <w:szCs w:val="24"/>
          <w:lang w:val="en-GB"/>
        </w:rPr>
        <w:t>thereby influencing their decision-making processes.</w:t>
      </w:r>
    </w:p>
    <w:p w14:paraId="391400D4" w14:textId="4A631C05" w:rsidR="000A71D7"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In summary, the evolution from CGG to CGC reflects a transformative journey in corporate governance in Bangladesh. These regulatory changes, particularly the 2018</w:t>
      </w:r>
      <w:r w:rsidRPr="00AE77D4">
        <w:rPr>
          <w:rFonts w:ascii="Times New Roman" w:eastAsia="Calibri" w:hAnsi="Times New Roman" w:cs="Times New Roman"/>
          <w:sz w:val="24"/>
          <w:szCs w:val="24"/>
          <w:lang w:val="en-GB"/>
        </w:rPr>
        <w:t xml:space="preserve"> CGC, lay the groundwork for our study, which explores the impact of these reforms on companies' efforts </w:t>
      </w:r>
      <w:r w:rsidRPr="00AE77D4">
        <w:rPr>
          <w:rFonts w:ascii="Times New Roman" w:eastAsia="Calibri" w:hAnsi="Times New Roman" w:cs="Times New Roman"/>
          <w:sz w:val="24"/>
          <w:szCs w:val="24"/>
          <w:lang w:val="en-GB"/>
        </w:rPr>
        <w:lastRenderedPageBreak/>
        <w:t>to promote integrity and address climate change risks through enhanced climate change disclosures (CCD).</w:t>
      </w:r>
    </w:p>
    <w:p w14:paraId="1212B3DE" w14:textId="77777777" w:rsidR="00E112E0" w:rsidRPr="00AE77D4" w:rsidRDefault="00E112E0" w:rsidP="00AE77D4">
      <w:pPr>
        <w:spacing w:line="276" w:lineRule="auto"/>
        <w:jc w:val="both"/>
        <w:rPr>
          <w:rFonts w:ascii="Times New Roman" w:hAnsi="Times New Roman" w:cs="Times New Roman"/>
          <w:sz w:val="24"/>
          <w:szCs w:val="24"/>
          <w:lang w:val="en-GB"/>
        </w:rPr>
      </w:pPr>
    </w:p>
    <w:p w14:paraId="4F7091BE" w14:textId="076E0EFD" w:rsidR="000A71D7" w:rsidRPr="00AE77D4" w:rsidRDefault="00661A05" w:rsidP="00AE77D4">
      <w:pPr>
        <w:spacing w:line="276" w:lineRule="auto"/>
        <w:jc w:val="both"/>
        <w:rPr>
          <w:rFonts w:ascii="Times New Roman" w:hAnsi="Times New Roman" w:cs="Times New Roman"/>
          <w:b/>
          <w:bCs/>
          <w:sz w:val="24"/>
          <w:szCs w:val="24"/>
          <w:lang w:val="en-GB"/>
        </w:rPr>
      </w:pPr>
      <w:r w:rsidRPr="00AE77D4">
        <w:rPr>
          <w:rFonts w:ascii="Times New Roman" w:hAnsi="Times New Roman" w:cs="Times New Roman"/>
          <w:b/>
          <w:bCs/>
          <w:noProof/>
          <w:sz w:val="24"/>
          <w:szCs w:val="24"/>
          <w:lang w:val="en-GB"/>
        </w:rPr>
        <w:t xml:space="preserve">3 | </w:t>
      </w:r>
      <w:r w:rsidRPr="00AE77D4">
        <w:rPr>
          <w:rFonts w:ascii="Times New Roman" w:hAnsi="Times New Roman" w:cs="Times New Roman"/>
          <w:b/>
          <w:bCs/>
          <w:sz w:val="24"/>
          <w:szCs w:val="24"/>
          <w:lang w:val="en-GB"/>
        </w:rPr>
        <w:t>THEORETICAL LITERATURE REVIEW</w:t>
      </w:r>
    </w:p>
    <w:p w14:paraId="05C38643" w14:textId="5633AB7A" w:rsidR="00EF64D2"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In examining the interplay between corporate governance mechanisms and climate change disclosure (CCD), this study acknowledges several pertinent theoretical perspectives. According to Agency Theory (Jensen &amp; Meckling, 2019), firms disclose information to bridge the gap between management and shareholder</w:t>
      </w:r>
      <w:r w:rsidRPr="00AE77D4">
        <w:rPr>
          <w:rFonts w:ascii="Times New Roman" w:eastAsia="Calibri" w:hAnsi="Times New Roman" w:cs="Times New Roman"/>
          <w:sz w:val="24"/>
          <w:szCs w:val="24"/>
          <w:lang w:val="en-GB"/>
        </w:rPr>
        <w:t xml:space="preserve">s’ goals. Stakeholder Theory (Hamman et al., 2010) emphasizes meeting the expectations of various stakeholders, </w:t>
      </w:r>
      <w:r w:rsidRPr="00AE77D4">
        <w:rPr>
          <w:rFonts w:ascii="Times New Roman" w:hAnsi="Times New Roman" w:cs="Times New Roman"/>
          <w:sz w:val="24"/>
          <w:szCs w:val="24"/>
          <w:lang w:val="en-GB"/>
        </w:rPr>
        <w:t xml:space="preserve">whereas Resource-Based Theory highlights the role of governance in managing external relationships. Legitimacy Theory argues for the alignment of firm values with societal norms (Suchman, 1995). However, this study ultimately focuses on </w:t>
      </w:r>
      <w:r w:rsidRPr="00AE77D4">
        <w:rPr>
          <w:rFonts w:ascii="Times New Roman" w:eastAsia="Calibri" w:hAnsi="Times New Roman" w:cs="Times New Roman"/>
          <w:sz w:val="24"/>
          <w:szCs w:val="24"/>
          <w:lang w:val="en-GB"/>
        </w:rPr>
        <w:t>the Neo-Institutional Theory, which delves into the impact of institutions on behavio</w:t>
      </w:r>
      <w:r w:rsidRPr="00AE77D4">
        <w:rPr>
          <w:rFonts w:ascii="Times New Roman" w:hAnsi="Times New Roman" w:cs="Times New Roman"/>
          <w:sz w:val="24"/>
          <w:szCs w:val="24"/>
          <w:lang w:val="en-GB"/>
        </w:rPr>
        <w:t>r through rules, norms, and formal mechanisms (Ball &amp; Caraig, 2010; DiMaggio &amp; Powell, 1983; Judge et al., 2010; Kostova &amp; Roth, 2002; Zattoni &amp; Cuomo, 2008).</w:t>
      </w:r>
    </w:p>
    <w:p w14:paraId="39026A51" w14:textId="45358BF8" w:rsidR="00EF64D2"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In examining the associations between corporate governance mechanisms and climate change disclosures, our analysis draws insights from neo-institutional theoretical perspectives, forming a dynamic multidimensional socioeconomic framework. Neo-institutional theory posits that institutions have a profound impact on human behavior through rules, norms, and formal or informal mechanisms (Ball &amp; Caraig, 2010; Judge et al., 2010; Kostova &amp; Roth, 2002).</w:t>
      </w:r>
    </w:p>
    <w:p w14:paraId="2CB58530" w14:textId="7C431ED2" w:rsidR="00EF64D2"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DiMaggio and Powell (1983) identified three institutional pillars—coercive/regulative, normative, and cognitive/mimetic pressures—within the neo-institutional framework to analyze their impact on firms. Our study argues that these interrelated institutional mechanisms, represented by corporate governance, drive firms to engage in climate disclosure.</w:t>
      </w:r>
    </w:p>
    <w:p w14:paraId="4AC33B28" w14:textId="36025B7F" w:rsidR="00EF64D2"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Formal regulations and guidelines, such as corporate governance guidelines, shape a firm's behavior by enforcing accepted standards. In the context of our study, coercive pressures emanate from regulatory bodies such as the Bangladesh Securities and Exchange Commission (BSEC), which introduced the Corporate Governance Code in 2018. This code outlines specific conditions and requirements, compelling firms to disclose their climate change initiatives to comply with </w:t>
      </w:r>
      <w:r w:rsidRPr="00AE77D4">
        <w:rPr>
          <w:rFonts w:ascii="Times New Roman" w:eastAsia="Calibri" w:hAnsi="Times New Roman" w:cs="Times New Roman"/>
          <w:sz w:val="24"/>
          <w:szCs w:val="24"/>
          <w:lang w:val="en-GB"/>
        </w:rPr>
        <w:t>the accepted standards (Karim et al., 2021; Katmon et al., 2019).</w:t>
      </w:r>
    </w:p>
    <w:p w14:paraId="3EC15AA1" w14:textId="30EC8AF9" w:rsidR="00EF64D2"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Firms assimilate social values and norms in alignment with conventions. In </w:t>
      </w:r>
      <w:r w:rsidR="00A50F0C" w:rsidRPr="00AE77D4">
        <w:rPr>
          <w:rFonts w:ascii="Times New Roman" w:hAnsi="Times New Roman" w:cs="Times New Roman"/>
          <w:sz w:val="24"/>
          <w:szCs w:val="24"/>
          <w:lang w:val="en-GB"/>
        </w:rPr>
        <w:t>this</w:t>
      </w:r>
      <w:r w:rsidRPr="00AE77D4">
        <w:rPr>
          <w:rFonts w:ascii="Times New Roman" w:hAnsi="Times New Roman" w:cs="Times New Roman"/>
          <w:sz w:val="24"/>
          <w:szCs w:val="24"/>
          <w:lang w:val="en-GB"/>
        </w:rPr>
        <w:t xml:space="preserve"> study, normative pressure manifest</w:t>
      </w:r>
      <w:r w:rsidRPr="00AE77D4">
        <w:rPr>
          <w:rFonts w:ascii="Times New Roman" w:eastAsia="Calibri" w:hAnsi="Times New Roman" w:cs="Times New Roman"/>
          <w:sz w:val="24"/>
          <w:szCs w:val="24"/>
          <w:lang w:val="en-GB"/>
        </w:rPr>
        <w:t>s as societal expectations for responsible and sustainable business practices. As environmental concerns gain global prominence</w:t>
      </w:r>
      <w:r w:rsidRPr="00AE77D4">
        <w:rPr>
          <w:rFonts w:ascii="Times New Roman" w:hAnsi="Times New Roman" w:cs="Times New Roman"/>
          <w:sz w:val="24"/>
          <w:szCs w:val="24"/>
          <w:lang w:val="en-GB"/>
        </w:rPr>
        <w:t xml:space="preserve">, firms face normative influences in disclosing their climate change actions. This expectation is reinforced through corporate governance mechanisms such as </w:t>
      </w:r>
      <w:r w:rsidR="0066514E" w:rsidRPr="00AE77D4">
        <w:rPr>
          <w:rFonts w:ascii="Times New Roman" w:hAnsi="Times New Roman" w:cs="Times New Roman"/>
          <w:sz w:val="24"/>
          <w:szCs w:val="24"/>
          <w:lang w:val="en-GB"/>
        </w:rPr>
        <w:t>board size and diversity</w:t>
      </w:r>
      <w:r w:rsidRPr="00AE77D4">
        <w:rPr>
          <w:rFonts w:ascii="Times New Roman" w:hAnsi="Times New Roman" w:cs="Times New Roman"/>
          <w:sz w:val="24"/>
          <w:szCs w:val="24"/>
          <w:lang w:val="en-GB"/>
        </w:rPr>
        <w:t xml:space="preserve">, reflecting the evolving societal norms surrounding environmental responsibility (Hafsi </w:t>
      </w:r>
      <w:r w:rsidR="00E1793D" w:rsidRPr="00AE77D4">
        <w:rPr>
          <w:rFonts w:ascii="Times New Roman" w:hAnsi="Times New Roman" w:cs="Times New Roman"/>
          <w:sz w:val="24"/>
          <w:szCs w:val="24"/>
          <w:lang w:val="en-GB"/>
        </w:rPr>
        <w:t>&amp;</w:t>
      </w:r>
      <w:r w:rsidRPr="00AE77D4">
        <w:rPr>
          <w:rFonts w:ascii="Times New Roman" w:hAnsi="Times New Roman" w:cs="Times New Roman"/>
          <w:sz w:val="24"/>
          <w:szCs w:val="24"/>
          <w:lang w:val="en-GB"/>
        </w:rPr>
        <w:t xml:space="preserve"> Turgut, 2013).</w:t>
      </w:r>
    </w:p>
    <w:p w14:paraId="1ABE97F3" w14:textId="646AEA27" w:rsidR="00EF64D2"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lastRenderedPageBreak/>
        <w:t xml:space="preserve">Arising from environmental ambiguity, firms emulate successful entities in their industries </w:t>
      </w:r>
      <w:r w:rsidRPr="00AE77D4">
        <w:rPr>
          <w:rFonts w:ascii="Times New Roman" w:eastAsia="Calibri" w:hAnsi="Times New Roman" w:cs="Times New Roman"/>
          <w:sz w:val="24"/>
          <w:szCs w:val="24"/>
          <w:lang w:val="en-GB"/>
        </w:rPr>
        <w:t>in order to gain institutional approval. In our study context, mimetic pressures materialize when firms observe their industry peers by adopting transparent climate</w:t>
      </w:r>
      <w:r w:rsidRPr="00AE77D4">
        <w:rPr>
          <w:rFonts w:ascii="Times New Roman" w:hAnsi="Times New Roman" w:cs="Times New Roman"/>
          <w:sz w:val="24"/>
          <w:szCs w:val="24"/>
          <w:lang w:val="en-GB"/>
        </w:rPr>
        <w:t>-change disclosure practices. This prompts them to follow suit, incorporate foreign directors</w:t>
      </w:r>
      <w:r w:rsidRPr="00AE77D4">
        <w:rPr>
          <w:rFonts w:ascii="Times New Roman" w:eastAsia="Calibri" w:hAnsi="Times New Roman" w:cs="Times New Roman"/>
          <w:sz w:val="24"/>
          <w:szCs w:val="24"/>
          <w:lang w:val="en-GB"/>
        </w:rPr>
        <w:t>, or establish</w:t>
      </w:r>
      <w:r w:rsidRPr="00AE77D4">
        <w:rPr>
          <w:rFonts w:ascii="Times New Roman" w:hAnsi="Times New Roman" w:cs="Times New Roman"/>
          <w:sz w:val="24"/>
          <w:szCs w:val="24"/>
          <w:lang w:val="en-GB"/>
        </w:rPr>
        <w:t xml:space="preserve"> audit committees to align with </w:t>
      </w:r>
      <w:r w:rsidRPr="00AE77D4">
        <w:rPr>
          <w:rFonts w:ascii="Times New Roman" w:eastAsia="Calibri" w:hAnsi="Times New Roman" w:cs="Times New Roman"/>
          <w:sz w:val="24"/>
          <w:szCs w:val="24"/>
          <w:lang w:val="en-GB"/>
        </w:rPr>
        <w:t>others’ perceived successful and legitimate practices of others (Khan et al., 2019).</w:t>
      </w:r>
    </w:p>
    <w:p w14:paraId="1266DECA" w14:textId="74A5CB4F" w:rsidR="005B350C"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Figure 1 illustrates the relationship between corporate governance mechanisms and climate change disclosures through </w:t>
      </w:r>
      <w:r w:rsidRPr="00AE77D4">
        <w:rPr>
          <w:rFonts w:ascii="Times New Roman" w:eastAsia="Calibri" w:hAnsi="Times New Roman" w:cs="Times New Roman"/>
          <w:sz w:val="24"/>
          <w:szCs w:val="24"/>
          <w:lang w:val="en-GB"/>
        </w:rPr>
        <w:t>the coercive, normative, and mimetic pressures</w:t>
      </w:r>
      <w:r w:rsidR="0024731A" w:rsidRPr="00AE77D4">
        <w:rPr>
          <w:rFonts w:ascii="Times New Roman" w:hAnsi="Times New Roman" w:cs="Times New Roman"/>
          <w:sz w:val="24"/>
          <w:szCs w:val="24"/>
          <w:lang w:val="en-GB"/>
        </w:rPr>
        <w:t xml:space="preserve"> used in this study</w:t>
      </w:r>
      <w:r w:rsidRPr="00AE77D4">
        <w:rPr>
          <w:rFonts w:ascii="Times New Roman" w:hAnsi="Times New Roman" w:cs="Times New Roman"/>
          <w:sz w:val="24"/>
          <w:szCs w:val="24"/>
          <w:lang w:val="en-GB"/>
        </w:rPr>
        <w:t>.</w:t>
      </w:r>
    </w:p>
    <w:p w14:paraId="3883D77D" w14:textId="0CCD15F3" w:rsidR="000B0F8A" w:rsidRPr="00AE77D4" w:rsidRDefault="00661A05" w:rsidP="00AE77D4">
      <w:pPr>
        <w:spacing w:line="276" w:lineRule="auto"/>
        <w:jc w:val="both"/>
        <w:rPr>
          <w:rFonts w:ascii="Times New Roman" w:hAnsi="Times New Roman" w:cs="Times New Roman"/>
          <w:b/>
          <w:bCs/>
          <w:sz w:val="24"/>
          <w:szCs w:val="24"/>
          <w:lang w:val="en-GB"/>
        </w:rPr>
      </w:pPr>
      <w:r w:rsidRPr="00AE77D4">
        <w:rPr>
          <w:rFonts w:ascii="Times New Roman" w:hAnsi="Times New Roman" w:cs="Times New Roman"/>
          <w:noProof/>
          <w:lang w:val="en-GB" w:eastAsia="en-GB"/>
        </w:rPr>
        <mc:AlternateContent>
          <mc:Choice Requires="wpg">
            <w:drawing>
              <wp:inline distT="0" distB="0" distL="0" distR="0" wp14:anchorId="1CF42580" wp14:editId="2024658B">
                <wp:extent cx="5699760" cy="3028950"/>
                <wp:effectExtent l="0" t="0" r="15240" b="19050"/>
                <wp:docPr id="2" name="Group 2"/>
                <wp:cNvGraphicFramePr/>
                <a:graphic xmlns:a="http://schemas.openxmlformats.org/drawingml/2006/main">
                  <a:graphicData uri="http://schemas.microsoft.com/office/word/2010/wordprocessingGroup">
                    <wpg:wgp>
                      <wpg:cNvGrpSpPr/>
                      <wpg:grpSpPr>
                        <a:xfrm>
                          <a:off x="0" y="0"/>
                          <a:ext cx="5699760" cy="3028950"/>
                          <a:chOff x="0" y="0"/>
                          <a:chExt cx="6343650" cy="3927475"/>
                        </a:xfrm>
                      </wpg:grpSpPr>
                      <wps:wsp>
                        <wps:cNvPr id="1" name="Rectangle 1"/>
                        <wps:cNvSpPr/>
                        <wps:spPr>
                          <a:xfrm>
                            <a:off x="5191125" y="990600"/>
                            <a:ext cx="1152525" cy="2832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8365B" w14:textId="77777777" w:rsidR="0062671A" w:rsidRPr="00731BB6" w:rsidRDefault="00661A05" w:rsidP="000B0F8A">
                              <w:pPr>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Climate change disclosers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 name="Rectangle 3"/>
                        <wps:cNvSpPr/>
                        <wps:spPr>
                          <a:xfrm>
                            <a:off x="3543300" y="981075"/>
                            <a:ext cx="1397000" cy="2832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29EC2" w14:textId="77777777" w:rsidR="0062671A" w:rsidRPr="00731BB6" w:rsidRDefault="0062671A" w:rsidP="000B0F8A">
                              <w:pPr>
                                <w:jc w:val="center"/>
                                <w:rPr>
                                  <w:rFonts w:ascii="Times New Roman" w:hAnsi="Times New Roman" w:cs="Times New Roman"/>
                                  <w:color w:val="000000" w:themeColor="text1"/>
                                  <w:sz w:val="20"/>
                                  <w:szCs w:val="20"/>
                                </w:rPr>
                              </w:pPr>
                            </w:p>
                            <w:p w14:paraId="0A217BC1" w14:textId="77777777" w:rsidR="0062671A" w:rsidRPr="00731BB6" w:rsidRDefault="0062671A" w:rsidP="000B0F8A">
                              <w:pPr>
                                <w:jc w:val="center"/>
                                <w:rPr>
                                  <w:rFonts w:ascii="Times New Roman" w:hAnsi="Times New Roman" w:cs="Times New Roman"/>
                                  <w:color w:val="000000" w:themeColor="text1"/>
                                  <w:sz w:val="20"/>
                                  <w:szCs w:val="20"/>
                                </w:rPr>
                              </w:pPr>
                            </w:p>
                            <w:p w14:paraId="41955795" w14:textId="77777777" w:rsidR="0062671A" w:rsidRPr="00731BB6" w:rsidRDefault="00661A05" w:rsidP="00731BB6">
                              <w:pPr>
                                <w:spacing w:before="240"/>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Coercive Pressure</w:t>
                              </w:r>
                            </w:p>
                            <w:p w14:paraId="194DB903" w14:textId="77777777" w:rsidR="0062671A" w:rsidRPr="00731BB6" w:rsidRDefault="0062671A" w:rsidP="000B0F8A">
                              <w:pPr>
                                <w:jc w:val="center"/>
                                <w:rPr>
                                  <w:rFonts w:ascii="Times New Roman" w:hAnsi="Times New Roman" w:cs="Times New Roman"/>
                                  <w:color w:val="000000" w:themeColor="text1"/>
                                  <w:sz w:val="20"/>
                                  <w:szCs w:val="20"/>
                                </w:rPr>
                              </w:pPr>
                            </w:p>
                            <w:p w14:paraId="55BF5F50" w14:textId="77777777" w:rsidR="0062671A" w:rsidRPr="00731BB6" w:rsidRDefault="0062671A" w:rsidP="000B0F8A">
                              <w:pPr>
                                <w:jc w:val="center"/>
                                <w:rPr>
                                  <w:rFonts w:ascii="Times New Roman" w:hAnsi="Times New Roman" w:cs="Times New Roman"/>
                                  <w:color w:val="000000" w:themeColor="text1"/>
                                  <w:sz w:val="20"/>
                                  <w:szCs w:val="20"/>
                                </w:rPr>
                              </w:pPr>
                            </w:p>
                            <w:p w14:paraId="29B854E2" w14:textId="77777777" w:rsidR="0062671A" w:rsidRPr="00731BB6" w:rsidRDefault="00661A05" w:rsidP="000B0F8A">
                              <w:pPr>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Normative Pressure</w:t>
                              </w:r>
                            </w:p>
                            <w:p w14:paraId="1F9D2D42" w14:textId="77777777" w:rsidR="00984033" w:rsidRDefault="00984033" w:rsidP="000B0F8A">
                              <w:pPr>
                                <w:jc w:val="center"/>
                                <w:rPr>
                                  <w:rFonts w:ascii="Times New Roman" w:hAnsi="Times New Roman" w:cs="Times New Roman"/>
                                  <w:color w:val="000000" w:themeColor="text1"/>
                                  <w:sz w:val="20"/>
                                  <w:szCs w:val="20"/>
                                </w:rPr>
                              </w:pPr>
                            </w:p>
                            <w:p w14:paraId="6BDDF791" w14:textId="77777777" w:rsidR="0062671A" w:rsidRPr="00731BB6" w:rsidRDefault="00661A05" w:rsidP="000B0F8A">
                              <w:pPr>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Mimetic Pressure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129490793" name="Straight Arrow Connector 2"/>
                        <wps:cNvCnPr/>
                        <wps:spPr>
                          <a:xfrm>
                            <a:off x="1304925" y="1476375"/>
                            <a:ext cx="320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774915" name="Rectangle 8"/>
                        <wps:cNvSpPr/>
                        <wps:spPr>
                          <a:xfrm>
                            <a:off x="1628775" y="0"/>
                            <a:ext cx="1568450" cy="2584450"/>
                          </a:xfrm>
                          <a:prstGeom prst="rect">
                            <a:avLst/>
                          </a:prstGeom>
                          <a:noFill/>
                          <a:ln w="9525">
                            <a:solidFill>
                              <a:schemeClr val="tx1"/>
                            </a:solidFill>
                            <a:prstDash val="sysDash"/>
                            <a:round/>
                            <a:headEnd/>
                            <a:tailEn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505614761" name="Rectangle 9"/>
                        <wps:cNvSpPr/>
                        <wps:spPr>
                          <a:xfrm>
                            <a:off x="3457575" y="923925"/>
                            <a:ext cx="1568450" cy="3003550"/>
                          </a:xfrm>
                          <a:prstGeom prst="rect">
                            <a:avLst/>
                          </a:prstGeom>
                          <a:noFill/>
                          <a:ln>
                            <a:solidFill>
                              <a:schemeClr val="tx1"/>
                            </a:solidFill>
                            <a:prstDash val="sysDash"/>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617930770" name="Text Box 1"/>
                        <wps:cNvSpPr txBox="1"/>
                        <wps:spPr>
                          <a:xfrm>
                            <a:off x="0" y="1133475"/>
                            <a:ext cx="1358900" cy="695325"/>
                          </a:xfrm>
                          <a:prstGeom prst="rect">
                            <a:avLst/>
                          </a:prstGeom>
                          <a:solidFill>
                            <a:schemeClr val="lt1"/>
                          </a:solidFill>
                          <a:ln w="6350">
                            <a:solidFill>
                              <a:prstClr val="black"/>
                            </a:solidFill>
                          </a:ln>
                        </wps:spPr>
                        <wps:txbx>
                          <w:txbxContent>
                            <w:p w14:paraId="2E4E3100" w14:textId="77777777" w:rsidR="0062671A" w:rsidRPr="00731BB6" w:rsidRDefault="00661A05" w:rsidP="000B0F8A">
                              <w:pPr>
                                <w:jc w:val="center"/>
                                <w:rPr>
                                  <w:rFonts w:ascii="Times New Roman" w:hAnsi="Times New Roman" w:cs="Times New Roman"/>
                                  <w:sz w:val="20"/>
                                  <w:szCs w:val="20"/>
                                </w:rPr>
                              </w:pPr>
                              <w:r w:rsidRPr="00731BB6">
                                <w:rPr>
                                  <w:rFonts w:ascii="Times New Roman" w:hAnsi="Times New Roman" w:cs="Times New Roman"/>
                                  <w:sz w:val="20"/>
                                  <w:szCs w:val="20"/>
                                </w:rPr>
                                <w:t>CG Guidelines and Regulatory influence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290803063" name="Straight Arrow Connector 4"/>
                        <wps:cNvCnPr/>
                        <wps:spPr>
                          <a:xfrm>
                            <a:off x="3200400" y="171450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Rectangle 5"/>
                        <wps:cNvSpPr/>
                        <wps:spPr>
                          <a:xfrm>
                            <a:off x="1733550" y="82337"/>
                            <a:ext cx="1358900" cy="3462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5E99E" w14:textId="77777777" w:rsidR="0062671A" w:rsidRPr="00731BB6" w:rsidRDefault="00661A05" w:rsidP="000B0F8A">
                              <w:pPr>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Board Size</w:t>
                              </w:r>
                            </w:p>
                            <w:p w14:paraId="2190219A" w14:textId="77777777" w:rsidR="0062671A" w:rsidRPr="00731BB6" w:rsidRDefault="0062671A" w:rsidP="000B0F8A">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6" name="Rectangle 6"/>
                        <wps:cNvSpPr/>
                        <wps:spPr>
                          <a:xfrm>
                            <a:off x="1733550" y="552450"/>
                            <a:ext cx="1358900" cy="523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04400" w14:textId="77777777" w:rsidR="0062671A" w:rsidRPr="00731BB6" w:rsidRDefault="00661A05" w:rsidP="000B0F8A">
                              <w:pPr>
                                <w:jc w:val="center"/>
                                <w:rPr>
                                  <w:rFonts w:ascii="Times New Roman" w:hAnsi="Times New Roman" w:cs="Times New Roman"/>
                                  <w:color w:val="000000" w:themeColor="text1"/>
                                  <w:sz w:val="20"/>
                                  <w:szCs w:val="20"/>
                                  <w:lang w:val="en-GB"/>
                                </w:rPr>
                              </w:pPr>
                              <w:r w:rsidRPr="00731BB6">
                                <w:rPr>
                                  <w:rFonts w:ascii="Times New Roman" w:hAnsi="Times New Roman" w:cs="Times New Roman"/>
                                  <w:color w:val="000000" w:themeColor="text1"/>
                                  <w:sz w:val="20"/>
                                  <w:szCs w:val="20"/>
                                  <w:lang w:val="en-GB" w:bidi="bn-BD"/>
                                </w:rPr>
                                <w:t>Board Independence</w:t>
                              </w:r>
                              <w:r w:rsidRPr="00731BB6">
                                <w:rPr>
                                  <w:rFonts w:ascii="Times New Roman" w:hAnsi="Times New Roman" w:cs="Times New Roman"/>
                                  <w:color w:val="000000" w:themeColor="text1"/>
                                  <w:sz w:val="20"/>
                                  <w:szCs w:val="20"/>
                                  <w:lang w:val="en-GB"/>
                                </w:rPr>
                                <w:t xml:space="preserve"> </w:t>
                              </w:r>
                            </w:p>
                            <w:p w14:paraId="39BD811A" w14:textId="77777777" w:rsidR="0062671A" w:rsidRPr="00731BB6" w:rsidRDefault="0062671A" w:rsidP="000B0F8A">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7" name="Rectangle 7"/>
                        <wps:cNvSpPr/>
                        <wps:spPr>
                          <a:xfrm>
                            <a:off x="1628775" y="3248025"/>
                            <a:ext cx="1571625"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8B654" w14:textId="77777777" w:rsidR="0062671A" w:rsidRPr="00731BB6" w:rsidRDefault="00661A05" w:rsidP="000B0F8A">
                              <w:pPr>
                                <w:jc w:val="center"/>
                                <w:rPr>
                                  <w:rFonts w:ascii="Times New Roman" w:hAnsi="Times New Roman" w:cs="Times New Roman"/>
                                  <w:color w:val="000000" w:themeColor="text1"/>
                                  <w:sz w:val="20"/>
                                  <w:szCs w:val="20"/>
                                  <w:lang w:val="en-GB"/>
                                </w:rPr>
                              </w:pPr>
                              <w:r w:rsidRPr="00731BB6">
                                <w:rPr>
                                  <w:rFonts w:ascii="Times New Roman" w:hAnsi="Times New Roman" w:cs="Times New Roman"/>
                                  <w:color w:val="000000" w:themeColor="text1"/>
                                  <w:sz w:val="20"/>
                                  <w:szCs w:val="20"/>
                                  <w:lang w:val="en-GB"/>
                                </w:rPr>
                                <w:t>Foreigners on Board</w:t>
                              </w:r>
                            </w:p>
                            <w:p w14:paraId="6FB7977E" w14:textId="77777777" w:rsidR="0062671A" w:rsidRPr="00731BB6" w:rsidRDefault="0062671A" w:rsidP="000B0F8A">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 name="Rectangle 8"/>
                        <wps:cNvSpPr/>
                        <wps:spPr>
                          <a:xfrm>
                            <a:off x="1628775" y="2638425"/>
                            <a:ext cx="1571625" cy="517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95431" w14:textId="77777777" w:rsidR="0062671A" w:rsidRPr="00731BB6" w:rsidRDefault="00661A05" w:rsidP="00467E64">
                              <w:pPr>
                                <w:jc w:val="center"/>
                                <w:rPr>
                                  <w:rFonts w:ascii="Times New Roman" w:hAnsi="Times New Roman" w:cs="Times New Roman"/>
                                  <w:color w:val="000000" w:themeColor="text1"/>
                                  <w:sz w:val="20"/>
                                  <w:szCs w:val="20"/>
                                  <w:lang w:val="en-GB" w:bidi="bn-BD"/>
                                </w:rPr>
                              </w:pPr>
                              <w:r w:rsidRPr="00731BB6">
                                <w:rPr>
                                  <w:rFonts w:ascii="Times New Roman" w:hAnsi="Times New Roman" w:cs="Times New Roman"/>
                                  <w:color w:val="000000" w:themeColor="text1"/>
                                  <w:sz w:val="20"/>
                                  <w:szCs w:val="20"/>
                                  <w:lang w:val="en-GB" w:bidi="bn-BD"/>
                                </w:rPr>
                                <w:t>Board Gender Diversity</w:t>
                              </w:r>
                            </w:p>
                            <w:p w14:paraId="58FFA6E1" w14:textId="77777777" w:rsidR="0062671A" w:rsidRPr="00731BB6" w:rsidRDefault="0062671A" w:rsidP="000B0F8A">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663724248" name="Straight Arrow Connector 7"/>
                        <wps:cNvCnPr/>
                        <wps:spPr>
                          <a:xfrm flipV="1">
                            <a:off x="4924425" y="1724025"/>
                            <a:ext cx="269875" cy="5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Rectangle 9"/>
                        <wps:cNvSpPr/>
                        <wps:spPr>
                          <a:xfrm>
                            <a:off x="1714500" y="1162050"/>
                            <a:ext cx="1358900" cy="390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62FDC" w14:textId="77777777" w:rsidR="0062671A" w:rsidRPr="00731BB6" w:rsidRDefault="00661A05" w:rsidP="000B0F8A">
                              <w:pPr>
                                <w:jc w:val="center"/>
                                <w:rPr>
                                  <w:rFonts w:ascii="Times New Roman" w:hAnsi="Times New Roman" w:cs="Times New Roman"/>
                                  <w:color w:val="000000" w:themeColor="text1"/>
                                  <w:sz w:val="20"/>
                                  <w:szCs w:val="20"/>
                                  <w:lang w:val="en-GB" w:bidi="bn-BD"/>
                                </w:rPr>
                              </w:pPr>
                              <w:r w:rsidRPr="00731BB6">
                                <w:rPr>
                                  <w:rFonts w:ascii="Times New Roman" w:hAnsi="Times New Roman" w:cs="Times New Roman"/>
                                  <w:color w:val="000000" w:themeColor="text1"/>
                                  <w:sz w:val="20"/>
                                  <w:szCs w:val="20"/>
                                  <w:lang w:val="en-GB" w:bidi="bn-BD"/>
                                </w:rPr>
                                <w:t>Board Meeting</w:t>
                              </w:r>
                            </w:p>
                            <w:p w14:paraId="77E6D9E5" w14:textId="77777777" w:rsidR="0062671A" w:rsidRPr="00731BB6" w:rsidRDefault="0062671A" w:rsidP="000B0F8A">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0" name="Rectangle 10"/>
                        <wps:cNvSpPr/>
                        <wps:spPr>
                          <a:xfrm>
                            <a:off x="1714500" y="1657350"/>
                            <a:ext cx="1358900" cy="390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EA7DF4" w14:textId="77777777" w:rsidR="0062671A" w:rsidRPr="00731BB6" w:rsidRDefault="00661A05" w:rsidP="000B0F8A">
                              <w:pPr>
                                <w:jc w:val="center"/>
                                <w:rPr>
                                  <w:rFonts w:ascii="Times New Roman" w:hAnsi="Times New Roman" w:cs="Times New Roman"/>
                                  <w:color w:val="000000" w:themeColor="text1"/>
                                  <w:sz w:val="20"/>
                                  <w:szCs w:val="20"/>
                                  <w:lang w:val="en-GB" w:bidi="bn-BD"/>
                                </w:rPr>
                              </w:pPr>
                              <w:r w:rsidRPr="00731BB6">
                                <w:rPr>
                                  <w:rFonts w:ascii="Times New Roman" w:hAnsi="Times New Roman" w:cs="Times New Roman"/>
                                  <w:color w:val="000000" w:themeColor="text1"/>
                                  <w:sz w:val="20"/>
                                  <w:szCs w:val="20"/>
                                  <w:lang w:val="en-GB" w:bidi="bn-BD"/>
                                </w:rPr>
                                <w:t>CEO Duality</w:t>
                              </w:r>
                            </w:p>
                            <w:p w14:paraId="58EED43A" w14:textId="77777777" w:rsidR="0062671A" w:rsidRPr="00731BB6" w:rsidRDefault="0062671A" w:rsidP="000B0F8A">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3" name="Rectangle 13"/>
                        <wps:cNvSpPr/>
                        <wps:spPr>
                          <a:xfrm>
                            <a:off x="1733550" y="2133600"/>
                            <a:ext cx="1358900" cy="390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B9707" w14:textId="77777777" w:rsidR="0062671A" w:rsidRPr="00731BB6" w:rsidRDefault="00661A05" w:rsidP="000B0F8A">
                              <w:pPr>
                                <w:jc w:val="center"/>
                                <w:rPr>
                                  <w:rFonts w:ascii="Times New Roman" w:hAnsi="Times New Roman" w:cs="Times New Roman"/>
                                  <w:color w:val="000000" w:themeColor="text1"/>
                                  <w:sz w:val="20"/>
                                  <w:szCs w:val="20"/>
                                  <w:lang w:val="en-GB"/>
                                </w:rPr>
                              </w:pPr>
                              <w:r w:rsidRPr="00731BB6">
                                <w:rPr>
                                  <w:rFonts w:ascii="Times New Roman" w:hAnsi="Times New Roman" w:cs="Times New Roman"/>
                                  <w:color w:val="000000" w:themeColor="text1"/>
                                  <w:sz w:val="20"/>
                                  <w:szCs w:val="20"/>
                                  <w:lang w:val="en-GB"/>
                                </w:rPr>
                                <w:t>Audit Committee</w:t>
                              </w:r>
                            </w:p>
                            <w:p w14:paraId="498DDCF5" w14:textId="77777777" w:rsidR="0062671A" w:rsidRPr="00731BB6" w:rsidRDefault="0062671A" w:rsidP="000B0F8A">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953490959" name="Rectangle 1953490959"/>
                        <wps:cNvSpPr/>
                        <wps:spPr>
                          <a:xfrm>
                            <a:off x="3571875" y="333375"/>
                            <a:ext cx="1390650" cy="495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FDD22" w14:textId="77777777" w:rsidR="0062671A" w:rsidRPr="00731BB6" w:rsidRDefault="00661A05" w:rsidP="000B0F8A">
                              <w:pPr>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Neo-institutional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963882169" name="Straight Arrow Connector 7"/>
                        <wps:cNvCnPr/>
                        <wps:spPr>
                          <a:xfrm>
                            <a:off x="4924425" y="2876550"/>
                            <a:ext cx="279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7098996" name="Straight Arrow Connector 4"/>
                        <wps:cNvCnPr/>
                        <wps:spPr>
                          <a:xfrm>
                            <a:off x="3200400" y="2867025"/>
                            <a:ext cx="3048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9467296" name="Straight Arrow Connector 7"/>
                        <wps:cNvCnPr/>
                        <wps:spPr>
                          <a:xfrm>
                            <a:off x="4924425" y="3476625"/>
                            <a:ext cx="269875" cy="3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4858733" name="Straight Arrow Connector 4"/>
                        <wps:cNvCnPr/>
                        <wps:spPr>
                          <a:xfrm flipV="1">
                            <a:off x="3200400" y="3476625"/>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4717830" name="Straight Connector 2"/>
                        <wps:cNvCnPr/>
                        <wps:spPr>
                          <a:xfrm>
                            <a:off x="3552825" y="3267075"/>
                            <a:ext cx="1371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672189376" name="Straight Connector 2"/>
                        <wps:cNvCnPr/>
                        <wps:spPr>
                          <a:xfrm>
                            <a:off x="3543300" y="2647950"/>
                            <a:ext cx="1397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1CF42580" id="Group 2" o:spid="_x0000_s1026" style="width:448.8pt;height:238.5pt;mso-position-horizontal-relative:char;mso-position-vertical-relative:line" coordsize="63436,3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">
                <v:rect id="Rectangle 1" o:spid="_x0000_s1027" style="position:absolute;left:51911;top:9906;width:11525;height:28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" fillcolor="white [3212]" strokecolor="black [3213]" strokeweight="1pt">
                  <v:textbox>
                    <w:txbxContent>
                      <w:p w14:paraId="04C8365B" w14:textId="77777777" w:rsidR="0062671A" w:rsidRPr="00731BB6" w:rsidRDefault="00661A05" w:rsidP="000B0F8A">
                        <w:pPr>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Climate change disclosers</w:t>
                        </w:r>
                      </w:p>
                    </w:txbxContent>
                  </v:textbox>
                </v:rect>
                <v:rect id="Rectangle 3" o:spid="_x0000_s1028" style="position:absolute;left:35433;top:9810;width:13970;height:28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1BwQAAANoAAAAPAAAAZHJzL2Rvd25yZXYueG1sRI9Li8JA&#10;EITvgv9haMGbTlRw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EEWHUHBAAAA2gAAAA8AAAAA&#10;AAAAAAAAAAAABwIAAGRycy9kb3ducmV2LnhtbFBLBQYAAAAAAwADALcAAAD1AgAAAAA=&#10;" fillcolor="white [3212]" strokecolor="black [3213]" strokeweight="1pt">
                  <v:textbox>
                    <w:txbxContent>
                      <w:p w14:paraId="6BD29EC2" w14:textId="77777777" w:rsidR="0062671A" w:rsidRPr="00731BB6" w:rsidRDefault="0062671A" w:rsidP="000B0F8A">
                        <w:pPr>
                          <w:jc w:val="center"/>
                          <w:rPr>
                            <w:rFonts w:ascii="Times New Roman" w:hAnsi="Times New Roman" w:cs="Times New Roman"/>
                            <w:color w:val="000000" w:themeColor="text1"/>
                            <w:sz w:val="20"/>
                            <w:szCs w:val="20"/>
                          </w:rPr>
                        </w:pPr>
                      </w:p>
                      <w:p w14:paraId="0A217BC1" w14:textId="77777777" w:rsidR="0062671A" w:rsidRPr="00731BB6" w:rsidRDefault="0062671A" w:rsidP="000B0F8A">
                        <w:pPr>
                          <w:jc w:val="center"/>
                          <w:rPr>
                            <w:rFonts w:ascii="Times New Roman" w:hAnsi="Times New Roman" w:cs="Times New Roman"/>
                            <w:color w:val="000000" w:themeColor="text1"/>
                            <w:sz w:val="20"/>
                            <w:szCs w:val="20"/>
                          </w:rPr>
                        </w:pPr>
                      </w:p>
                      <w:p w14:paraId="41955795" w14:textId="77777777" w:rsidR="0062671A" w:rsidRPr="00731BB6" w:rsidRDefault="00661A05" w:rsidP="00731BB6">
                        <w:pPr>
                          <w:spacing w:before="240"/>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Coercive Pressure</w:t>
                        </w:r>
                      </w:p>
                      <w:p w14:paraId="194DB903" w14:textId="77777777" w:rsidR="0062671A" w:rsidRPr="00731BB6" w:rsidRDefault="0062671A" w:rsidP="000B0F8A">
                        <w:pPr>
                          <w:jc w:val="center"/>
                          <w:rPr>
                            <w:rFonts w:ascii="Times New Roman" w:hAnsi="Times New Roman" w:cs="Times New Roman"/>
                            <w:color w:val="000000" w:themeColor="text1"/>
                            <w:sz w:val="20"/>
                            <w:szCs w:val="20"/>
                          </w:rPr>
                        </w:pPr>
                      </w:p>
                      <w:p w14:paraId="55BF5F50" w14:textId="77777777" w:rsidR="0062671A" w:rsidRPr="00731BB6" w:rsidRDefault="0062671A" w:rsidP="000B0F8A">
                        <w:pPr>
                          <w:jc w:val="center"/>
                          <w:rPr>
                            <w:rFonts w:ascii="Times New Roman" w:hAnsi="Times New Roman" w:cs="Times New Roman"/>
                            <w:color w:val="000000" w:themeColor="text1"/>
                            <w:sz w:val="20"/>
                            <w:szCs w:val="20"/>
                          </w:rPr>
                        </w:pPr>
                      </w:p>
                      <w:p w14:paraId="29B854E2" w14:textId="77777777" w:rsidR="0062671A" w:rsidRPr="00731BB6" w:rsidRDefault="00661A05" w:rsidP="000B0F8A">
                        <w:pPr>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Normative Pressure</w:t>
                        </w:r>
                      </w:p>
                      <w:p w14:paraId="1F9D2D42" w14:textId="77777777" w:rsidR="00984033" w:rsidRDefault="00984033" w:rsidP="000B0F8A">
                        <w:pPr>
                          <w:jc w:val="center"/>
                          <w:rPr>
                            <w:rFonts w:ascii="Times New Roman" w:hAnsi="Times New Roman" w:cs="Times New Roman"/>
                            <w:color w:val="000000" w:themeColor="text1"/>
                            <w:sz w:val="20"/>
                            <w:szCs w:val="20"/>
                          </w:rPr>
                        </w:pPr>
                      </w:p>
                      <w:p w14:paraId="6BDDF791" w14:textId="77777777" w:rsidR="0062671A" w:rsidRPr="00731BB6" w:rsidRDefault="00661A05" w:rsidP="000B0F8A">
                        <w:pPr>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Mimetic Pressure</w:t>
                        </w:r>
                      </w:p>
                    </w:txbxContent>
                  </v:textbox>
                </v:rect>
                <v:shapetype id="_x0000_t32" coordsize="21600,21600" o:spt="32" o:oned="t" path="m,l21600,21600e" filled="f">
                  <v:path arrowok="t" fillok="f" o:connecttype="none"/>
                  <o:lock v:ext="edit" shapetype="t"/>
                </v:shapetype>
                <v:shape id="Straight Arrow Connector 2" o:spid="_x0000_s1029" type="#_x0000_t32" style="position:absolute;left:13049;top:14763;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" strokecolor="black [3200]" strokeweight=".5pt">
                  <v:stroke endarrow="block" joinstyle="miter"/>
                </v:shape>
                <v:rect id="Rectangle 8" o:spid="_x0000_s1030" style="position:absolute;left:16287;width:15685;height:25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" filled="f" strokecolor="black [3213]">
                  <v:stroke dashstyle="3 1" joinstyle="round"/>
                </v:rect>
                <v:rect id="Rectangle 9" o:spid="_x0000_s1031" style="position:absolute;left:34575;top:9239;width:15685;height:30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" filled="f" strokecolor="black [3213]">
                  <v:stroke dashstyle="3 1"/>
                </v:rect>
                <v:shapetype id="_x0000_t202" coordsize="21600,21600" o:spt="202" path="m,l,21600r21600,l21600,xe">
                  <v:stroke joinstyle="miter"/>
                  <v:path gradientshapeok="t" o:connecttype="rect"/>
                </v:shapetype>
                <v:shape id="Text Box 1" o:spid="_x0000_s1032" type="#_x0000_t202" style="position:absolute;top:11334;width:13589;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" fillcolor="white [3201]" strokeweight=".5pt">
                  <v:textbox>
                    <w:txbxContent>
                      <w:p w14:paraId="2E4E3100" w14:textId="77777777" w:rsidR="0062671A" w:rsidRPr="00731BB6" w:rsidRDefault="00661A05" w:rsidP="000B0F8A">
                        <w:pPr>
                          <w:jc w:val="center"/>
                          <w:rPr>
                            <w:rFonts w:ascii="Times New Roman" w:hAnsi="Times New Roman" w:cs="Times New Roman"/>
                            <w:sz w:val="20"/>
                            <w:szCs w:val="20"/>
                          </w:rPr>
                        </w:pPr>
                        <w:r w:rsidRPr="00731BB6">
                          <w:rPr>
                            <w:rFonts w:ascii="Times New Roman" w:hAnsi="Times New Roman" w:cs="Times New Roman"/>
                            <w:sz w:val="20"/>
                            <w:szCs w:val="20"/>
                          </w:rPr>
                          <w:t>CG Guidelines and Regulatory influence</w:t>
                        </w:r>
                      </w:p>
                    </w:txbxContent>
                  </v:textbox>
                </v:shape>
                <v:shape id="Straight Arrow Connector 4" o:spid="_x0000_s1033" type="#_x0000_t32" style="position:absolute;left:32004;top:17145;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" strokecolor="black [3200]" strokeweight=".5pt">
                  <v:stroke endarrow="block" joinstyle="miter"/>
                </v:shape>
                <v:rect id="Rectangle 5" o:spid="_x0000_s1034" style="position:absolute;left:17335;top:823;width:13589;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textbox>
                    <w:txbxContent>
                      <w:p w14:paraId="1775E99E" w14:textId="77777777" w:rsidR="0062671A" w:rsidRPr="00731BB6" w:rsidRDefault="00661A05" w:rsidP="000B0F8A">
                        <w:pPr>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Board Size</w:t>
                        </w:r>
                      </w:p>
                      <w:p w14:paraId="2190219A" w14:textId="77777777" w:rsidR="0062671A" w:rsidRPr="00731BB6" w:rsidRDefault="0062671A" w:rsidP="000B0F8A">
                        <w:pPr>
                          <w:jc w:val="center"/>
                          <w:rPr>
                            <w:rFonts w:ascii="Times New Roman" w:hAnsi="Times New Roman" w:cs="Times New Roman"/>
                            <w:color w:val="000000" w:themeColor="text1"/>
                            <w:sz w:val="20"/>
                            <w:szCs w:val="20"/>
                          </w:rPr>
                        </w:pPr>
                      </w:p>
                    </w:txbxContent>
                  </v:textbox>
                </v:rect>
                <v:rect id="Rectangle 6" o:spid="_x0000_s1035" style="position:absolute;left:17335;top:5524;width:1358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" fillcolor="white [3212]" strokecolor="black [3213]" strokeweight="1pt">
                  <v:textbox>
                    <w:txbxContent>
                      <w:p w14:paraId="1E804400" w14:textId="77777777" w:rsidR="0062671A" w:rsidRPr="00731BB6" w:rsidRDefault="00661A05" w:rsidP="000B0F8A">
                        <w:pPr>
                          <w:jc w:val="center"/>
                          <w:rPr>
                            <w:rFonts w:ascii="Times New Roman" w:hAnsi="Times New Roman" w:cs="Times New Roman"/>
                            <w:color w:val="000000" w:themeColor="text1"/>
                            <w:sz w:val="20"/>
                            <w:szCs w:val="20"/>
                            <w:lang w:val="en-GB"/>
                          </w:rPr>
                        </w:pPr>
                        <w:r w:rsidRPr="00731BB6">
                          <w:rPr>
                            <w:rFonts w:ascii="Times New Roman" w:hAnsi="Times New Roman" w:cs="Times New Roman"/>
                            <w:color w:val="000000" w:themeColor="text1"/>
                            <w:sz w:val="20"/>
                            <w:szCs w:val="20"/>
                            <w:lang w:val="en-GB" w:bidi="bn-BD"/>
                          </w:rPr>
                          <w:t>Board Independence</w:t>
                        </w:r>
                        <w:r w:rsidRPr="00731BB6">
                          <w:rPr>
                            <w:rFonts w:ascii="Times New Roman" w:hAnsi="Times New Roman" w:cs="Times New Roman"/>
                            <w:color w:val="000000" w:themeColor="text1"/>
                            <w:sz w:val="20"/>
                            <w:szCs w:val="20"/>
                            <w:lang w:val="en-GB"/>
                          </w:rPr>
                          <w:t xml:space="preserve"> </w:t>
                        </w:r>
                      </w:p>
                      <w:p w14:paraId="39BD811A" w14:textId="77777777" w:rsidR="0062671A" w:rsidRPr="00731BB6" w:rsidRDefault="0062671A" w:rsidP="000B0F8A">
                        <w:pPr>
                          <w:jc w:val="center"/>
                          <w:rPr>
                            <w:rFonts w:ascii="Times New Roman" w:hAnsi="Times New Roman" w:cs="Times New Roman"/>
                            <w:color w:val="000000" w:themeColor="text1"/>
                            <w:sz w:val="20"/>
                            <w:szCs w:val="20"/>
                          </w:rPr>
                        </w:pPr>
                      </w:p>
                    </w:txbxContent>
                  </v:textbox>
                </v:rect>
                <v:rect id="Rectangle 7" o:spid="_x0000_s1036" style="position:absolute;left:16287;top:32480;width:15717;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" fillcolor="white [3212]" strokecolor="black [3213]" strokeweight="1pt">
                  <v:textbox>
                    <w:txbxContent>
                      <w:p w14:paraId="5938B654" w14:textId="77777777" w:rsidR="0062671A" w:rsidRPr="00731BB6" w:rsidRDefault="00661A05" w:rsidP="000B0F8A">
                        <w:pPr>
                          <w:jc w:val="center"/>
                          <w:rPr>
                            <w:rFonts w:ascii="Times New Roman" w:hAnsi="Times New Roman" w:cs="Times New Roman"/>
                            <w:color w:val="000000" w:themeColor="text1"/>
                            <w:sz w:val="20"/>
                            <w:szCs w:val="20"/>
                            <w:lang w:val="en-GB"/>
                          </w:rPr>
                        </w:pPr>
                        <w:r w:rsidRPr="00731BB6">
                          <w:rPr>
                            <w:rFonts w:ascii="Times New Roman" w:hAnsi="Times New Roman" w:cs="Times New Roman"/>
                            <w:color w:val="000000" w:themeColor="text1"/>
                            <w:sz w:val="20"/>
                            <w:szCs w:val="20"/>
                            <w:lang w:val="en-GB"/>
                          </w:rPr>
                          <w:t>Foreigners on Board</w:t>
                        </w:r>
                      </w:p>
                      <w:p w14:paraId="6FB7977E" w14:textId="77777777" w:rsidR="0062671A" w:rsidRPr="00731BB6" w:rsidRDefault="0062671A" w:rsidP="000B0F8A">
                        <w:pPr>
                          <w:jc w:val="center"/>
                          <w:rPr>
                            <w:rFonts w:ascii="Times New Roman" w:hAnsi="Times New Roman" w:cs="Times New Roman"/>
                            <w:color w:val="000000" w:themeColor="text1"/>
                            <w:sz w:val="20"/>
                            <w:szCs w:val="20"/>
                          </w:rPr>
                        </w:pPr>
                      </w:p>
                    </w:txbxContent>
                  </v:textbox>
                </v:rect>
                <v:rect id="Rectangle 8" o:spid="_x0000_s1037" style="position:absolute;left:16287;top:26384;width:15717;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" fillcolor="white [3212]" strokecolor="black [3213]" strokeweight="1pt">
                  <v:textbox>
                    <w:txbxContent>
                      <w:p w14:paraId="17595431" w14:textId="77777777" w:rsidR="0062671A" w:rsidRPr="00731BB6" w:rsidRDefault="00661A05" w:rsidP="00467E64">
                        <w:pPr>
                          <w:jc w:val="center"/>
                          <w:rPr>
                            <w:rFonts w:ascii="Times New Roman" w:hAnsi="Times New Roman" w:cs="Times New Roman"/>
                            <w:color w:val="000000" w:themeColor="text1"/>
                            <w:sz w:val="20"/>
                            <w:szCs w:val="20"/>
                            <w:lang w:val="en-GB" w:bidi="bn-BD"/>
                          </w:rPr>
                        </w:pPr>
                        <w:r w:rsidRPr="00731BB6">
                          <w:rPr>
                            <w:rFonts w:ascii="Times New Roman" w:hAnsi="Times New Roman" w:cs="Times New Roman"/>
                            <w:color w:val="000000" w:themeColor="text1"/>
                            <w:sz w:val="20"/>
                            <w:szCs w:val="20"/>
                            <w:lang w:val="en-GB" w:bidi="bn-BD"/>
                          </w:rPr>
                          <w:t>Board Gender Diversity</w:t>
                        </w:r>
                      </w:p>
                      <w:p w14:paraId="58FFA6E1" w14:textId="77777777" w:rsidR="0062671A" w:rsidRPr="00731BB6" w:rsidRDefault="0062671A" w:rsidP="000B0F8A">
                        <w:pPr>
                          <w:jc w:val="center"/>
                          <w:rPr>
                            <w:rFonts w:ascii="Times New Roman" w:hAnsi="Times New Roman" w:cs="Times New Roman"/>
                            <w:color w:val="000000" w:themeColor="text1"/>
                            <w:sz w:val="20"/>
                            <w:szCs w:val="20"/>
                          </w:rPr>
                        </w:pPr>
                      </w:p>
                    </w:txbxContent>
                  </v:textbox>
                </v:rect>
                <v:shape id="Straight Arrow Connector 7" o:spid="_x0000_s1038" type="#_x0000_t32" style="position:absolute;left:49244;top:17240;width:2699;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" strokecolor="black [3200]" strokeweight=".5pt">
                  <v:stroke endarrow="block" joinstyle="miter"/>
                </v:shape>
                <v:rect id="Rectangle 9" o:spid="_x0000_s1039" style="position:absolute;left:17145;top:11620;width:13589;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textbox>
                    <w:txbxContent>
                      <w:p w14:paraId="35862FDC" w14:textId="77777777" w:rsidR="0062671A" w:rsidRPr="00731BB6" w:rsidRDefault="00661A05" w:rsidP="000B0F8A">
                        <w:pPr>
                          <w:jc w:val="center"/>
                          <w:rPr>
                            <w:rFonts w:ascii="Times New Roman" w:hAnsi="Times New Roman" w:cs="Times New Roman"/>
                            <w:color w:val="000000" w:themeColor="text1"/>
                            <w:sz w:val="20"/>
                            <w:szCs w:val="20"/>
                            <w:lang w:val="en-GB" w:bidi="bn-BD"/>
                          </w:rPr>
                        </w:pPr>
                        <w:r w:rsidRPr="00731BB6">
                          <w:rPr>
                            <w:rFonts w:ascii="Times New Roman" w:hAnsi="Times New Roman" w:cs="Times New Roman"/>
                            <w:color w:val="000000" w:themeColor="text1"/>
                            <w:sz w:val="20"/>
                            <w:szCs w:val="20"/>
                            <w:lang w:val="en-GB" w:bidi="bn-BD"/>
                          </w:rPr>
                          <w:t>Board Meeting</w:t>
                        </w:r>
                      </w:p>
                      <w:p w14:paraId="77E6D9E5" w14:textId="77777777" w:rsidR="0062671A" w:rsidRPr="00731BB6" w:rsidRDefault="0062671A" w:rsidP="000B0F8A">
                        <w:pPr>
                          <w:jc w:val="center"/>
                          <w:rPr>
                            <w:rFonts w:ascii="Times New Roman" w:hAnsi="Times New Roman" w:cs="Times New Roman"/>
                            <w:color w:val="000000" w:themeColor="text1"/>
                            <w:sz w:val="20"/>
                            <w:szCs w:val="20"/>
                          </w:rPr>
                        </w:pPr>
                      </w:p>
                    </w:txbxContent>
                  </v:textbox>
                </v:rect>
                <v:rect id="Rectangle 10" o:spid="_x0000_s1040" style="position:absolute;left:17145;top:16573;width:13589;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textbox>
                    <w:txbxContent>
                      <w:p w14:paraId="62EA7DF4" w14:textId="77777777" w:rsidR="0062671A" w:rsidRPr="00731BB6" w:rsidRDefault="00661A05" w:rsidP="000B0F8A">
                        <w:pPr>
                          <w:jc w:val="center"/>
                          <w:rPr>
                            <w:rFonts w:ascii="Times New Roman" w:hAnsi="Times New Roman" w:cs="Times New Roman"/>
                            <w:color w:val="000000" w:themeColor="text1"/>
                            <w:sz w:val="20"/>
                            <w:szCs w:val="20"/>
                            <w:lang w:val="en-GB" w:bidi="bn-BD"/>
                          </w:rPr>
                        </w:pPr>
                        <w:r w:rsidRPr="00731BB6">
                          <w:rPr>
                            <w:rFonts w:ascii="Times New Roman" w:hAnsi="Times New Roman" w:cs="Times New Roman"/>
                            <w:color w:val="000000" w:themeColor="text1"/>
                            <w:sz w:val="20"/>
                            <w:szCs w:val="20"/>
                            <w:lang w:val="en-GB" w:bidi="bn-BD"/>
                          </w:rPr>
                          <w:t>CEO Duality</w:t>
                        </w:r>
                      </w:p>
                      <w:p w14:paraId="58EED43A" w14:textId="77777777" w:rsidR="0062671A" w:rsidRPr="00731BB6" w:rsidRDefault="0062671A" w:rsidP="000B0F8A">
                        <w:pPr>
                          <w:jc w:val="center"/>
                          <w:rPr>
                            <w:rFonts w:ascii="Times New Roman" w:hAnsi="Times New Roman" w:cs="Times New Roman"/>
                            <w:color w:val="000000" w:themeColor="text1"/>
                            <w:sz w:val="20"/>
                            <w:szCs w:val="20"/>
                          </w:rPr>
                        </w:pPr>
                      </w:p>
                    </w:txbxContent>
                  </v:textbox>
                </v:rect>
                <v:rect id="Rectangle 13" o:spid="_x0000_s1041" style="position:absolute;left:17335;top:21336;width:13589;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OUvwAAANsAAAAPAAAAZHJzL2Rvd25yZXYueG1sRE9La8JA&#10;EL4L/odlBG+6UcF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AYk2OUvwAAANsAAAAPAAAAAAAA&#10;AAAAAAAAAAcCAABkcnMvZG93bnJldi54bWxQSwUGAAAAAAMAAwC3AAAA8wIAAAAA&#10;" fillcolor="white [3212]" strokecolor="black [3213]" strokeweight="1pt">
                  <v:textbox>
                    <w:txbxContent>
                      <w:p w14:paraId="5B6B9707" w14:textId="77777777" w:rsidR="0062671A" w:rsidRPr="00731BB6" w:rsidRDefault="00661A05" w:rsidP="000B0F8A">
                        <w:pPr>
                          <w:jc w:val="center"/>
                          <w:rPr>
                            <w:rFonts w:ascii="Times New Roman" w:hAnsi="Times New Roman" w:cs="Times New Roman"/>
                            <w:color w:val="000000" w:themeColor="text1"/>
                            <w:sz w:val="20"/>
                            <w:szCs w:val="20"/>
                            <w:lang w:val="en-GB"/>
                          </w:rPr>
                        </w:pPr>
                        <w:r w:rsidRPr="00731BB6">
                          <w:rPr>
                            <w:rFonts w:ascii="Times New Roman" w:hAnsi="Times New Roman" w:cs="Times New Roman"/>
                            <w:color w:val="000000" w:themeColor="text1"/>
                            <w:sz w:val="20"/>
                            <w:szCs w:val="20"/>
                            <w:lang w:val="en-GB"/>
                          </w:rPr>
                          <w:t>Audit Committee</w:t>
                        </w:r>
                      </w:p>
                      <w:p w14:paraId="498DDCF5" w14:textId="77777777" w:rsidR="0062671A" w:rsidRPr="00731BB6" w:rsidRDefault="0062671A" w:rsidP="000B0F8A">
                        <w:pPr>
                          <w:jc w:val="center"/>
                          <w:rPr>
                            <w:rFonts w:ascii="Times New Roman" w:hAnsi="Times New Roman" w:cs="Times New Roman"/>
                            <w:color w:val="000000" w:themeColor="text1"/>
                            <w:sz w:val="20"/>
                            <w:szCs w:val="20"/>
                          </w:rPr>
                        </w:pPr>
                      </w:p>
                    </w:txbxContent>
                  </v:textbox>
                </v:rect>
                <v:rect id="Rectangle 1953490959" o:spid="_x0000_s1042" style="position:absolute;left:35718;top:3333;width:1390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" fillcolor="white [3212]" strokecolor="black [3213]" strokeweight="1pt">
                  <v:textbox>
                    <w:txbxContent>
                      <w:p w14:paraId="3E7FDD22" w14:textId="77777777" w:rsidR="0062671A" w:rsidRPr="00731BB6" w:rsidRDefault="00661A05" w:rsidP="000B0F8A">
                        <w:pPr>
                          <w:jc w:val="center"/>
                          <w:rPr>
                            <w:rFonts w:ascii="Times New Roman" w:hAnsi="Times New Roman" w:cs="Times New Roman"/>
                            <w:color w:val="000000" w:themeColor="text1"/>
                            <w:sz w:val="20"/>
                            <w:szCs w:val="20"/>
                          </w:rPr>
                        </w:pPr>
                        <w:r w:rsidRPr="00731BB6">
                          <w:rPr>
                            <w:rFonts w:ascii="Times New Roman" w:hAnsi="Times New Roman" w:cs="Times New Roman"/>
                            <w:color w:val="000000" w:themeColor="text1"/>
                            <w:sz w:val="20"/>
                            <w:szCs w:val="20"/>
                          </w:rPr>
                          <w:t>Neo-institutional perspective</w:t>
                        </w:r>
                      </w:p>
                    </w:txbxContent>
                  </v:textbox>
                </v:rect>
                <v:shape id="Straight Arrow Connector 7" o:spid="_x0000_s1043" type="#_x0000_t32" style="position:absolute;left:49244;top:28765;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" strokecolor="black [3200]" strokeweight=".5pt">
                  <v:stroke endarrow="block" joinstyle="miter"/>
                </v:shape>
                <v:shape id="Straight Arrow Connector 4" o:spid="_x0000_s1044" type="#_x0000_t32" style="position:absolute;left:32004;top:28670;width:3048;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" strokecolor="black [3200]" strokeweight=".5pt">
                  <v:stroke endarrow="block" joinstyle="miter"/>
                </v:shape>
                <v:shape id="Straight Arrow Connector 7" o:spid="_x0000_s1045" type="#_x0000_t32" style="position:absolute;left:49244;top:34766;width:2699;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" strokecolor="black [3200]" strokeweight=".5pt">
                  <v:stroke endarrow="block" joinstyle="miter"/>
                </v:shape>
                <v:shape id="Straight Arrow Connector 4" o:spid="_x0000_s1046" type="#_x0000_t32" style="position:absolute;left:32004;top:34766;width:304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" strokecolor="black [3200]" strokeweight=".5pt">
                  <v:stroke endarrow="block" joinstyle="miter"/>
                </v:shape>
                <v:line id="Straight Connector 2" o:spid="_x0000_s1047" style="position:absolute;visibility:visible;mso-wrap-style:square" from="35528,32670" to="49244,3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" strokecolor="black [3200]" strokeweight=".5pt">
                  <v:stroke joinstyle="miter"/>
                </v:line>
                <v:line id="Straight Connector 2" o:spid="_x0000_s1048" style="position:absolute;visibility:visible;mso-wrap-style:square" from="35433,26479" to="49403,2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" strokecolor="black [3200]" strokeweight=".5pt">
                  <v:stroke joinstyle="miter"/>
                </v:line>
                <w10:anchorlock/>
              </v:group>
            </w:pict>
          </mc:Fallback>
        </mc:AlternateContent>
      </w:r>
    </w:p>
    <w:p w14:paraId="479CB3A4" w14:textId="0F7F278C" w:rsidR="00AB5658" w:rsidRPr="00AE77D4" w:rsidRDefault="00661A05" w:rsidP="00AE77D4">
      <w:pPr>
        <w:spacing w:line="276" w:lineRule="auto"/>
        <w:jc w:val="both"/>
        <w:rPr>
          <w:rFonts w:ascii="Times New Roman" w:hAnsi="Times New Roman" w:cs="Times New Roman"/>
          <w:bCs/>
          <w:sz w:val="24"/>
          <w:szCs w:val="24"/>
          <w:lang w:val="en-GB"/>
        </w:rPr>
      </w:pPr>
      <w:r w:rsidRPr="00AE77D4">
        <w:rPr>
          <w:rFonts w:ascii="Times New Roman" w:hAnsi="Times New Roman" w:cs="Times New Roman"/>
          <w:b/>
          <w:bCs/>
          <w:sz w:val="24"/>
          <w:szCs w:val="24"/>
          <w:lang w:val="en-GB"/>
        </w:rPr>
        <w:t>Figure 1.</w:t>
      </w:r>
      <w:r w:rsidR="005A1F97" w:rsidRPr="00AE77D4">
        <w:rPr>
          <w:rFonts w:ascii="Times New Roman" w:hAnsi="Times New Roman" w:cs="Times New Roman"/>
          <w:bCs/>
          <w:sz w:val="24"/>
          <w:szCs w:val="24"/>
          <w:lang w:val="en-GB"/>
        </w:rPr>
        <w:t xml:space="preserve"> </w:t>
      </w:r>
      <w:r w:rsidR="007851BB" w:rsidRPr="00AE77D4">
        <w:rPr>
          <w:rFonts w:ascii="Times New Roman" w:hAnsi="Times New Roman" w:cs="Times New Roman"/>
          <w:bCs/>
          <w:sz w:val="24"/>
          <w:szCs w:val="24"/>
          <w:lang w:val="en-GB"/>
        </w:rPr>
        <w:t xml:space="preserve">Neo-institutional framework to see how </w:t>
      </w:r>
      <w:r w:rsidR="00EA60F4" w:rsidRPr="00AE77D4">
        <w:rPr>
          <w:rFonts w:ascii="Times New Roman" w:hAnsi="Times New Roman" w:cs="Times New Roman"/>
          <w:bCs/>
          <w:sz w:val="24"/>
          <w:szCs w:val="24"/>
          <w:lang w:val="en-GB"/>
        </w:rPr>
        <w:t xml:space="preserve">regulatory pressure </w:t>
      </w:r>
      <w:r w:rsidR="00F3090E" w:rsidRPr="00AE77D4">
        <w:rPr>
          <w:rFonts w:ascii="Times New Roman" w:hAnsi="Times New Roman" w:cs="Times New Roman"/>
          <w:bCs/>
          <w:sz w:val="24"/>
          <w:szCs w:val="24"/>
          <w:lang w:val="en-GB"/>
        </w:rPr>
        <w:t>works through board characteristics on the</w:t>
      </w:r>
      <w:r w:rsidR="00EA60F4" w:rsidRPr="00AE77D4">
        <w:rPr>
          <w:rFonts w:ascii="Times New Roman" w:hAnsi="Times New Roman" w:cs="Times New Roman"/>
          <w:bCs/>
          <w:sz w:val="24"/>
          <w:szCs w:val="24"/>
          <w:lang w:val="en-GB"/>
        </w:rPr>
        <w:t xml:space="preserve"> climate change </w:t>
      </w:r>
      <w:r w:rsidR="00F3090E" w:rsidRPr="00AE77D4">
        <w:rPr>
          <w:rFonts w:ascii="Times New Roman" w:hAnsi="Times New Roman" w:cs="Times New Roman"/>
          <w:bCs/>
          <w:sz w:val="24"/>
          <w:szCs w:val="24"/>
          <w:lang w:val="en-GB"/>
        </w:rPr>
        <w:t>disclosures</w:t>
      </w:r>
    </w:p>
    <w:p w14:paraId="1CD8075E" w14:textId="10DD0085" w:rsidR="00EF64D2"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Therefore, the application of neo-institutionalism in this study serves as a key predictor of the nuanced influence of board characteristics on climate disclosure (Aguilera et al., 2007; Zattoni &amp; Cuomo, 2008).</w:t>
      </w:r>
    </w:p>
    <w:p w14:paraId="57201100" w14:textId="77777777" w:rsidR="0069140F" w:rsidRPr="00AE77D4" w:rsidRDefault="0069140F" w:rsidP="00AE77D4">
      <w:pPr>
        <w:spacing w:line="276" w:lineRule="auto"/>
        <w:jc w:val="both"/>
        <w:rPr>
          <w:rFonts w:ascii="Times New Roman" w:hAnsi="Times New Roman" w:cs="Times New Roman"/>
          <w:sz w:val="24"/>
          <w:szCs w:val="24"/>
          <w:lang w:val="en-GB"/>
        </w:rPr>
      </w:pPr>
    </w:p>
    <w:p w14:paraId="757079BF" w14:textId="6410806B" w:rsidR="00DA7146"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b/>
          <w:bCs/>
          <w:noProof/>
          <w:sz w:val="24"/>
          <w:szCs w:val="24"/>
          <w:lang w:val="en-GB"/>
        </w:rPr>
        <w:t xml:space="preserve">4 | </w:t>
      </w:r>
      <w:r w:rsidRPr="00AE77D4">
        <w:rPr>
          <w:rFonts w:ascii="Times New Roman" w:hAnsi="Times New Roman" w:cs="Times New Roman"/>
          <w:b/>
          <w:bCs/>
          <w:sz w:val="24"/>
          <w:szCs w:val="24"/>
          <w:lang w:val="en-GB"/>
        </w:rPr>
        <w:t>EMPIRICAL LITERATURE REVIEW AND HYPOTHESIS DEVELOPMENT</w:t>
      </w:r>
    </w:p>
    <w:p w14:paraId="56670907" w14:textId="39EEBF26" w:rsidR="00C71756" w:rsidRPr="00AE77D4" w:rsidRDefault="003A0B1E"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A considerable number of </w:t>
      </w:r>
      <w:r w:rsidR="00924A0D" w:rsidRPr="00AE77D4">
        <w:rPr>
          <w:rFonts w:ascii="Times New Roman" w:hAnsi="Times New Roman" w:cs="Times New Roman"/>
          <w:sz w:val="24"/>
          <w:szCs w:val="24"/>
          <w:lang w:val="en-GB"/>
        </w:rPr>
        <w:t>studies</w:t>
      </w:r>
      <w:r w:rsidR="003A2793" w:rsidRPr="00AE77D4">
        <w:rPr>
          <w:rFonts w:ascii="Times New Roman" w:hAnsi="Times New Roman" w:cs="Times New Roman"/>
          <w:sz w:val="24"/>
          <w:szCs w:val="24"/>
          <w:lang w:val="en-GB"/>
        </w:rPr>
        <w:t xml:space="preserve"> </w:t>
      </w:r>
      <w:r w:rsidRPr="00AE77D4">
        <w:rPr>
          <w:rFonts w:ascii="Times New Roman" w:hAnsi="Times New Roman" w:cs="Times New Roman"/>
          <w:sz w:val="24"/>
          <w:szCs w:val="24"/>
          <w:lang w:val="en-GB"/>
        </w:rPr>
        <w:t>have</w:t>
      </w:r>
      <w:r w:rsidR="002E79E3" w:rsidRPr="00AE77D4">
        <w:rPr>
          <w:rFonts w:ascii="Times New Roman" w:hAnsi="Times New Roman" w:cs="Times New Roman"/>
          <w:sz w:val="24"/>
          <w:szCs w:val="24"/>
          <w:lang w:val="en-GB"/>
        </w:rPr>
        <w:t xml:space="preserve"> examined the impact of CG on voluntary disclosures</w:t>
      </w:r>
      <w:r w:rsidR="00EC5E45" w:rsidRPr="00AE77D4">
        <w:rPr>
          <w:rFonts w:ascii="Times New Roman" w:hAnsi="Times New Roman" w:cs="Times New Roman"/>
          <w:sz w:val="24"/>
          <w:szCs w:val="24"/>
          <w:lang w:val="en-GB"/>
        </w:rPr>
        <w:t xml:space="preserve"> (</w:t>
      </w:r>
      <w:r w:rsidR="00602D3F" w:rsidRPr="00AE77D4">
        <w:rPr>
          <w:rFonts w:ascii="Times New Roman" w:hAnsi="Times New Roman" w:cs="Times New Roman"/>
          <w:sz w:val="24"/>
          <w:szCs w:val="24"/>
          <w:lang w:val="en-GB"/>
        </w:rPr>
        <w:t>Beekes &amp; Brown, 2013; Collett &amp; Hrasky, 2005</w:t>
      </w:r>
      <w:r w:rsidR="00EC5E45" w:rsidRPr="00AE77D4">
        <w:rPr>
          <w:rFonts w:ascii="Times New Roman" w:hAnsi="Times New Roman" w:cs="Times New Roman"/>
          <w:sz w:val="24"/>
          <w:szCs w:val="24"/>
          <w:lang w:val="en-GB"/>
        </w:rPr>
        <w:t>)</w:t>
      </w:r>
      <w:r w:rsidR="00673D7E" w:rsidRPr="00AE77D4">
        <w:rPr>
          <w:rFonts w:ascii="Times New Roman" w:hAnsi="Times New Roman" w:cs="Times New Roman"/>
          <w:sz w:val="24"/>
          <w:szCs w:val="24"/>
          <w:lang w:val="en-GB"/>
        </w:rPr>
        <w:t xml:space="preserve"> and corporate financial performance (</w:t>
      </w:r>
      <w:r w:rsidRPr="00AE77D4">
        <w:rPr>
          <w:rFonts w:ascii="Times New Roman" w:hAnsi="Times New Roman" w:cs="Times New Roman"/>
          <w:sz w:val="24"/>
          <w:szCs w:val="24"/>
          <w:lang w:val="en-GB"/>
        </w:rPr>
        <w:t xml:space="preserve">Bozec &amp; Bozec, 2012; </w:t>
      </w:r>
      <w:r w:rsidR="00673D7E" w:rsidRPr="00AE77D4">
        <w:rPr>
          <w:rFonts w:ascii="Times New Roman" w:hAnsi="Times New Roman" w:cs="Times New Roman"/>
          <w:sz w:val="24"/>
          <w:szCs w:val="24"/>
          <w:lang w:val="en-GB"/>
        </w:rPr>
        <w:t>Renders et al., 2010)</w:t>
      </w:r>
      <w:r w:rsidR="0050425D" w:rsidRPr="00AE77D4">
        <w:rPr>
          <w:rFonts w:ascii="Times New Roman" w:hAnsi="Times New Roman" w:cs="Times New Roman"/>
          <w:sz w:val="24"/>
          <w:szCs w:val="24"/>
          <w:lang w:val="en-GB"/>
        </w:rPr>
        <w:t xml:space="preserve"> while non-financial performance measures are neglected (Alatawi et al., 2023)</w:t>
      </w:r>
      <w:r w:rsidR="00673D7E" w:rsidRPr="00AE77D4">
        <w:rPr>
          <w:rFonts w:ascii="Times New Roman" w:hAnsi="Times New Roman" w:cs="Times New Roman"/>
          <w:sz w:val="24"/>
          <w:szCs w:val="24"/>
          <w:lang w:val="en-GB"/>
        </w:rPr>
        <w:t>.</w:t>
      </w:r>
      <w:r w:rsidR="008C0ECF" w:rsidRPr="00AE77D4">
        <w:rPr>
          <w:rFonts w:ascii="Times New Roman" w:hAnsi="Times New Roman" w:cs="Times New Roman"/>
          <w:sz w:val="24"/>
          <w:szCs w:val="24"/>
          <w:lang w:val="en-GB"/>
        </w:rPr>
        <w:t xml:space="preserve"> </w:t>
      </w:r>
      <w:r w:rsidR="00924A0D" w:rsidRPr="00AE77D4">
        <w:rPr>
          <w:rFonts w:ascii="Times New Roman" w:hAnsi="Times New Roman" w:cs="Times New Roman"/>
          <w:sz w:val="24"/>
          <w:szCs w:val="24"/>
          <w:lang w:val="en-GB"/>
        </w:rPr>
        <w:t>Other</w:t>
      </w:r>
      <w:r w:rsidR="00083181" w:rsidRPr="00AE77D4">
        <w:rPr>
          <w:rFonts w:ascii="Times New Roman" w:hAnsi="Times New Roman" w:cs="Times New Roman"/>
          <w:sz w:val="24"/>
          <w:szCs w:val="24"/>
          <w:lang w:val="en-GB"/>
        </w:rPr>
        <w:t xml:space="preserve"> studies have </w:t>
      </w:r>
      <w:r w:rsidR="0099776D" w:rsidRPr="00AE77D4">
        <w:rPr>
          <w:rFonts w:ascii="Times New Roman" w:hAnsi="Times New Roman" w:cs="Times New Roman"/>
          <w:sz w:val="24"/>
          <w:szCs w:val="24"/>
          <w:lang w:val="en-GB"/>
        </w:rPr>
        <w:t>addressed</w:t>
      </w:r>
      <w:r w:rsidR="00083181" w:rsidRPr="00AE77D4">
        <w:rPr>
          <w:rFonts w:ascii="Times New Roman" w:hAnsi="Times New Roman" w:cs="Times New Roman"/>
          <w:sz w:val="24"/>
          <w:szCs w:val="24"/>
          <w:lang w:val="en-GB"/>
        </w:rPr>
        <w:t xml:space="preserve"> </w:t>
      </w:r>
      <w:r w:rsidR="0099776D" w:rsidRPr="00AE77D4">
        <w:rPr>
          <w:rFonts w:ascii="Times New Roman" w:hAnsi="Times New Roman" w:cs="Times New Roman"/>
          <w:sz w:val="24"/>
          <w:szCs w:val="24"/>
          <w:lang w:val="en-GB"/>
        </w:rPr>
        <w:t>various aspects</w:t>
      </w:r>
      <w:r w:rsidRPr="00AE77D4">
        <w:rPr>
          <w:rFonts w:ascii="Times New Roman" w:eastAsia="Calibri" w:hAnsi="Times New Roman" w:cs="Times New Roman"/>
          <w:sz w:val="24"/>
          <w:szCs w:val="24"/>
          <w:lang w:val="en-GB"/>
        </w:rPr>
        <w:t xml:space="preserve">, including </w:t>
      </w:r>
      <w:r w:rsidR="00083181" w:rsidRPr="00AE77D4">
        <w:rPr>
          <w:rFonts w:ascii="Times New Roman" w:hAnsi="Times New Roman" w:cs="Times New Roman"/>
          <w:sz w:val="24"/>
          <w:szCs w:val="24"/>
          <w:lang w:val="en-GB"/>
        </w:rPr>
        <w:t>common firm-level characteristics (Fifka, 2013)</w:t>
      </w:r>
      <w:r w:rsidR="008C2626" w:rsidRPr="00AE77D4">
        <w:rPr>
          <w:rFonts w:ascii="Times New Roman" w:hAnsi="Times New Roman" w:cs="Times New Roman"/>
          <w:sz w:val="24"/>
          <w:szCs w:val="24"/>
          <w:lang w:val="en-GB"/>
        </w:rPr>
        <w:t xml:space="preserve"> and social trust </w:t>
      </w:r>
      <w:r w:rsidR="0099776D" w:rsidRPr="00AE77D4">
        <w:rPr>
          <w:rFonts w:ascii="Times New Roman" w:hAnsi="Times New Roman" w:cs="Times New Roman"/>
          <w:sz w:val="24"/>
          <w:szCs w:val="24"/>
          <w:lang w:val="en-GB"/>
        </w:rPr>
        <w:t>(</w:t>
      </w:r>
      <w:r w:rsidR="008C2626" w:rsidRPr="00AE77D4">
        <w:rPr>
          <w:rFonts w:ascii="Times New Roman" w:hAnsi="Times New Roman" w:cs="Times New Roman"/>
          <w:sz w:val="24"/>
          <w:szCs w:val="24"/>
          <w:lang w:val="en-GB"/>
        </w:rPr>
        <w:t>Shahab et al.</w:t>
      </w:r>
      <w:r w:rsidR="0099776D" w:rsidRPr="00AE77D4">
        <w:rPr>
          <w:rFonts w:ascii="Times New Roman" w:hAnsi="Times New Roman" w:cs="Times New Roman"/>
          <w:sz w:val="24"/>
          <w:szCs w:val="24"/>
          <w:lang w:val="en-GB"/>
        </w:rPr>
        <w:t xml:space="preserve">, </w:t>
      </w:r>
      <w:r w:rsidR="008C2626" w:rsidRPr="00AE77D4">
        <w:rPr>
          <w:rFonts w:ascii="Times New Roman" w:hAnsi="Times New Roman" w:cs="Times New Roman"/>
          <w:sz w:val="24"/>
          <w:szCs w:val="24"/>
          <w:lang w:val="en-GB"/>
        </w:rPr>
        <w:t xml:space="preserve">2023) </w:t>
      </w:r>
      <w:r w:rsidR="0099776D" w:rsidRPr="00AE77D4">
        <w:rPr>
          <w:rFonts w:ascii="Times New Roman" w:hAnsi="Times New Roman" w:cs="Times New Roman"/>
          <w:sz w:val="24"/>
          <w:szCs w:val="24"/>
          <w:lang w:val="en-GB"/>
        </w:rPr>
        <w:t>to understand their effect</w:t>
      </w:r>
      <w:r w:rsidR="008C2626" w:rsidRPr="00AE77D4">
        <w:rPr>
          <w:rFonts w:ascii="Times New Roman" w:hAnsi="Times New Roman" w:cs="Times New Roman"/>
          <w:sz w:val="24"/>
          <w:szCs w:val="24"/>
          <w:lang w:val="en-GB"/>
        </w:rPr>
        <w:t xml:space="preserve"> </w:t>
      </w:r>
      <w:r w:rsidR="0099776D" w:rsidRPr="00AE77D4">
        <w:rPr>
          <w:rFonts w:ascii="Times New Roman" w:hAnsi="Times New Roman" w:cs="Times New Roman"/>
          <w:sz w:val="24"/>
          <w:szCs w:val="24"/>
          <w:lang w:val="en-GB"/>
        </w:rPr>
        <w:t xml:space="preserve">on </w:t>
      </w:r>
      <w:r w:rsidR="008C2626" w:rsidRPr="00AE77D4">
        <w:rPr>
          <w:rFonts w:ascii="Times New Roman" w:hAnsi="Times New Roman" w:cs="Times New Roman"/>
          <w:sz w:val="24"/>
          <w:szCs w:val="24"/>
          <w:lang w:val="en-GB"/>
        </w:rPr>
        <w:t xml:space="preserve">environmental </w:t>
      </w:r>
      <w:r w:rsidR="0099776D" w:rsidRPr="00AE77D4">
        <w:rPr>
          <w:rFonts w:ascii="Times New Roman" w:hAnsi="Times New Roman" w:cs="Times New Roman"/>
          <w:sz w:val="24"/>
          <w:szCs w:val="24"/>
          <w:lang w:val="en-GB"/>
        </w:rPr>
        <w:t xml:space="preserve">disclosure </w:t>
      </w:r>
      <w:r w:rsidR="008C2626" w:rsidRPr="00AE77D4">
        <w:rPr>
          <w:rFonts w:ascii="Times New Roman" w:hAnsi="Times New Roman" w:cs="Times New Roman"/>
          <w:sz w:val="24"/>
          <w:szCs w:val="24"/>
          <w:lang w:val="en-GB"/>
        </w:rPr>
        <w:t>performance</w:t>
      </w:r>
      <w:r w:rsidR="00083181" w:rsidRPr="00AE77D4">
        <w:rPr>
          <w:rFonts w:ascii="Times New Roman" w:hAnsi="Times New Roman" w:cs="Times New Roman"/>
          <w:sz w:val="24"/>
          <w:szCs w:val="24"/>
          <w:lang w:val="en-GB"/>
        </w:rPr>
        <w:t xml:space="preserve">, while </w:t>
      </w:r>
      <w:r w:rsidR="00924A0D" w:rsidRPr="00AE77D4">
        <w:rPr>
          <w:rFonts w:ascii="Times New Roman" w:hAnsi="Times New Roman" w:cs="Times New Roman"/>
          <w:sz w:val="24"/>
          <w:szCs w:val="24"/>
          <w:lang w:val="en-GB"/>
        </w:rPr>
        <w:t>limited research</w:t>
      </w:r>
      <w:r w:rsidR="00FA01B4"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 xml:space="preserve">has </w:t>
      </w:r>
      <w:r w:rsidR="005F6022" w:rsidRPr="00AE77D4">
        <w:rPr>
          <w:rFonts w:ascii="Times New Roman" w:hAnsi="Times New Roman" w:cs="Times New Roman"/>
          <w:sz w:val="24"/>
          <w:szCs w:val="24"/>
          <w:lang w:val="en-GB"/>
        </w:rPr>
        <w:t>investigated</w:t>
      </w:r>
      <w:r w:rsidR="00FA01B4" w:rsidRPr="00AE77D4">
        <w:rPr>
          <w:rFonts w:ascii="Times New Roman" w:hAnsi="Times New Roman" w:cs="Times New Roman"/>
          <w:sz w:val="24"/>
          <w:szCs w:val="24"/>
          <w:lang w:val="en-GB"/>
        </w:rPr>
        <w:t xml:space="preserve"> how board </w:t>
      </w:r>
      <w:r w:rsidR="00BD6F27" w:rsidRPr="00AE77D4">
        <w:rPr>
          <w:rFonts w:ascii="Times New Roman" w:hAnsi="Times New Roman" w:cs="Times New Roman"/>
          <w:sz w:val="24"/>
          <w:szCs w:val="24"/>
          <w:lang w:val="en-GB"/>
        </w:rPr>
        <w:t>characteristics</w:t>
      </w:r>
      <w:r w:rsidR="00FA01B4" w:rsidRPr="00AE77D4">
        <w:rPr>
          <w:rFonts w:ascii="Times New Roman" w:hAnsi="Times New Roman" w:cs="Times New Roman"/>
          <w:sz w:val="24"/>
          <w:szCs w:val="24"/>
          <w:lang w:val="en-GB"/>
        </w:rPr>
        <w:t xml:space="preserve"> </w:t>
      </w:r>
      <w:r w:rsidR="005F6022" w:rsidRPr="00AE77D4">
        <w:rPr>
          <w:rFonts w:ascii="Times New Roman" w:hAnsi="Times New Roman" w:cs="Times New Roman"/>
          <w:sz w:val="24"/>
          <w:szCs w:val="24"/>
          <w:lang w:val="en-GB"/>
        </w:rPr>
        <w:t>affect</w:t>
      </w:r>
      <w:r w:rsidR="00FA01B4" w:rsidRPr="00AE77D4">
        <w:rPr>
          <w:rFonts w:ascii="Times New Roman" w:hAnsi="Times New Roman" w:cs="Times New Roman"/>
          <w:sz w:val="24"/>
          <w:szCs w:val="24"/>
          <w:lang w:val="en-GB"/>
        </w:rPr>
        <w:t xml:space="preserve"> environmental disclosures</w:t>
      </w:r>
      <w:r w:rsidR="00BD6F27" w:rsidRPr="00AE77D4">
        <w:rPr>
          <w:rFonts w:ascii="Times New Roman" w:hAnsi="Times New Roman" w:cs="Times New Roman"/>
          <w:sz w:val="24"/>
          <w:szCs w:val="24"/>
          <w:lang w:val="en-GB"/>
        </w:rPr>
        <w:t xml:space="preserve"> </w:t>
      </w:r>
      <w:r w:rsidR="00FE323F" w:rsidRPr="00AE77D4">
        <w:rPr>
          <w:rFonts w:ascii="Times New Roman" w:hAnsi="Times New Roman" w:cs="Times New Roman"/>
          <w:sz w:val="24"/>
          <w:szCs w:val="24"/>
          <w:lang w:val="en-GB"/>
        </w:rPr>
        <w:t xml:space="preserve">(Lattemann et al., 2009) </w:t>
      </w:r>
      <w:r w:rsidRPr="00AE77D4">
        <w:rPr>
          <w:rFonts w:ascii="Times New Roman" w:eastAsia="Calibri" w:hAnsi="Times New Roman" w:cs="Times New Roman"/>
          <w:sz w:val="24"/>
          <w:szCs w:val="24"/>
          <w:lang w:val="en-GB"/>
        </w:rPr>
        <w:t>by applying</w:t>
      </w:r>
      <w:r w:rsidR="00BD6F27" w:rsidRPr="00AE77D4">
        <w:rPr>
          <w:rFonts w:ascii="Times New Roman" w:hAnsi="Times New Roman" w:cs="Times New Roman"/>
          <w:sz w:val="24"/>
          <w:szCs w:val="24"/>
          <w:lang w:val="en-GB"/>
        </w:rPr>
        <w:t xml:space="preserve"> the lenses of institutional </w:t>
      </w:r>
      <w:r w:rsidR="0099776D" w:rsidRPr="00AE77D4">
        <w:rPr>
          <w:rFonts w:ascii="Times New Roman" w:hAnsi="Times New Roman" w:cs="Times New Roman"/>
          <w:sz w:val="24"/>
          <w:szCs w:val="24"/>
          <w:lang w:val="en-GB"/>
        </w:rPr>
        <w:t>influence</w:t>
      </w:r>
      <w:r w:rsidR="00083181" w:rsidRPr="00AE77D4">
        <w:rPr>
          <w:rFonts w:ascii="Times New Roman" w:hAnsi="Times New Roman" w:cs="Times New Roman"/>
          <w:sz w:val="24"/>
          <w:szCs w:val="24"/>
          <w:lang w:val="en-GB"/>
        </w:rPr>
        <w:t>.</w:t>
      </w:r>
      <w:r w:rsidR="008C58D8" w:rsidRPr="00AE77D4">
        <w:rPr>
          <w:rFonts w:ascii="Times New Roman" w:hAnsi="Times New Roman" w:cs="Times New Roman"/>
          <w:sz w:val="24"/>
          <w:szCs w:val="24"/>
          <w:lang w:val="en-GB"/>
        </w:rPr>
        <w:t xml:space="preserve"> </w:t>
      </w:r>
      <w:r w:rsidR="009B5566" w:rsidRPr="00AE77D4">
        <w:rPr>
          <w:rFonts w:ascii="Times New Roman" w:hAnsi="Times New Roman" w:cs="Times New Roman"/>
          <w:sz w:val="24"/>
          <w:szCs w:val="24"/>
          <w:lang w:val="en-GB"/>
        </w:rPr>
        <w:t xml:space="preserve">However, </w:t>
      </w:r>
      <w:r w:rsidR="003667C3" w:rsidRPr="00AE77D4">
        <w:rPr>
          <w:rFonts w:ascii="Times New Roman" w:hAnsi="Times New Roman" w:cs="Times New Roman"/>
          <w:sz w:val="24"/>
          <w:szCs w:val="24"/>
          <w:lang w:val="en-GB"/>
        </w:rPr>
        <w:t xml:space="preserve">an updated </w:t>
      </w:r>
      <w:r w:rsidR="009B5566" w:rsidRPr="00AE77D4">
        <w:rPr>
          <w:rFonts w:ascii="Times New Roman" w:hAnsi="Times New Roman" w:cs="Times New Roman"/>
          <w:sz w:val="24"/>
          <w:szCs w:val="24"/>
          <w:lang w:val="en-GB"/>
        </w:rPr>
        <w:t>good CG is associated with better monitoring</w:t>
      </w:r>
      <w:r w:rsidR="003667C3" w:rsidRPr="00AE77D4">
        <w:rPr>
          <w:rFonts w:ascii="Times New Roman" w:hAnsi="Times New Roman" w:cs="Times New Roman"/>
          <w:sz w:val="24"/>
          <w:szCs w:val="24"/>
          <w:lang w:val="en-GB"/>
        </w:rPr>
        <w:t xml:space="preserve"> and </w:t>
      </w:r>
      <w:r w:rsidR="00924A0D" w:rsidRPr="00AE77D4">
        <w:rPr>
          <w:rFonts w:ascii="Times New Roman" w:hAnsi="Times New Roman" w:cs="Times New Roman"/>
          <w:sz w:val="24"/>
          <w:szCs w:val="24"/>
          <w:lang w:val="en-GB"/>
        </w:rPr>
        <w:t>is</w:t>
      </w:r>
      <w:r w:rsidR="009B5566" w:rsidRPr="00AE77D4">
        <w:rPr>
          <w:rFonts w:ascii="Times New Roman" w:hAnsi="Times New Roman" w:cs="Times New Roman"/>
          <w:sz w:val="24"/>
          <w:szCs w:val="24"/>
          <w:lang w:val="en-GB"/>
        </w:rPr>
        <w:t xml:space="preserve"> expected to positively influence climate disclosure (Arora &amp; Dharwadkar, 2011).</w:t>
      </w:r>
      <w:r w:rsidR="004E7BEB" w:rsidRPr="00AE77D4">
        <w:rPr>
          <w:rFonts w:ascii="Times New Roman" w:hAnsi="Times New Roman" w:cs="Times New Roman"/>
          <w:sz w:val="24"/>
          <w:szCs w:val="24"/>
          <w:lang w:val="en-GB"/>
        </w:rPr>
        <w:t xml:space="preserve"> </w:t>
      </w:r>
      <w:r w:rsidR="00406E1C" w:rsidRPr="00AE77D4">
        <w:rPr>
          <w:rFonts w:ascii="Times New Roman" w:hAnsi="Times New Roman" w:cs="Times New Roman"/>
          <w:sz w:val="24"/>
          <w:szCs w:val="24"/>
          <w:lang w:val="en-GB"/>
        </w:rPr>
        <w:t xml:space="preserve">Similarly, in the neo-institutional view, compliance with good </w:t>
      </w:r>
      <w:r w:rsidR="00406E1C" w:rsidRPr="00AE77D4">
        <w:rPr>
          <w:rFonts w:ascii="Times New Roman" w:hAnsi="Times New Roman" w:cs="Times New Roman"/>
          <w:sz w:val="24"/>
          <w:szCs w:val="24"/>
          <w:lang w:val="en-GB"/>
        </w:rPr>
        <w:lastRenderedPageBreak/>
        <w:t>governance rules, that is, coercive/regulative pressures on corporate structures and operations through increased climate disclosure practices</w:t>
      </w:r>
      <w:r w:rsidRPr="00AE77D4">
        <w:rPr>
          <w:rFonts w:ascii="Times New Roman" w:eastAsia="Calibri" w:hAnsi="Times New Roman" w:cs="Times New Roman"/>
          <w:sz w:val="24"/>
          <w:szCs w:val="24"/>
          <w:lang w:val="en-GB"/>
        </w:rPr>
        <w:t xml:space="preserve">, can improve </w:t>
      </w:r>
      <w:r w:rsidR="005F6022" w:rsidRPr="00AE77D4">
        <w:rPr>
          <w:rFonts w:ascii="Times New Roman" w:hAnsi="Times New Roman" w:cs="Times New Roman"/>
          <w:sz w:val="24"/>
          <w:szCs w:val="24"/>
          <w:lang w:val="en-GB"/>
        </w:rPr>
        <w:t xml:space="preserve">the </w:t>
      </w:r>
      <w:r w:rsidR="00AE59E7" w:rsidRPr="00AE77D4">
        <w:rPr>
          <w:rFonts w:ascii="Times New Roman" w:hAnsi="Times New Roman" w:cs="Times New Roman"/>
          <w:sz w:val="24"/>
          <w:szCs w:val="24"/>
          <w:lang w:val="en-GB"/>
        </w:rPr>
        <w:t xml:space="preserve">transparency </w:t>
      </w:r>
      <w:r w:rsidR="00406E1C" w:rsidRPr="00AE77D4">
        <w:rPr>
          <w:rFonts w:ascii="Times New Roman" w:hAnsi="Times New Roman" w:cs="Times New Roman"/>
          <w:sz w:val="24"/>
          <w:szCs w:val="24"/>
          <w:lang w:val="en-GB"/>
        </w:rPr>
        <w:t xml:space="preserve">of their business by boosting corporate reputation </w:t>
      </w:r>
      <w:r w:rsidR="004E7BEB" w:rsidRPr="00AE77D4">
        <w:rPr>
          <w:rFonts w:ascii="Times New Roman" w:hAnsi="Times New Roman" w:cs="Times New Roman"/>
          <w:sz w:val="24"/>
          <w:szCs w:val="24"/>
          <w:lang w:val="en-GB"/>
        </w:rPr>
        <w:t>(Suchman, 1995).</w:t>
      </w:r>
      <w:r w:rsidR="00747E24" w:rsidRPr="00AE77D4">
        <w:rPr>
          <w:rFonts w:ascii="Times New Roman" w:hAnsi="Times New Roman" w:cs="Times New Roman"/>
          <w:sz w:val="24"/>
          <w:szCs w:val="24"/>
          <w:lang w:val="en-GB"/>
        </w:rPr>
        <w:t xml:space="preserve"> </w:t>
      </w:r>
      <w:r w:rsidR="001D2907" w:rsidRPr="00AE77D4">
        <w:rPr>
          <w:rFonts w:ascii="Times New Roman" w:hAnsi="Times New Roman" w:cs="Times New Roman"/>
          <w:sz w:val="24"/>
          <w:szCs w:val="24"/>
          <w:lang w:val="en-GB"/>
        </w:rPr>
        <w:t>Similarly, increased dedication to imitating (i.e., cognitive/mimetic pressures) and/or adopting (i.e., normative pressures) CCD practices might increase productivity by obtaining vital resources (i.e., funding, government contracts, and qualified personnel) and winning over influential stakeholders</w:t>
      </w:r>
      <w:r w:rsidR="00747E24" w:rsidRPr="00AE77D4">
        <w:rPr>
          <w:rFonts w:ascii="Times New Roman" w:hAnsi="Times New Roman" w:cs="Times New Roman"/>
          <w:sz w:val="24"/>
          <w:szCs w:val="24"/>
          <w:lang w:val="en-GB"/>
        </w:rPr>
        <w:t xml:space="preserve"> </w:t>
      </w:r>
      <w:r w:rsidR="000F3DCD" w:rsidRPr="00AE77D4">
        <w:rPr>
          <w:rFonts w:ascii="Times New Roman" w:hAnsi="Times New Roman" w:cs="Times New Roman"/>
          <w:sz w:val="24"/>
          <w:szCs w:val="24"/>
          <w:lang w:val="en-GB"/>
        </w:rPr>
        <w:t>(Ntim et al. 2013).</w:t>
      </w:r>
      <w:r w:rsidR="00622283" w:rsidRPr="00AE77D4">
        <w:rPr>
          <w:rFonts w:ascii="Times New Roman" w:hAnsi="Times New Roman" w:cs="Times New Roman"/>
          <w:sz w:val="24"/>
          <w:szCs w:val="24"/>
          <w:lang w:val="en-GB"/>
        </w:rPr>
        <w:t xml:space="preserve"> </w:t>
      </w:r>
      <w:r w:rsidR="008C58D8" w:rsidRPr="00AE77D4">
        <w:rPr>
          <w:rFonts w:ascii="Times New Roman" w:hAnsi="Times New Roman" w:cs="Times New Roman"/>
          <w:sz w:val="24"/>
          <w:szCs w:val="24"/>
          <w:lang w:val="en-GB"/>
        </w:rPr>
        <w:t xml:space="preserve">We draw from these strands of the literature to identify potential CG variables that might influence </w:t>
      </w:r>
      <w:r w:rsidR="00722DD6" w:rsidRPr="00AE77D4">
        <w:rPr>
          <w:rFonts w:ascii="Times New Roman" w:hAnsi="Times New Roman" w:cs="Times New Roman"/>
          <w:sz w:val="24"/>
          <w:szCs w:val="24"/>
          <w:lang w:val="en-GB"/>
        </w:rPr>
        <w:t xml:space="preserve">climate change </w:t>
      </w:r>
      <w:r w:rsidR="008C58D8" w:rsidRPr="00AE77D4">
        <w:rPr>
          <w:rFonts w:ascii="Times New Roman" w:hAnsi="Times New Roman" w:cs="Times New Roman"/>
          <w:sz w:val="24"/>
          <w:szCs w:val="24"/>
          <w:lang w:val="en-GB"/>
        </w:rPr>
        <w:t xml:space="preserve">disclosures and develop a hypothesis for each of the </w:t>
      </w:r>
      <w:r w:rsidR="00722DD6" w:rsidRPr="00AE77D4">
        <w:rPr>
          <w:rFonts w:ascii="Times New Roman" w:hAnsi="Times New Roman" w:cs="Times New Roman"/>
          <w:sz w:val="24"/>
          <w:szCs w:val="24"/>
          <w:lang w:val="en-GB"/>
        </w:rPr>
        <w:t>board characteristics (board size, independent directors, foreign directors, board diversity, board meeting</w:t>
      </w:r>
      <w:r w:rsidRPr="00AE77D4">
        <w:rPr>
          <w:rFonts w:ascii="Times New Roman" w:eastAsia="Calibri" w:hAnsi="Times New Roman" w:cs="Times New Roman"/>
          <w:sz w:val="24"/>
          <w:szCs w:val="24"/>
          <w:lang w:val="en-GB"/>
        </w:rPr>
        <w:t>s, CEO duality, and audit committees).</w:t>
      </w:r>
    </w:p>
    <w:p w14:paraId="1ABD2768" w14:textId="334B4CDE" w:rsidR="00C166AE"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4</w:t>
      </w:r>
      <w:r w:rsidR="00BE6B4F" w:rsidRPr="00AE77D4">
        <w:rPr>
          <w:rFonts w:ascii="Times New Roman" w:hAnsi="Times New Roman" w:cs="Times New Roman"/>
          <w:b/>
          <w:sz w:val="24"/>
          <w:szCs w:val="24"/>
          <w:lang w:val="en-GB"/>
        </w:rPr>
        <w:t xml:space="preserve">.1 </w:t>
      </w:r>
      <w:r w:rsidR="007B0708" w:rsidRPr="00AE77D4">
        <w:rPr>
          <w:rFonts w:ascii="Times New Roman" w:hAnsi="Times New Roman" w:cs="Times New Roman"/>
          <w:b/>
          <w:sz w:val="24"/>
          <w:szCs w:val="24"/>
          <w:lang w:val="en-GB"/>
        </w:rPr>
        <w:t>The effect of board s</w:t>
      </w:r>
      <w:r w:rsidRPr="00AE77D4">
        <w:rPr>
          <w:rFonts w:ascii="Times New Roman" w:hAnsi="Times New Roman" w:cs="Times New Roman"/>
          <w:b/>
          <w:sz w:val="24"/>
          <w:szCs w:val="24"/>
          <w:lang w:val="en-GB"/>
        </w:rPr>
        <w:t>ize</w:t>
      </w:r>
      <w:r w:rsidR="007B0708" w:rsidRPr="00AE77D4">
        <w:rPr>
          <w:rFonts w:ascii="Times New Roman" w:hAnsi="Times New Roman" w:cs="Times New Roman"/>
          <w:b/>
          <w:sz w:val="24"/>
          <w:szCs w:val="24"/>
          <w:lang w:val="en-GB"/>
        </w:rPr>
        <w:t xml:space="preserve"> on </w:t>
      </w:r>
      <w:r w:rsidR="00BC4B16" w:rsidRPr="00AE77D4">
        <w:rPr>
          <w:rFonts w:ascii="Times New Roman" w:hAnsi="Times New Roman" w:cs="Times New Roman"/>
          <w:b/>
          <w:sz w:val="24"/>
          <w:szCs w:val="24"/>
          <w:lang w:val="en-GB"/>
        </w:rPr>
        <w:t xml:space="preserve">the </w:t>
      </w:r>
      <w:r w:rsidR="007B0708" w:rsidRPr="00AE77D4">
        <w:rPr>
          <w:rFonts w:ascii="Times New Roman" w:hAnsi="Times New Roman" w:cs="Times New Roman"/>
          <w:b/>
          <w:sz w:val="24"/>
          <w:szCs w:val="24"/>
          <w:lang w:val="en-GB"/>
        </w:rPr>
        <w:t>climate change disclosures</w:t>
      </w:r>
    </w:p>
    <w:p w14:paraId="43D97F25" w14:textId="328C064F" w:rsidR="00E13EB9" w:rsidRPr="00AE77D4" w:rsidRDefault="00C166AE" w:rsidP="00AE77D4">
      <w:pPr>
        <w:spacing w:after="100" w:afterAutospacing="1"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Board </w:t>
      </w:r>
      <w:r w:rsidR="00994B73" w:rsidRPr="00AE77D4">
        <w:rPr>
          <w:rFonts w:ascii="Times New Roman" w:hAnsi="Times New Roman" w:cs="Times New Roman"/>
          <w:sz w:val="24"/>
          <w:szCs w:val="24"/>
          <w:lang w:val="en-GB"/>
        </w:rPr>
        <w:t>size</w:t>
      </w:r>
      <w:r w:rsidRPr="00AE77D4">
        <w:rPr>
          <w:rFonts w:ascii="Times New Roman" w:hAnsi="Times New Roman" w:cs="Times New Roman"/>
          <w:sz w:val="24"/>
          <w:szCs w:val="24"/>
          <w:lang w:val="en-GB"/>
        </w:rPr>
        <w:t xml:space="preserve"> is a crucial organ in </w:t>
      </w:r>
      <w:r w:rsidR="00532F52" w:rsidRPr="00AE77D4">
        <w:rPr>
          <w:rFonts w:ascii="Times New Roman" w:hAnsi="Times New Roman" w:cs="Times New Roman"/>
          <w:sz w:val="24"/>
          <w:szCs w:val="24"/>
          <w:lang w:val="en-GB"/>
        </w:rPr>
        <w:t xml:space="preserve">the </w:t>
      </w:r>
      <w:r w:rsidR="00E32C41" w:rsidRPr="00AE77D4">
        <w:rPr>
          <w:rFonts w:ascii="Times New Roman" w:hAnsi="Times New Roman" w:cs="Times New Roman"/>
          <w:sz w:val="24"/>
          <w:szCs w:val="24"/>
          <w:lang w:val="en-GB"/>
        </w:rPr>
        <w:t>CG</w:t>
      </w:r>
      <w:r w:rsidRPr="00AE77D4">
        <w:rPr>
          <w:rFonts w:ascii="Times New Roman" w:hAnsi="Times New Roman" w:cs="Times New Roman"/>
          <w:sz w:val="24"/>
          <w:szCs w:val="24"/>
          <w:lang w:val="en-GB"/>
        </w:rPr>
        <w:t xml:space="preserve"> framework</w:t>
      </w:r>
      <w:r w:rsidR="00994B73" w:rsidRPr="00AE77D4">
        <w:rPr>
          <w:rFonts w:ascii="Times New Roman" w:hAnsi="Times New Roman" w:cs="Times New Roman"/>
          <w:sz w:val="24"/>
          <w:szCs w:val="24"/>
          <w:lang w:val="en-GB"/>
        </w:rPr>
        <w:t xml:space="preserve"> that</w:t>
      </w:r>
      <w:r w:rsidR="00E32C41" w:rsidRPr="00AE77D4">
        <w:rPr>
          <w:rFonts w:ascii="Times New Roman" w:hAnsi="Times New Roman" w:cs="Times New Roman"/>
          <w:sz w:val="24"/>
          <w:szCs w:val="24"/>
          <w:lang w:val="en-GB"/>
        </w:rPr>
        <w:t xml:space="preserve"> influences board efficiency and effectiveness (Wang et al., 2022; Al Amosh &amp; Khatib, 2021 and Alnabsha et al. 2018) by performing two main strategic functions: conformance (e.g., monitoring compliance with rules and disciplining managers) and performance (e.g., providing advice and acc</w:t>
      </w:r>
      <w:r w:rsidR="005A04C4" w:rsidRPr="00AE77D4">
        <w:rPr>
          <w:rFonts w:ascii="Times New Roman" w:hAnsi="Times New Roman" w:cs="Times New Roman"/>
          <w:sz w:val="24"/>
          <w:szCs w:val="24"/>
          <w:lang w:val="en-GB"/>
        </w:rPr>
        <w:t>ess to resources) (</w:t>
      </w:r>
      <w:r w:rsidR="001411EE" w:rsidRPr="00AE77D4">
        <w:rPr>
          <w:rFonts w:ascii="Times New Roman" w:hAnsi="Times New Roman" w:cs="Times New Roman"/>
          <w:sz w:val="24"/>
          <w:szCs w:val="24"/>
          <w:lang w:val="en-GB"/>
        </w:rPr>
        <w:t>Katmon et al., 2019; Khan et al., 2015 and Amran et al., 2014</w:t>
      </w:r>
      <w:r w:rsidR="00E32C41" w:rsidRPr="00AE77D4">
        <w:rPr>
          <w:rFonts w:ascii="Times New Roman" w:hAnsi="Times New Roman" w:cs="Times New Roman"/>
          <w:sz w:val="24"/>
          <w:szCs w:val="24"/>
          <w:lang w:val="en-GB"/>
        </w:rPr>
        <w:t>).</w:t>
      </w:r>
      <w:r w:rsidR="005A04C4" w:rsidRPr="00AE77D4">
        <w:rPr>
          <w:rFonts w:ascii="Times New Roman" w:hAnsi="Times New Roman" w:cs="Times New Roman"/>
          <w:sz w:val="24"/>
          <w:szCs w:val="24"/>
          <w:lang w:val="en-GB"/>
        </w:rPr>
        <w:t xml:space="preserve"> </w:t>
      </w:r>
      <w:r w:rsidR="00AC4AC6" w:rsidRPr="00AE77D4">
        <w:rPr>
          <w:rFonts w:ascii="Times New Roman" w:hAnsi="Times New Roman" w:cs="Times New Roman"/>
          <w:sz w:val="24"/>
          <w:szCs w:val="24"/>
          <w:lang w:val="en-GB"/>
        </w:rPr>
        <w:t>From the n</w:t>
      </w:r>
      <w:r w:rsidR="006A37D1" w:rsidRPr="00AE77D4">
        <w:rPr>
          <w:rFonts w:ascii="Times New Roman" w:hAnsi="Times New Roman" w:cs="Times New Roman"/>
          <w:sz w:val="24"/>
          <w:szCs w:val="24"/>
          <w:lang w:val="en-GB"/>
        </w:rPr>
        <w:t>eo-</w:t>
      </w:r>
      <w:r w:rsidR="00517C85" w:rsidRPr="00AE77D4">
        <w:rPr>
          <w:rFonts w:ascii="Times New Roman" w:hAnsi="Times New Roman" w:cs="Times New Roman"/>
          <w:sz w:val="24"/>
          <w:szCs w:val="24"/>
          <w:lang w:val="en-GB"/>
        </w:rPr>
        <w:t>institutionalism postulate</w:t>
      </w:r>
      <w:r w:rsidR="00AC4AC6" w:rsidRPr="00AE77D4">
        <w:rPr>
          <w:rFonts w:ascii="Times New Roman" w:hAnsi="Times New Roman" w:cs="Times New Roman"/>
          <w:sz w:val="24"/>
          <w:szCs w:val="24"/>
          <w:lang w:val="en-GB"/>
        </w:rPr>
        <w:t>,</w:t>
      </w:r>
      <w:r w:rsidR="00517C85" w:rsidRPr="00AE77D4">
        <w:rPr>
          <w:rFonts w:ascii="Times New Roman" w:hAnsi="Times New Roman" w:cs="Times New Roman"/>
          <w:sz w:val="24"/>
          <w:szCs w:val="24"/>
          <w:lang w:val="en-GB"/>
        </w:rPr>
        <w:t xml:space="preserve"> </w:t>
      </w:r>
      <w:r w:rsidR="006C2C32" w:rsidRPr="00AE77D4">
        <w:rPr>
          <w:rFonts w:ascii="Times New Roman" w:hAnsi="Times New Roman" w:cs="Times New Roman"/>
          <w:sz w:val="24"/>
          <w:szCs w:val="24"/>
          <w:lang w:val="en-GB"/>
        </w:rPr>
        <w:t xml:space="preserve">an effective board structure with a larger board and distinct </w:t>
      </w:r>
      <w:r w:rsidR="00924A0D" w:rsidRPr="00AE77D4">
        <w:rPr>
          <w:rFonts w:ascii="Times New Roman" w:hAnsi="Times New Roman" w:cs="Times New Roman"/>
          <w:sz w:val="24"/>
          <w:szCs w:val="24"/>
          <w:lang w:val="en-GB"/>
        </w:rPr>
        <w:t>directors</w:t>
      </w:r>
      <w:r w:rsidR="006C2C32" w:rsidRPr="00AE77D4">
        <w:rPr>
          <w:rFonts w:ascii="Times New Roman" w:hAnsi="Times New Roman" w:cs="Times New Roman"/>
          <w:sz w:val="24"/>
          <w:szCs w:val="24"/>
          <w:lang w:val="en-GB"/>
        </w:rPr>
        <w:t xml:space="preserve"> </w:t>
      </w:r>
      <w:r w:rsidR="00CD63AC" w:rsidRPr="00AE77D4">
        <w:rPr>
          <w:rFonts w:ascii="Times New Roman" w:hAnsi="Times New Roman" w:cs="Times New Roman"/>
          <w:sz w:val="24"/>
          <w:szCs w:val="24"/>
          <w:lang w:val="en-GB"/>
        </w:rPr>
        <w:t>is associated with higher managerial monitoring, which improve</w:t>
      </w:r>
      <w:r w:rsidRPr="00AE77D4">
        <w:rPr>
          <w:rFonts w:ascii="Times New Roman" w:eastAsia="Calibri" w:hAnsi="Times New Roman" w:cs="Times New Roman"/>
          <w:sz w:val="24"/>
          <w:szCs w:val="24"/>
          <w:lang w:val="en-GB"/>
        </w:rPr>
        <w:t xml:space="preserve">s shareholder efficiency </w:t>
      </w:r>
      <w:r w:rsidR="00CD63AC" w:rsidRPr="00AE77D4">
        <w:rPr>
          <w:rFonts w:ascii="Times New Roman" w:hAnsi="Times New Roman" w:cs="Times New Roman"/>
          <w:sz w:val="24"/>
          <w:szCs w:val="24"/>
          <w:lang w:val="en-GB"/>
        </w:rPr>
        <w:t>by ensuring conformance to corporate regulations and norms (</w:t>
      </w:r>
      <w:r w:rsidR="005A79E7" w:rsidRPr="00AE77D4">
        <w:rPr>
          <w:rFonts w:ascii="Times New Roman" w:hAnsi="Times New Roman" w:cs="Times New Roman"/>
          <w:sz w:val="24"/>
          <w:szCs w:val="24"/>
          <w:lang w:val="en-GB"/>
        </w:rPr>
        <w:t xml:space="preserve">Katmon et al., 2019; </w:t>
      </w:r>
      <w:r w:rsidR="00CD63AC" w:rsidRPr="00AE77D4">
        <w:rPr>
          <w:rFonts w:ascii="Times New Roman" w:hAnsi="Times New Roman" w:cs="Times New Roman"/>
          <w:sz w:val="24"/>
          <w:szCs w:val="24"/>
          <w:lang w:val="en-GB"/>
        </w:rPr>
        <w:t xml:space="preserve">Ntim et al. 2013). Thus, </w:t>
      </w:r>
      <w:r w:rsidR="00633E35" w:rsidRPr="00AE77D4">
        <w:rPr>
          <w:rFonts w:ascii="Times New Roman" w:hAnsi="Times New Roman" w:cs="Times New Roman"/>
          <w:sz w:val="24"/>
          <w:szCs w:val="24"/>
          <w:lang w:val="en-GB"/>
        </w:rPr>
        <w:t xml:space="preserve">as CCD information is increasingly an important element of voluntary disclosures, we expect </w:t>
      </w:r>
      <w:r w:rsidR="00CD63AC" w:rsidRPr="00AE77D4">
        <w:rPr>
          <w:rFonts w:ascii="Times New Roman" w:hAnsi="Times New Roman" w:cs="Times New Roman"/>
          <w:sz w:val="24"/>
          <w:szCs w:val="24"/>
          <w:lang w:val="en-GB"/>
        </w:rPr>
        <w:t>well</w:t>
      </w:r>
      <w:r w:rsidRPr="00AE77D4">
        <w:rPr>
          <w:rFonts w:ascii="Times New Roman" w:hAnsi="Times New Roman" w:cs="Times New Roman"/>
          <w:sz w:val="24"/>
          <w:szCs w:val="24"/>
          <w:lang w:val="en-GB"/>
        </w:rPr>
        <w:t xml:space="preserve">-structured </w:t>
      </w:r>
      <w:r w:rsidR="00633E35" w:rsidRPr="00AE77D4">
        <w:rPr>
          <w:rFonts w:ascii="Times New Roman" w:hAnsi="Times New Roman" w:cs="Times New Roman"/>
          <w:sz w:val="24"/>
          <w:szCs w:val="24"/>
          <w:lang w:val="en-GB"/>
        </w:rPr>
        <w:t xml:space="preserve">firms with larger boards </w:t>
      </w:r>
      <w:r w:rsidR="00CD63AC" w:rsidRPr="00AE77D4">
        <w:rPr>
          <w:rFonts w:ascii="Times New Roman" w:hAnsi="Times New Roman" w:cs="Times New Roman"/>
          <w:sz w:val="24"/>
          <w:szCs w:val="24"/>
          <w:lang w:val="en-GB"/>
        </w:rPr>
        <w:t xml:space="preserve">to put pressure </w:t>
      </w:r>
      <w:r w:rsidRPr="00AE77D4">
        <w:rPr>
          <w:rFonts w:ascii="Times New Roman" w:eastAsia="Calibri" w:hAnsi="Times New Roman" w:cs="Times New Roman"/>
          <w:sz w:val="24"/>
          <w:szCs w:val="24"/>
          <w:lang w:val="en-GB"/>
        </w:rPr>
        <w:t xml:space="preserve">on firms </w:t>
      </w:r>
      <w:r w:rsidRPr="00AE77D4">
        <w:rPr>
          <w:rFonts w:ascii="Times New Roman" w:hAnsi="Times New Roman" w:cs="Times New Roman"/>
          <w:sz w:val="24"/>
          <w:szCs w:val="24"/>
          <w:lang w:val="en-GB"/>
        </w:rPr>
        <w:t>to commit climate-</w:t>
      </w:r>
      <w:r w:rsidR="00817723" w:rsidRPr="00AE77D4">
        <w:rPr>
          <w:rFonts w:ascii="Times New Roman" w:hAnsi="Times New Roman" w:cs="Times New Roman"/>
          <w:sz w:val="24"/>
          <w:szCs w:val="24"/>
          <w:lang w:val="en-GB"/>
        </w:rPr>
        <w:t>friendly activities</w:t>
      </w:r>
      <w:r w:rsidR="006C2C32" w:rsidRPr="00AE77D4">
        <w:rPr>
          <w:rFonts w:ascii="Times New Roman" w:hAnsi="Times New Roman" w:cs="Times New Roman"/>
          <w:sz w:val="24"/>
          <w:szCs w:val="24"/>
          <w:lang w:val="en-GB"/>
        </w:rPr>
        <w:t xml:space="preserve"> </w:t>
      </w:r>
      <w:r w:rsidR="00633E35" w:rsidRPr="00AE77D4">
        <w:rPr>
          <w:rFonts w:ascii="Times New Roman" w:hAnsi="Times New Roman" w:cs="Times New Roman"/>
          <w:sz w:val="24"/>
          <w:szCs w:val="24"/>
          <w:lang w:val="en-GB"/>
        </w:rPr>
        <w:t xml:space="preserve">than their smaller counterparts </w:t>
      </w:r>
      <w:r w:rsidR="006C2C32" w:rsidRPr="00AE77D4">
        <w:rPr>
          <w:rFonts w:ascii="Times New Roman" w:hAnsi="Times New Roman" w:cs="Times New Roman"/>
          <w:sz w:val="24"/>
          <w:szCs w:val="24"/>
          <w:lang w:val="en-GB"/>
        </w:rPr>
        <w:t>(Karim et al., 2021</w:t>
      </w:r>
      <w:r w:rsidR="0099509E" w:rsidRPr="00AE77D4">
        <w:rPr>
          <w:rFonts w:ascii="Times New Roman" w:hAnsi="Times New Roman" w:cs="Times New Roman"/>
          <w:sz w:val="24"/>
          <w:szCs w:val="24"/>
          <w:lang w:val="en-GB"/>
        </w:rPr>
        <w:t>; Ntim et al. 2013</w:t>
      </w:r>
      <w:r w:rsidR="006C2C32" w:rsidRPr="00AE77D4">
        <w:rPr>
          <w:rFonts w:ascii="Times New Roman" w:hAnsi="Times New Roman" w:cs="Times New Roman"/>
          <w:sz w:val="24"/>
          <w:szCs w:val="24"/>
          <w:lang w:val="en-GB"/>
        </w:rPr>
        <w:t>)</w:t>
      </w:r>
      <w:r w:rsidR="00817723" w:rsidRPr="00AE77D4">
        <w:rPr>
          <w:rFonts w:ascii="Times New Roman" w:hAnsi="Times New Roman" w:cs="Times New Roman"/>
          <w:sz w:val="24"/>
          <w:szCs w:val="24"/>
          <w:lang w:val="en-GB"/>
        </w:rPr>
        <w:t>.</w:t>
      </w:r>
      <w:r w:rsidR="009D34D6" w:rsidRPr="00AE77D4">
        <w:rPr>
          <w:rFonts w:ascii="Times New Roman" w:hAnsi="Times New Roman" w:cs="Times New Roman"/>
          <w:sz w:val="24"/>
          <w:szCs w:val="24"/>
          <w:lang w:val="en-GB"/>
        </w:rPr>
        <w:t xml:space="preserve"> Similarly, from a legitimation perspective, larger boards are linked to a more diverse range of expertise, experience</w:t>
      </w:r>
      <w:r w:rsidRPr="00AE77D4">
        <w:rPr>
          <w:rFonts w:ascii="Times New Roman" w:eastAsia="Calibri" w:hAnsi="Times New Roman" w:cs="Times New Roman"/>
          <w:sz w:val="24"/>
          <w:szCs w:val="24"/>
          <w:lang w:val="en-GB"/>
        </w:rPr>
        <w:t>, and stakeholder representation that can enhance corporate reputation</w:t>
      </w:r>
      <w:r w:rsidR="009D34D6" w:rsidRPr="00AE77D4">
        <w:rPr>
          <w:rFonts w:ascii="Times New Roman" w:hAnsi="Times New Roman" w:cs="Times New Roman"/>
          <w:sz w:val="24"/>
          <w:szCs w:val="24"/>
          <w:lang w:val="en-GB"/>
        </w:rPr>
        <w:t xml:space="preserve"> and image</w:t>
      </w:r>
      <w:r w:rsidRPr="00AE77D4">
        <w:rPr>
          <w:rFonts w:ascii="Times New Roman" w:hAnsi="Times New Roman" w:cs="Times New Roman"/>
          <w:sz w:val="24"/>
          <w:szCs w:val="24"/>
          <w:lang w:val="en-GB"/>
        </w:rPr>
        <w:t xml:space="preserve"> </w:t>
      </w:r>
      <w:r w:rsidR="00CB690D" w:rsidRPr="00AE77D4">
        <w:rPr>
          <w:rFonts w:ascii="Times New Roman" w:hAnsi="Times New Roman" w:cs="Times New Roman"/>
          <w:sz w:val="24"/>
          <w:szCs w:val="24"/>
          <w:lang w:val="en-GB"/>
        </w:rPr>
        <w:t xml:space="preserve">by setting a firm's sustainable agenda and allocating the necessary resources to </w:t>
      </w:r>
      <w:r w:rsidRPr="00AE77D4">
        <w:rPr>
          <w:rFonts w:ascii="Times New Roman" w:hAnsi="Times New Roman" w:cs="Times New Roman"/>
          <w:sz w:val="24"/>
          <w:szCs w:val="24"/>
          <w:lang w:val="en-GB"/>
        </w:rPr>
        <w:t>disclose financial, social, and climate information</w:t>
      </w:r>
      <w:r w:rsidR="009D34D6" w:rsidRPr="00AE77D4">
        <w:rPr>
          <w:rFonts w:ascii="Times New Roman" w:hAnsi="Times New Roman" w:cs="Times New Roman"/>
          <w:sz w:val="24"/>
          <w:szCs w:val="24"/>
          <w:lang w:val="en-GB"/>
        </w:rPr>
        <w:t xml:space="preserve"> (</w:t>
      </w:r>
      <w:r w:rsidR="00C40397" w:rsidRPr="00AE77D4">
        <w:rPr>
          <w:rFonts w:ascii="Times New Roman" w:hAnsi="Times New Roman" w:cs="Times New Roman"/>
          <w:sz w:val="24"/>
          <w:szCs w:val="24"/>
          <w:lang w:val="en-GB"/>
        </w:rPr>
        <w:t xml:space="preserve">Grecco et al., 2013; </w:t>
      </w:r>
      <w:r w:rsidR="00CB690D" w:rsidRPr="00AE77D4">
        <w:rPr>
          <w:rFonts w:ascii="Times New Roman" w:hAnsi="Times New Roman" w:cs="Times New Roman"/>
          <w:sz w:val="24"/>
          <w:szCs w:val="24"/>
          <w:lang w:val="en-GB"/>
        </w:rPr>
        <w:t xml:space="preserve">Jizi, 2017; </w:t>
      </w:r>
      <w:r w:rsidR="009D34D6" w:rsidRPr="00AE77D4">
        <w:rPr>
          <w:rFonts w:ascii="Times New Roman" w:hAnsi="Times New Roman" w:cs="Times New Roman"/>
          <w:sz w:val="24"/>
          <w:szCs w:val="24"/>
          <w:lang w:val="en-GB"/>
        </w:rPr>
        <w:t>Ntim et al. 2013).</w:t>
      </w:r>
      <w:r w:rsidRPr="00AE77D4">
        <w:rPr>
          <w:rFonts w:ascii="Times New Roman" w:hAnsi="Times New Roman" w:cs="Times New Roman"/>
          <w:sz w:val="24"/>
          <w:szCs w:val="24"/>
          <w:lang w:val="en-GB"/>
        </w:rPr>
        <w:t xml:space="preserve"> </w:t>
      </w:r>
    </w:p>
    <w:p w14:paraId="42772D23" w14:textId="74697E6A" w:rsidR="00E34E73" w:rsidRPr="00AE77D4" w:rsidRDefault="00661A05" w:rsidP="00AE77D4">
      <w:pPr>
        <w:spacing w:after="100" w:afterAutospacing="1"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In contrast, some argue that larger boards are ineffective because of coordination and communication problems </w:t>
      </w:r>
      <w:r w:rsidR="00303CC7" w:rsidRPr="00AE77D4">
        <w:rPr>
          <w:rFonts w:ascii="Times New Roman" w:hAnsi="Times New Roman" w:cs="Times New Roman"/>
          <w:sz w:val="24"/>
          <w:szCs w:val="24"/>
          <w:lang w:val="en-GB"/>
        </w:rPr>
        <w:t>(Jensen, 1993).</w:t>
      </w:r>
      <w:r w:rsidR="00422154" w:rsidRPr="00AE77D4">
        <w:rPr>
          <w:rFonts w:ascii="Times New Roman" w:hAnsi="Times New Roman" w:cs="Times New Roman"/>
          <w:sz w:val="24"/>
          <w:szCs w:val="24"/>
          <w:lang w:val="en-GB"/>
        </w:rPr>
        <w:t xml:space="preserve"> </w:t>
      </w:r>
      <w:r w:rsidR="008103AE" w:rsidRPr="00AE77D4">
        <w:rPr>
          <w:rFonts w:ascii="Times New Roman" w:hAnsi="Times New Roman" w:cs="Times New Roman"/>
          <w:sz w:val="24"/>
          <w:szCs w:val="24"/>
          <w:lang w:val="en-GB"/>
        </w:rPr>
        <w:t>That is, as the board gets larger</w:t>
      </w:r>
      <w:r w:rsidRPr="00AE77D4">
        <w:rPr>
          <w:rFonts w:ascii="Times New Roman" w:eastAsia="Calibri" w:hAnsi="Times New Roman" w:cs="Times New Roman"/>
          <w:sz w:val="24"/>
          <w:szCs w:val="24"/>
          <w:lang w:val="en-GB"/>
        </w:rPr>
        <w:t xml:space="preserve">, directors are inclined to give up their duties and participate in </w:t>
      </w:r>
      <w:r w:rsidR="00034546" w:rsidRPr="00AE77D4">
        <w:rPr>
          <w:rFonts w:ascii="Times New Roman" w:hAnsi="Times New Roman" w:cs="Times New Roman"/>
          <w:sz w:val="24"/>
          <w:szCs w:val="24"/>
          <w:lang w:val="en-GB"/>
        </w:rPr>
        <w:t>free-riding</w:t>
      </w:r>
      <w:r w:rsidR="008103AE" w:rsidRPr="00AE77D4">
        <w:rPr>
          <w:rFonts w:ascii="Times New Roman" w:hAnsi="Times New Roman" w:cs="Times New Roman"/>
          <w:sz w:val="24"/>
          <w:szCs w:val="24"/>
          <w:lang w:val="en-GB"/>
        </w:rPr>
        <w:t>, which results in less managerial accountability (Ntim et al. 2013).</w:t>
      </w:r>
      <w:r w:rsidR="004E3DF1"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 xml:space="preserve">Therefore, </w:t>
      </w:r>
      <w:r w:rsidR="004E3DF1" w:rsidRPr="00AE77D4">
        <w:rPr>
          <w:rFonts w:ascii="Times New Roman" w:hAnsi="Times New Roman" w:cs="Times New Roman"/>
          <w:sz w:val="24"/>
          <w:szCs w:val="24"/>
          <w:lang w:val="en-GB"/>
        </w:rPr>
        <w:t xml:space="preserve">larger boards are more likely to be controlled by powerful managers, which may have a detrimental effect on company disclosure </w:t>
      </w:r>
      <w:r w:rsidRPr="00AE77D4">
        <w:rPr>
          <w:rFonts w:ascii="Times New Roman" w:hAnsi="Times New Roman" w:cs="Times New Roman"/>
          <w:sz w:val="24"/>
          <w:szCs w:val="24"/>
          <w:lang w:val="en-GB"/>
        </w:rPr>
        <w:t>practices</w:t>
      </w:r>
      <w:r w:rsidR="004E3DF1" w:rsidRPr="00AE77D4">
        <w:rPr>
          <w:rFonts w:ascii="Times New Roman" w:hAnsi="Times New Roman" w:cs="Times New Roman"/>
          <w:sz w:val="24"/>
          <w:szCs w:val="24"/>
          <w:lang w:val="en-GB"/>
        </w:rPr>
        <w:t>.</w:t>
      </w:r>
      <w:r w:rsidR="003152BB" w:rsidRPr="00AE77D4">
        <w:rPr>
          <w:rFonts w:ascii="Times New Roman" w:hAnsi="Times New Roman" w:cs="Times New Roman"/>
          <w:sz w:val="24"/>
          <w:szCs w:val="24"/>
          <w:lang w:val="en-GB"/>
        </w:rPr>
        <w:t xml:space="preserve"> </w:t>
      </w:r>
    </w:p>
    <w:p w14:paraId="5C75921D" w14:textId="751D10D2" w:rsidR="00E34E73" w:rsidRPr="00AE77D4" w:rsidRDefault="00661A05" w:rsidP="00AE77D4">
      <w:pPr>
        <w:spacing w:after="100" w:afterAutospacing="1"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Empirical evidence on the relationship between board size and CCD practices is generally rare and focuses on </w:t>
      </w:r>
      <w:r w:rsidRPr="00AE77D4">
        <w:rPr>
          <w:rFonts w:ascii="Times New Roman" w:eastAsia="Calibri" w:hAnsi="Times New Roman" w:cs="Times New Roman"/>
          <w:sz w:val="24"/>
          <w:szCs w:val="24"/>
          <w:lang w:val="en-GB"/>
        </w:rPr>
        <w:t>the context of developed countries</w:t>
      </w:r>
      <w:r w:rsidRPr="00AE77D4">
        <w:rPr>
          <w:rFonts w:ascii="Times New Roman" w:hAnsi="Times New Roman" w:cs="Times New Roman"/>
          <w:sz w:val="24"/>
          <w:szCs w:val="24"/>
          <w:lang w:val="en-GB"/>
        </w:rPr>
        <w:t>. However, Nitm et al. (2013) report that corporate boards have a positive impact on CCD disclosures, whereas García-Sánchez et al. (2015) find that corporate boards have an insignificant impact on CCD practices.</w:t>
      </w:r>
    </w:p>
    <w:p w14:paraId="659D924D" w14:textId="1251E7B2" w:rsidR="00C166AE" w:rsidRPr="00AE77D4" w:rsidRDefault="00661A05" w:rsidP="00AE77D4">
      <w:pPr>
        <w:spacing w:after="100" w:afterAutospacing="1"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Given the conflicting literature</w:t>
      </w:r>
      <w:r w:rsidR="00034546" w:rsidRPr="00AE77D4">
        <w:rPr>
          <w:rFonts w:ascii="Times New Roman" w:hAnsi="Times New Roman" w:cs="Times New Roman"/>
          <w:sz w:val="24"/>
          <w:szCs w:val="24"/>
          <w:lang w:val="en-GB"/>
        </w:rPr>
        <w:t>,</w:t>
      </w:r>
      <w:r w:rsidR="003A269E" w:rsidRPr="00AE77D4">
        <w:rPr>
          <w:rFonts w:ascii="Times New Roman" w:hAnsi="Times New Roman" w:cs="Times New Roman"/>
          <w:sz w:val="24"/>
          <w:szCs w:val="24"/>
          <w:lang w:val="en-GB"/>
        </w:rPr>
        <w:t xml:space="preserve"> the impact of board size on CCD </w:t>
      </w:r>
      <w:r w:rsidR="00341DAB" w:rsidRPr="00AE77D4">
        <w:rPr>
          <w:rFonts w:ascii="Times New Roman" w:hAnsi="Times New Roman" w:cs="Times New Roman"/>
          <w:sz w:val="24"/>
          <w:szCs w:val="24"/>
          <w:lang w:val="en-GB"/>
        </w:rPr>
        <w:t>demands a more specific study of environmentally sensitive firms</w:t>
      </w:r>
      <w:r w:rsidR="0059516F" w:rsidRPr="00AE77D4">
        <w:rPr>
          <w:rFonts w:ascii="Times New Roman" w:hAnsi="Times New Roman" w:cs="Times New Roman"/>
          <w:sz w:val="24"/>
          <w:szCs w:val="24"/>
          <w:lang w:val="en-GB"/>
        </w:rPr>
        <w:t>.</w:t>
      </w:r>
      <w:r w:rsidR="006A7244" w:rsidRPr="00AE77D4">
        <w:rPr>
          <w:rFonts w:ascii="Times New Roman" w:hAnsi="Times New Roman" w:cs="Times New Roman"/>
          <w:sz w:val="24"/>
          <w:szCs w:val="24"/>
          <w:lang w:val="en-GB"/>
        </w:rPr>
        <w:t xml:space="preserve"> </w:t>
      </w:r>
      <w:r w:rsidR="00341DAB" w:rsidRPr="00AE77D4">
        <w:rPr>
          <w:rFonts w:ascii="Times New Roman" w:hAnsi="Times New Roman" w:cs="Times New Roman"/>
          <w:sz w:val="24"/>
          <w:szCs w:val="24"/>
          <w:lang w:val="en-GB"/>
        </w:rPr>
        <w:t xml:space="preserve">This provides an opportunity to contribute to the extant literature. </w:t>
      </w:r>
      <w:r w:rsidR="002C41FE" w:rsidRPr="00AE77D4">
        <w:rPr>
          <w:rFonts w:ascii="Times New Roman" w:hAnsi="Times New Roman" w:cs="Times New Roman"/>
          <w:sz w:val="24"/>
          <w:szCs w:val="24"/>
          <w:lang w:val="en-GB"/>
        </w:rPr>
        <w:t>Therefore, we</w:t>
      </w:r>
      <w:r w:rsidRPr="00AE77D4">
        <w:rPr>
          <w:rFonts w:ascii="Times New Roman" w:hAnsi="Times New Roman" w:cs="Times New Roman"/>
          <w:sz w:val="24"/>
          <w:szCs w:val="24"/>
          <w:lang w:val="en-GB"/>
        </w:rPr>
        <w:t xml:space="preserve"> expect board </w:t>
      </w:r>
      <w:r w:rsidR="00241C44" w:rsidRPr="00AE77D4">
        <w:rPr>
          <w:rFonts w:ascii="Times New Roman" w:hAnsi="Times New Roman" w:cs="Times New Roman"/>
          <w:sz w:val="24"/>
          <w:szCs w:val="24"/>
          <w:lang w:val="en-GB"/>
        </w:rPr>
        <w:t>size</w:t>
      </w:r>
      <w:r w:rsidRPr="00AE77D4">
        <w:rPr>
          <w:rFonts w:ascii="Times New Roman" w:hAnsi="Times New Roman" w:cs="Times New Roman"/>
          <w:sz w:val="24"/>
          <w:szCs w:val="24"/>
          <w:lang w:val="en-GB"/>
        </w:rPr>
        <w:t xml:space="preserve"> to </w:t>
      </w:r>
      <w:r w:rsidRPr="00AE77D4">
        <w:rPr>
          <w:rFonts w:ascii="Times New Roman" w:eastAsia="Calibri" w:hAnsi="Times New Roman" w:cs="Times New Roman"/>
          <w:sz w:val="24"/>
          <w:szCs w:val="24"/>
          <w:lang w:val="en-GB"/>
        </w:rPr>
        <w:t xml:space="preserve">positively </w:t>
      </w:r>
      <w:r w:rsidR="006A7244" w:rsidRPr="00AE77D4">
        <w:rPr>
          <w:rFonts w:ascii="Times New Roman" w:hAnsi="Times New Roman" w:cs="Times New Roman"/>
          <w:sz w:val="24"/>
          <w:szCs w:val="24"/>
          <w:lang w:val="en-GB"/>
        </w:rPr>
        <w:t>affect CCD practice</w:t>
      </w:r>
      <w:r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 xml:space="preserve">Therefore, </w:t>
      </w:r>
      <w:r w:rsidRPr="00AE77D4">
        <w:rPr>
          <w:rFonts w:ascii="Times New Roman" w:hAnsi="Times New Roman" w:cs="Times New Roman"/>
          <w:sz w:val="24"/>
          <w:szCs w:val="24"/>
          <w:lang w:val="en-GB"/>
        </w:rPr>
        <w:t>our hypotheses are</w:t>
      </w:r>
      <w:r w:rsidR="006A7244" w:rsidRPr="00AE77D4">
        <w:rPr>
          <w:rFonts w:ascii="Times New Roman" w:hAnsi="Times New Roman" w:cs="Times New Roman"/>
          <w:sz w:val="24"/>
          <w:szCs w:val="24"/>
          <w:lang w:val="en-GB"/>
        </w:rPr>
        <w:t xml:space="preserve"> as</w:t>
      </w:r>
      <w:r w:rsidRPr="00AE77D4">
        <w:rPr>
          <w:rFonts w:ascii="Times New Roman" w:hAnsi="Times New Roman" w:cs="Times New Roman"/>
          <w:sz w:val="24"/>
          <w:szCs w:val="24"/>
          <w:lang w:val="en-GB"/>
        </w:rPr>
        <w:t xml:space="preserve"> follows:</w:t>
      </w:r>
    </w:p>
    <w:p w14:paraId="62A48AB4" w14:textId="6DD39426" w:rsidR="00A1087F"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lastRenderedPageBreak/>
        <w:t xml:space="preserve">H1: There is a positive </w:t>
      </w:r>
      <w:r w:rsidR="006A7244" w:rsidRPr="00AE77D4">
        <w:rPr>
          <w:rFonts w:ascii="Times New Roman" w:hAnsi="Times New Roman" w:cs="Times New Roman"/>
          <w:sz w:val="24"/>
          <w:szCs w:val="24"/>
          <w:lang w:val="en-GB"/>
        </w:rPr>
        <w:t>relationship</w:t>
      </w:r>
      <w:r w:rsidRPr="00AE77D4">
        <w:rPr>
          <w:rFonts w:ascii="Times New Roman" w:hAnsi="Times New Roman" w:cs="Times New Roman"/>
          <w:sz w:val="24"/>
          <w:szCs w:val="24"/>
          <w:lang w:val="en-GB"/>
        </w:rPr>
        <w:t xml:space="preserve"> between board size and level of </w:t>
      </w:r>
      <w:r w:rsidR="00E94E48" w:rsidRPr="00AE77D4">
        <w:rPr>
          <w:rFonts w:ascii="Times New Roman" w:hAnsi="Times New Roman" w:cs="Times New Roman"/>
          <w:sz w:val="24"/>
          <w:szCs w:val="24"/>
          <w:lang w:val="en-GB"/>
        </w:rPr>
        <w:t xml:space="preserve">climate change </w:t>
      </w:r>
      <w:r w:rsidR="006A7244" w:rsidRPr="00AE77D4">
        <w:rPr>
          <w:rFonts w:ascii="Times New Roman" w:hAnsi="Times New Roman" w:cs="Times New Roman"/>
          <w:sz w:val="24"/>
          <w:szCs w:val="24"/>
          <w:lang w:val="en-GB"/>
        </w:rPr>
        <w:t>disclosure</w:t>
      </w:r>
      <w:r w:rsidRPr="00AE77D4">
        <w:rPr>
          <w:rFonts w:ascii="Times New Roman" w:hAnsi="Times New Roman" w:cs="Times New Roman"/>
          <w:sz w:val="24"/>
          <w:szCs w:val="24"/>
          <w:lang w:val="en-GB"/>
        </w:rPr>
        <w:t>.</w:t>
      </w:r>
    </w:p>
    <w:p w14:paraId="6A03B232" w14:textId="3D46A884" w:rsidR="00C166AE"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4</w:t>
      </w:r>
      <w:r w:rsidR="00BE6B4F" w:rsidRPr="00AE77D4">
        <w:rPr>
          <w:rFonts w:ascii="Times New Roman" w:hAnsi="Times New Roman" w:cs="Times New Roman"/>
          <w:b/>
          <w:sz w:val="24"/>
          <w:szCs w:val="24"/>
          <w:lang w:val="en-GB"/>
        </w:rPr>
        <w:t xml:space="preserve">.2 </w:t>
      </w:r>
      <w:r w:rsidR="00BC4B16" w:rsidRPr="00AE77D4">
        <w:rPr>
          <w:rFonts w:ascii="Times New Roman" w:hAnsi="Times New Roman" w:cs="Times New Roman"/>
          <w:b/>
          <w:sz w:val="24"/>
          <w:szCs w:val="24"/>
          <w:lang w:val="en-GB"/>
        </w:rPr>
        <w:t xml:space="preserve">The effect of independent directors on the climate change disclosures </w:t>
      </w:r>
    </w:p>
    <w:p w14:paraId="014AB80D" w14:textId="4780A4E3" w:rsidR="00A5009D"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From a neo-institutional viewpoint, it can be observed that there is an inherent gap</w:t>
      </w:r>
      <w:r w:rsidR="00D15087" w:rsidRPr="00AE77D4">
        <w:rPr>
          <w:rFonts w:ascii="Times New Roman" w:hAnsi="Times New Roman" w:cs="Times New Roman"/>
          <w:sz w:val="24"/>
          <w:szCs w:val="24"/>
          <w:lang w:val="en-GB"/>
        </w:rPr>
        <w:t xml:space="preserve"> between managers and shareholders</w:t>
      </w:r>
      <w:r w:rsidRPr="00AE77D4">
        <w:rPr>
          <w:rFonts w:ascii="Times New Roman" w:hAnsi="Times New Roman" w:cs="Times New Roman"/>
          <w:sz w:val="24"/>
          <w:szCs w:val="24"/>
          <w:lang w:val="en-GB"/>
        </w:rPr>
        <w:t xml:space="preserve"> in modern companies </w:t>
      </w:r>
      <w:r w:rsidR="00D15087" w:rsidRPr="00AE77D4">
        <w:rPr>
          <w:rFonts w:ascii="Times New Roman" w:hAnsi="Times New Roman" w:cs="Times New Roman"/>
          <w:sz w:val="24"/>
          <w:szCs w:val="24"/>
          <w:lang w:val="en-GB"/>
        </w:rPr>
        <w:t xml:space="preserve">as </w:t>
      </w:r>
      <w:r w:rsidR="004C177A" w:rsidRPr="00AE77D4">
        <w:rPr>
          <w:rFonts w:ascii="Times New Roman" w:hAnsi="Times New Roman" w:cs="Times New Roman"/>
          <w:sz w:val="24"/>
          <w:szCs w:val="24"/>
          <w:lang w:val="en-GB"/>
        </w:rPr>
        <w:t>ownership and control are intrinsically separated.</w:t>
      </w:r>
      <w:r w:rsidR="00527779" w:rsidRPr="00AE77D4">
        <w:rPr>
          <w:rFonts w:ascii="Times New Roman" w:hAnsi="Times New Roman" w:cs="Times New Roman"/>
          <w:sz w:val="24"/>
          <w:szCs w:val="24"/>
          <w:lang w:val="en-GB"/>
        </w:rPr>
        <w:t xml:space="preserve"> Thus, the gap </w:t>
      </w:r>
      <w:r w:rsidR="00D15087" w:rsidRPr="00AE77D4">
        <w:rPr>
          <w:rFonts w:ascii="Times New Roman" w:hAnsi="Times New Roman" w:cs="Times New Roman"/>
          <w:sz w:val="24"/>
          <w:szCs w:val="24"/>
          <w:lang w:val="en-GB"/>
        </w:rPr>
        <w:t xml:space="preserve">might </w:t>
      </w:r>
      <w:r w:rsidR="00527779" w:rsidRPr="00AE77D4">
        <w:rPr>
          <w:rFonts w:ascii="Times New Roman" w:hAnsi="Times New Roman" w:cs="Times New Roman"/>
          <w:sz w:val="24"/>
          <w:szCs w:val="24"/>
          <w:lang w:val="en-GB"/>
        </w:rPr>
        <w:t xml:space="preserve">cause mistrust </w:t>
      </w:r>
      <w:r w:rsidR="00D15087" w:rsidRPr="00AE77D4">
        <w:rPr>
          <w:rFonts w:ascii="Times New Roman" w:hAnsi="Times New Roman" w:cs="Times New Roman"/>
          <w:sz w:val="24"/>
          <w:szCs w:val="24"/>
          <w:lang w:val="en-GB"/>
        </w:rPr>
        <w:t>and translate</w:t>
      </w:r>
      <w:r w:rsidR="005117C3" w:rsidRPr="00AE77D4">
        <w:rPr>
          <w:rFonts w:ascii="Times New Roman" w:hAnsi="Times New Roman" w:cs="Times New Roman"/>
          <w:sz w:val="24"/>
          <w:szCs w:val="24"/>
          <w:lang w:val="en-GB"/>
        </w:rPr>
        <w:t xml:space="preserve"> into a threat to management decisions supposedly taken in the best interests of shareholders (Ntim et al. 2013).</w:t>
      </w:r>
      <w:r w:rsidR="00EE6D28" w:rsidRPr="00AE77D4">
        <w:rPr>
          <w:rFonts w:ascii="Times New Roman" w:hAnsi="Times New Roman" w:cs="Times New Roman"/>
          <w:sz w:val="24"/>
          <w:szCs w:val="24"/>
          <w:lang w:val="en-GB"/>
        </w:rPr>
        <w:t xml:space="preserve"> </w:t>
      </w:r>
      <w:r w:rsidR="004627E4" w:rsidRPr="00AE77D4">
        <w:rPr>
          <w:rFonts w:ascii="Times New Roman" w:hAnsi="Times New Roman" w:cs="Times New Roman"/>
          <w:sz w:val="24"/>
          <w:szCs w:val="24"/>
          <w:lang w:val="en-GB"/>
        </w:rPr>
        <w:t>Therefore,</w:t>
      </w:r>
      <w:r w:rsidR="00EE6D28" w:rsidRPr="00AE77D4">
        <w:rPr>
          <w:rFonts w:ascii="Times New Roman" w:hAnsi="Times New Roman" w:cs="Times New Roman"/>
          <w:sz w:val="24"/>
          <w:szCs w:val="24"/>
          <w:lang w:val="en-GB"/>
        </w:rPr>
        <w:t xml:space="preserve"> the threat can be minimized by appointing independent directors who represent the board's degree of independence </w:t>
      </w:r>
      <w:r w:rsidR="00DE6F1B" w:rsidRPr="00AE77D4">
        <w:rPr>
          <w:rFonts w:ascii="Times New Roman" w:hAnsi="Times New Roman" w:cs="Times New Roman"/>
          <w:sz w:val="24"/>
          <w:szCs w:val="24"/>
          <w:lang w:val="en-GB"/>
        </w:rPr>
        <w:t xml:space="preserve">and </w:t>
      </w:r>
      <w:r w:rsidR="00E77F6A" w:rsidRPr="00AE77D4">
        <w:rPr>
          <w:rFonts w:ascii="Times New Roman" w:hAnsi="Times New Roman" w:cs="Times New Roman"/>
          <w:sz w:val="24"/>
          <w:szCs w:val="24"/>
          <w:lang w:val="en-GB"/>
        </w:rPr>
        <w:t>stakeholders’</w:t>
      </w:r>
      <w:r w:rsidR="00DE6F1B" w:rsidRPr="00AE77D4">
        <w:rPr>
          <w:rFonts w:ascii="Times New Roman" w:hAnsi="Times New Roman" w:cs="Times New Roman"/>
          <w:sz w:val="24"/>
          <w:szCs w:val="24"/>
          <w:lang w:val="en-GB"/>
        </w:rPr>
        <w:t xml:space="preserve"> expectations </w:t>
      </w:r>
      <w:r w:rsidR="00EE6D28" w:rsidRPr="00AE77D4">
        <w:rPr>
          <w:rFonts w:ascii="Times New Roman" w:hAnsi="Times New Roman" w:cs="Times New Roman"/>
          <w:sz w:val="24"/>
          <w:szCs w:val="24"/>
          <w:lang w:val="en-GB"/>
        </w:rPr>
        <w:t>(</w:t>
      </w:r>
      <w:r w:rsidR="00E77F6A" w:rsidRPr="00AE77D4">
        <w:rPr>
          <w:rFonts w:ascii="Times New Roman" w:hAnsi="Times New Roman" w:cs="Times New Roman"/>
          <w:sz w:val="24"/>
          <w:szCs w:val="24"/>
          <w:shd w:val="clear" w:color="auto" w:fill="FFFFFF"/>
          <w:lang w:val="en-GB"/>
        </w:rPr>
        <w:t>Alkayed &amp; Omar, 2022;</w:t>
      </w:r>
      <w:r w:rsidR="00E77F6A" w:rsidRPr="00AE77D4">
        <w:rPr>
          <w:rFonts w:ascii="Times New Roman" w:hAnsi="Times New Roman" w:cs="Times New Roman"/>
          <w:sz w:val="24"/>
          <w:szCs w:val="24"/>
          <w:lang w:val="en-GB"/>
        </w:rPr>
        <w:t xml:space="preserve"> </w:t>
      </w:r>
      <w:r w:rsidR="00CD1A3F" w:rsidRPr="00AE77D4">
        <w:rPr>
          <w:rFonts w:ascii="Times New Roman" w:hAnsi="Times New Roman" w:cs="Times New Roman"/>
          <w:sz w:val="24"/>
          <w:szCs w:val="24"/>
          <w:lang w:val="en-GB"/>
        </w:rPr>
        <w:t>Ntim et al., 2013</w:t>
      </w:r>
      <w:r w:rsidR="00EE6D28" w:rsidRPr="00AE77D4">
        <w:rPr>
          <w:rFonts w:ascii="Times New Roman" w:hAnsi="Times New Roman" w:cs="Times New Roman"/>
          <w:sz w:val="24"/>
          <w:szCs w:val="24"/>
          <w:lang w:val="en-GB"/>
        </w:rPr>
        <w:t>).</w:t>
      </w:r>
      <w:r w:rsidR="004E2D31" w:rsidRPr="00AE77D4">
        <w:rPr>
          <w:rFonts w:ascii="Times New Roman" w:hAnsi="Times New Roman" w:cs="Times New Roman"/>
          <w:sz w:val="24"/>
          <w:szCs w:val="24"/>
          <w:lang w:val="en-GB"/>
        </w:rPr>
        <w:t xml:space="preserve"> </w:t>
      </w:r>
      <w:r w:rsidR="00D15087" w:rsidRPr="00AE77D4">
        <w:rPr>
          <w:rFonts w:ascii="Times New Roman" w:hAnsi="Times New Roman" w:cs="Times New Roman"/>
          <w:sz w:val="24"/>
          <w:szCs w:val="24"/>
          <w:lang w:val="en-GB"/>
        </w:rPr>
        <w:t xml:space="preserve">Neo-institutional </w:t>
      </w:r>
      <w:r w:rsidRPr="00AE77D4">
        <w:rPr>
          <w:rFonts w:ascii="Times New Roman" w:hAnsi="Times New Roman" w:cs="Times New Roman"/>
          <w:sz w:val="24"/>
          <w:szCs w:val="24"/>
          <w:lang w:val="en-GB"/>
        </w:rPr>
        <w:t xml:space="preserve">theory recommends that external directors play a critical role in overseeing management activities by creating greater pressure on the board to adopt good climate policies and strategies that influence firms' image (Greenwood et al., 2013; Karim et al., 2021). </w:t>
      </w:r>
    </w:p>
    <w:p w14:paraId="2AD8218D" w14:textId="1AD6A4EE" w:rsidR="00C166AE"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Existing empirical evidence largely suggests that the presence of independent directors positively affects </w:t>
      </w:r>
      <w:r w:rsidR="00290A72" w:rsidRPr="00AE77D4">
        <w:rPr>
          <w:rFonts w:ascii="Times New Roman" w:hAnsi="Times New Roman" w:cs="Times New Roman"/>
          <w:sz w:val="24"/>
          <w:szCs w:val="24"/>
          <w:lang w:val="en-GB"/>
        </w:rPr>
        <w:t>CCD</w:t>
      </w:r>
      <w:r w:rsidRPr="00AE77D4">
        <w:rPr>
          <w:rFonts w:ascii="Times New Roman" w:hAnsi="Times New Roman" w:cs="Times New Roman"/>
          <w:sz w:val="24"/>
          <w:szCs w:val="24"/>
          <w:lang w:val="en-GB"/>
        </w:rPr>
        <w:t xml:space="preserve"> practices</w:t>
      </w:r>
      <w:r w:rsidR="00290A72" w:rsidRPr="00AE77D4">
        <w:rPr>
          <w:rFonts w:ascii="Times New Roman" w:hAnsi="Times New Roman" w:cs="Times New Roman"/>
          <w:sz w:val="24"/>
          <w:szCs w:val="24"/>
          <w:lang w:val="en-GB"/>
        </w:rPr>
        <w:t xml:space="preserve"> (Wang et al., 2022).</w:t>
      </w:r>
      <w:r w:rsidR="002F3032" w:rsidRPr="00AE77D4">
        <w:rPr>
          <w:rFonts w:ascii="Times New Roman" w:hAnsi="Times New Roman" w:cs="Times New Roman"/>
          <w:sz w:val="24"/>
          <w:szCs w:val="24"/>
          <w:lang w:val="en-GB"/>
        </w:rPr>
        <w:t xml:space="preserve"> In line with prior research (Barako &amp; Brown, 2008; Brammer &amp; Pavelin, 2008; Eng &amp; Mak, 2003;),</w:t>
      </w:r>
      <w:r w:rsidR="00A5009D"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 xml:space="preserve">Lattemann et al. (2009) report </w:t>
      </w:r>
      <w:r w:rsidR="002E0D15" w:rsidRPr="00AE77D4">
        <w:rPr>
          <w:rFonts w:ascii="Times New Roman" w:hAnsi="Times New Roman" w:cs="Times New Roman"/>
          <w:sz w:val="24"/>
          <w:szCs w:val="24"/>
          <w:lang w:val="en-GB"/>
        </w:rPr>
        <w:t>the positive impact of independent directors on voluntary disclosures is reported by Lattemann et al., (2009).</w:t>
      </w:r>
      <w:r w:rsidR="00813393" w:rsidRPr="00AE77D4">
        <w:rPr>
          <w:rFonts w:ascii="Times New Roman" w:hAnsi="Times New Roman" w:cs="Times New Roman"/>
          <w:sz w:val="24"/>
          <w:szCs w:val="24"/>
          <w:lang w:val="en-GB"/>
        </w:rPr>
        <w:t xml:space="preserve"> </w:t>
      </w:r>
      <w:r w:rsidR="002E0D15" w:rsidRPr="00AE77D4">
        <w:rPr>
          <w:rFonts w:ascii="Times New Roman" w:hAnsi="Times New Roman" w:cs="Times New Roman"/>
          <w:sz w:val="24"/>
          <w:szCs w:val="24"/>
          <w:lang w:val="en-GB"/>
        </w:rPr>
        <w:t>Further</w:t>
      </w:r>
      <w:r w:rsidRPr="00AE77D4">
        <w:rPr>
          <w:rFonts w:ascii="Times New Roman" w:eastAsia="Calibri" w:hAnsi="Times New Roman" w:cs="Times New Roman"/>
          <w:sz w:val="24"/>
          <w:szCs w:val="24"/>
          <w:lang w:val="en-GB"/>
        </w:rPr>
        <w:t>more, recent evidence by</w:t>
      </w:r>
      <w:r w:rsidR="00882365" w:rsidRPr="00AE77D4">
        <w:rPr>
          <w:rFonts w:ascii="Times New Roman" w:hAnsi="Times New Roman" w:cs="Times New Roman"/>
          <w:sz w:val="24"/>
          <w:szCs w:val="24"/>
          <w:lang w:val="en-GB"/>
        </w:rPr>
        <w:t xml:space="preserve"> </w:t>
      </w:r>
      <w:r w:rsidR="00882365" w:rsidRPr="00AE77D4">
        <w:rPr>
          <w:rFonts w:ascii="Times New Roman" w:hAnsi="Times New Roman" w:cs="Times New Roman"/>
          <w:sz w:val="24"/>
          <w:szCs w:val="24"/>
          <w:shd w:val="clear" w:color="auto" w:fill="FFFFFF"/>
          <w:lang w:val="en-GB"/>
        </w:rPr>
        <w:t>García</w:t>
      </w:r>
      <w:r w:rsidR="00882365" w:rsidRPr="00AE77D4">
        <w:rPr>
          <w:rFonts w:ascii="Cambria Math" w:hAnsi="Cambria Math" w:cs="Cambria Math"/>
          <w:sz w:val="24"/>
          <w:szCs w:val="24"/>
          <w:shd w:val="clear" w:color="auto" w:fill="FFFFFF"/>
          <w:lang w:val="en-GB"/>
        </w:rPr>
        <w:t>‐</w:t>
      </w:r>
      <w:r w:rsidR="00882365" w:rsidRPr="00AE77D4">
        <w:rPr>
          <w:rFonts w:ascii="Times New Roman" w:hAnsi="Times New Roman" w:cs="Times New Roman"/>
          <w:sz w:val="24"/>
          <w:szCs w:val="24"/>
          <w:shd w:val="clear" w:color="auto" w:fill="FFFFFF"/>
          <w:lang w:val="en-GB"/>
        </w:rPr>
        <w:t>Sánchez and Martínez</w:t>
      </w:r>
      <w:r w:rsidR="00882365" w:rsidRPr="00AE77D4">
        <w:rPr>
          <w:rFonts w:ascii="Cambria Math" w:hAnsi="Cambria Math" w:cs="Cambria Math"/>
          <w:sz w:val="24"/>
          <w:szCs w:val="24"/>
          <w:shd w:val="clear" w:color="auto" w:fill="FFFFFF"/>
          <w:lang w:val="en-GB"/>
        </w:rPr>
        <w:t>‐</w:t>
      </w:r>
      <w:r w:rsidR="00882365" w:rsidRPr="00AE77D4">
        <w:rPr>
          <w:rFonts w:ascii="Times New Roman" w:hAnsi="Times New Roman" w:cs="Times New Roman"/>
          <w:sz w:val="24"/>
          <w:szCs w:val="24"/>
          <w:shd w:val="clear" w:color="auto" w:fill="FFFFFF"/>
          <w:lang w:val="en-GB"/>
        </w:rPr>
        <w:t xml:space="preserve">Ferrero (2018), </w:t>
      </w:r>
      <w:r w:rsidR="00882365" w:rsidRPr="00AE77D4">
        <w:rPr>
          <w:rFonts w:ascii="Times New Roman" w:hAnsi="Times New Roman" w:cs="Times New Roman"/>
          <w:sz w:val="24"/>
          <w:szCs w:val="24"/>
          <w:lang w:val="en-GB"/>
        </w:rPr>
        <w:t>Cucari et al. (2018)</w:t>
      </w:r>
      <w:r w:rsidR="000F2292" w:rsidRPr="00AE77D4">
        <w:rPr>
          <w:rFonts w:ascii="Times New Roman" w:hAnsi="Times New Roman" w:cs="Times New Roman"/>
          <w:sz w:val="24"/>
          <w:szCs w:val="24"/>
          <w:lang w:val="en-GB"/>
        </w:rPr>
        <w:t>,</w:t>
      </w:r>
      <w:r w:rsidR="00882365" w:rsidRPr="00AE77D4">
        <w:rPr>
          <w:rFonts w:ascii="Times New Roman" w:hAnsi="Times New Roman" w:cs="Times New Roman"/>
          <w:sz w:val="24"/>
          <w:szCs w:val="24"/>
          <w:lang w:val="en-GB"/>
        </w:rPr>
        <w:t xml:space="preserve"> Fernandes et al. (2019)</w:t>
      </w:r>
      <w:r w:rsidRPr="00AE77D4">
        <w:rPr>
          <w:rFonts w:ascii="Times New Roman" w:eastAsia="Calibri" w:hAnsi="Times New Roman" w:cs="Times New Roman"/>
          <w:sz w:val="24"/>
          <w:szCs w:val="24"/>
          <w:lang w:val="en-GB"/>
        </w:rPr>
        <w:t>,</w:t>
      </w:r>
      <w:r w:rsidR="000F2292" w:rsidRPr="00AE77D4">
        <w:rPr>
          <w:rFonts w:ascii="Times New Roman" w:hAnsi="Times New Roman" w:cs="Times New Roman"/>
          <w:sz w:val="24"/>
          <w:szCs w:val="24"/>
          <w:lang w:val="en-GB"/>
        </w:rPr>
        <w:t xml:space="preserve"> and</w:t>
      </w:r>
      <w:r w:rsidR="00882365" w:rsidRPr="00AE77D4">
        <w:rPr>
          <w:rFonts w:ascii="Times New Roman" w:hAnsi="Times New Roman" w:cs="Times New Roman"/>
          <w:sz w:val="24"/>
          <w:szCs w:val="24"/>
          <w:lang w:val="en-GB"/>
        </w:rPr>
        <w:t xml:space="preserve"> Ibrahim and Hanefah (2016) suggest that firms with a higher proportion of independent directors tend to be more socially responsible in both developed and emerging economies.</w:t>
      </w:r>
      <w:r w:rsidR="00813393" w:rsidRPr="00AE77D4">
        <w:rPr>
          <w:rFonts w:ascii="Times New Roman" w:hAnsi="Times New Roman" w:cs="Times New Roman"/>
          <w:sz w:val="24"/>
          <w:szCs w:val="24"/>
          <w:lang w:val="en-GB"/>
        </w:rPr>
        <w:t xml:space="preserve"> </w:t>
      </w:r>
      <w:r w:rsidR="000F2292" w:rsidRPr="00AE77D4">
        <w:rPr>
          <w:rFonts w:ascii="Times New Roman" w:hAnsi="Times New Roman" w:cs="Times New Roman"/>
          <w:sz w:val="24"/>
          <w:szCs w:val="24"/>
          <w:lang w:val="en-GB"/>
        </w:rPr>
        <w:t>I</w:t>
      </w:r>
      <w:r w:rsidR="005A6742" w:rsidRPr="00AE77D4">
        <w:rPr>
          <w:rFonts w:ascii="Times New Roman" w:hAnsi="Times New Roman" w:cs="Times New Roman"/>
          <w:sz w:val="24"/>
          <w:szCs w:val="24"/>
          <w:lang w:val="en-GB"/>
        </w:rPr>
        <w:t>n contrast</w:t>
      </w:r>
      <w:r w:rsidR="00D14580" w:rsidRPr="00AE77D4">
        <w:rPr>
          <w:rFonts w:ascii="Times New Roman" w:hAnsi="Times New Roman" w:cs="Times New Roman"/>
          <w:sz w:val="24"/>
          <w:szCs w:val="24"/>
          <w:lang w:val="en-GB"/>
        </w:rPr>
        <w:t xml:space="preserve">, other studies have found a negative </w:t>
      </w:r>
      <w:r w:rsidR="00C515D1" w:rsidRPr="00AE77D4">
        <w:rPr>
          <w:rFonts w:ascii="Times New Roman" w:hAnsi="Times New Roman" w:cs="Times New Roman"/>
          <w:sz w:val="24"/>
          <w:szCs w:val="24"/>
          <w:lang w:val="en-GB"/>
        </w:rPr>
        <w:t>relationship between independent director</w:t>
      </w:r>
      <w:r w:rsidR="00D518E3" w:rsidRPr="00AE77D4">
        <w:rPr>
          <w:rFonts w:ascii="Times New Roman" w:hAnsi="Times New Roman" w:cs="Times New Roman"/>
          <w:sz w:val="24"/>
          <w:szCs w:val="24"/>
          <w:lang w:val="en-GB"/>
        </w:rPr>
        <w:t>s</w:t>
      </w:r>
      <w:r w:rsidR="00C515D1" w:rsidRPr="00AE77D4">
        <w:rPr>
          <w:rFonts w:ascii="Times New Roman" w:hAnsi="Times New Roman" w:cs="Times New Roman"/>
          <w:sz w:val="24"/>
          <w:szCs w:val="24"/>
          <w:lang w:val="en-GB"/>
        </w:rPr>
        <w:t xml:space="preserve"> </w:t>
      </w:r>
      <w:r w:rsidR="00D14580" w:rsidRPr="00AE77D4">
        <w:rPr>
          <w:rFonts w:ascii="Times New Roman" w:hAnsi="Times New Roman" w:cs="Times New Roman"/>
          <w:sz w:val="24"/>
          <w:szCs w:val="24"/>
          <w:lang w:val="en-GB"/>
        </w:rPr>
        <w:t xml:space="preserve">and </w:t>
      </w:r>
      <w:r w:rsidR="00CE37AD" w:rsidRPr="00AE77D4">
        <w:rPr>
          <w:rFonts w:ascii="Times New Roman" w:hAnsi="Times New Roman" w:cs="Times New Roman"/>
          <w:sz w:val="24"/>
          <w:szCs w:val="24"/>
          <w:lang w:val="en-GB"/>
        </w:rPr>
        <w:t>CCD</w:t>
      </w:r>
      <w:r w:rsidR="00292136" w:rsidRPr="00AE77D4">
        <w:rPr>
          <w:rFonts w:ascii="Times New Roman" w:hAnsi="Times New Roman" w:cs="Times New Roman"/>
          <w:sz w:val="24"/>
          <w:szCs w:val="24"/>
          <w:lang w:val="en-GB"/>
        </w:rPr>
        <w:t xml:space="preserve"> (Qa’dan &amp; Suwaidan, 2019)</w:t>
      </w:r>
      <w:r w:rsidR="00D14580" w:rsidRPr="00AE77D4">
        <w:rPr>
          <w:rFonts w:ascii="Times New Roman" w:hAnsi="Times New Roman" w:cs="Times New Roman"/>
          <w:sz w:val="24"/>
          <w:szCs w:val="24"/>
          <w:lang w:val="en-GB"/>
        </w:rPr>
        <w:t xml:space="preserve">. </w:t>
      </w:r>
      <w:r w:rsidR="00F51F18" w:rsidRPr="00AE77D4">
        <w:rPr>
          <w:rStyle w:val="sw"/>
          <w:rFonts w:ascii="Times New Roman" w:hAnsi="Times New Roman" w:cs="Times New Roman"/>
          <w:sz w:val="24"/>
          <w:szCs w:val="24"/>
          <w:lang w:val="en-GB"/>
        </w:rPr>
        <w:t>For</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example,</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Alnabsha</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et</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al.</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(2018)</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found</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that</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the</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appointment</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of</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non-executive</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directors</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relies</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more</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on</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social</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networks</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and</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personal</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relationships</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than</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on</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personal</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qualities,</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negatively</w:t>
      </w:r>
      <w:r w:rsidR="00F51F18" w:rsidRPr="00AE77D4">
        <w:rPr>
          <w:rFonts w:ascii="Times New Roman" w:hAnsi="Times New Roman" w:cs="Times New Roman"/>
          <w:sz w:val="24"/>
          <w:szCs w:val="24"/>
          <w:shd w:val="clear" w:color="auto" w:fill="FFFFFF"/>
          <w:lang w:val="en-GB"/>
        </w:rPr>
        <w:t xml:space="preserve"> </w:t>
      </w:r>
      <w:r w:rsidR="00AE2012" w:rsidRPr="00AE77D4">
        <w:rPr>
          <w:rStyle w:val="sw"/>
          <w:rFonts w:ascii="Times New Roman" w:hAnsi="Times New Roman" w:cs="Times New Roman"/>
          <w:sz w:val="24"/>
          <w:szCs w:val="24"/>
          <w:lang w:val="en-GB"/>
        </w:rPr>
        <w:t>affecting</w:t>
      </w:r>
      <w:r w:rsidR="00F51F18" w:rsidRPr="00AE77D4">
        <w:rPr>
          <w:rFonts w:ascii="Times New Roman" w:hAnsi="Times New Roman" w:cs="Times New Roman"/>
          <w:sz w:val="24"/>
          <w:szCs w:val="24"/>
          <w:shd w:val="clear" w:color="auto" w:fill="FFFFFF"/>
          <w:lang w:val="en-GB"/>
        </w:rPr>
        <w:t xml:space="preserve"> </w:t>
      </w:r>
      <w:r w:rsidR="00F51F18" w:rsidRPr="00AE77D4">
        <w:rPr>
          <w:rStyle w:val="sw"/>
          <w:rFonts w:ascii="Times New Roman" w:hAnsi="Times New Roman" w:cs="Times New Roman"/>
          <w:sz w:val="24"/>
          <w:szCs w:val="24"/>
          <w:lang w:val="en-GB"/>
        </w:rPr>
        <w:t>CCD</w:t>
      </w:r>
      <w:r w:rsidR="00D14580" w:rsidRPr="00AE77D4">
        <w:rPr>
          <w:rFonts w:ascii="Times New Roman" w:hAnsi="Times New Roman" w:cs="Times New Roman"/>
          <w:sz w:val="24"/>
          <w:szCs w:val="24"/>
          <w:lang w:val="en-GB"/>
        </w:rPr>
        <w:t xml:space="preserve">. </w:t>
      </w:r>
      <w:r w:rsidR="00AF373E" w:rsidRPr="00AE77D4">
        <w:rPr>
          <w:rStyle w:val="sw"/>
          <w:rFonts w:ascii="Times New Roman" w:hAnsi="Times New Roman" w:cs="Times New Roman"/>
          <w:sz w:val="24"/>
          <w:szCs w:val="24"/>
          <w:lang w:val="en-GB"/>
        </w:rPr>
        <w:t>However,</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a</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major</w:t>
      </w:r>
      <w:r w:rsidR="00AF373E" w:rsidRPr="00AE77D4">
        <w:rPr>
          <w:rFonts w:ascii="Times New Roman" w:hAnsi="Times New Roman" w:cs="Times New Roman"/>
          <w:sz w:val="24"/>
          <w:szCs w:val="24"/>
          <w:shd w:val="clear" w:color="auto" w:fill="FFFFFF"/>
          <w:lang w:val="en-GB"/>
        </w:rPr>
        <w:t> hurdle </w:t>
      </w:r>
      <w:r w:rsidR="00AF373E" w:rsidRPr="00AE77D4">
        <w:rPr>
          <w:rStyle w:val="sw"/>
          <w:rFonts w:ascii="Times New Roman" w:hAnsi="Times New Roman" w:cs="Times New Roman"/>
          <w:sz w:val="24"/>
          <w:szCs w:val="24"/>
          <w:lang w:val="en-GB"/>
        </w:rPr>
        <w:t xml:space="preserve"> in</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these</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studies</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is</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that</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they</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enforced</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CCD</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indirectly</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using</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the</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Rakins</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database</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or</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dummies,</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which</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raises</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the</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generalizability</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of</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the</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impact</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of</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these</w:t>
      </w:r>
      <w:r w:rsidR="00AF373E" w:rsidRPr="00AE77D4">
        <w:rPr>
          <w:rFonts w:ascii="Times New Roman" w:hAnsi="Times New Roman" w:cs="Times New Roman"/>
          <w:sz w:val="24"/>
          <w:szCs w:val="24"/>
          <w:shd w:val="clear" w:color="auto" w:fill="FFFFFF"/>
          <w:lang w:val="en-GB"/>
        </w:rPr>
        <w:t xml:space="preserve"> </w:t>
      </w:r>
      <w:r w:rsidR="00AF373E" w:rsidRPr="00AE77D4">
        <w:rPr>
          <w:rStyle w:val="sw"/>
          <w:rFonts w:ascii="Times New Roman" w:hAnsi="Times New Roman" w:cs="Times New Roman"/>
          <w:sz w:val="24"/>
          <w:szCs w:val="24"/>
          <w:lang w:val="en-GB"/>
        </w:rPr>
        <w:t>studies.</w:t>
      </w:r>
      <w:r w:rsidRPr="00AE77D4">
        <w:rPr>
          <w:rFonts w:ascii="Times New Roman" w:eastAsia="Calibri" w:hAnsi="Times New Roman" w:cs="Times New Roman"/>
          <w:sz w:val="24"/>
          <w:szCs w:val="24"/>
          <w:lang w:val="en-GB"/>
        </w:rPr>
        <w:t xml:space="preserve"> </w:t>
      </w:r>
      <w:r w:rsidR="00AF373E" w:rsidRPr="00AE77D4">
        <w:rPr>
          <w:rFonts w:ascii="Times New Roman" w:hAnsi="Times New Roman" w:cs="Times New Roman"/>
          <w:sz w:val="24"/>
          <w:szCs w:val="24"/>
          <w:shd w:val="clear" w:color="auto" w:fill="FFFFFF"/>
          <w:lang w:val="en-GB"/>
        </w:rPr>
        <w:t> </w:t>
      </w:r>
      <w:r w:rsidR="00677ABA" w:rsidRPr="00AE77D4">
        <w:rPr>
          <w:rStyle w:val="sw"/>
          <w:rFonts w:ascii="Times New Roman" w:hAnsi="Times New Roman" w:cs="Times New Roman"/>
          <w:sz w:val="24"/>
          <w:szCs w:val="24"/>
          <w:lang w:val="en-GB"/>
        </w:rPr>
        <w:t>Therefore,</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in</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this</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study,</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we</w:t>
      </w:r>
      <w:r w:rsidR="00677ABA" w:rsidRPr="00AE77D4">
        <w:rPr>
          <w:rFonts w:ascii="Times New Roman" w:hAnsi="Times New Roman" w:cs="Times New Roman"/>
          <w:sz w:val="24"/>
          <w:szCs w:val="24"/>
          <w:shd w:val="clear" w:color="auto" w:fill="FFFFFF"/>
          <w:lang w:val="en-GB"/>
        </w:rPr>
        <w:t> </w:t>
      </w:r>
      <w:r w:rsidRPr="00AE77D4">
        <w:rPr>
          <w:rFonts w:ascii="Times New Roman" w:eastAsia="Calibri" w:hAnsi="Times New Roman" w:cs="Times New Roman"/>
          <w:sz w:val="24"/>
          <w:szCs w:val="24"/>
          <w:lang w:val="en-GB"/>
        </w:rPr>
        <w:t xml:space="preserve"> employ</w:t>
      </w:r>
      <w:r w:rsidR="00677ABA" w:rsidRPr="00AE77D4">
        <w:rPr>
          <w:rFonts w:ascii="Times New Roman" w:hAnsi="Times New Roman" w:cs="Times New Roman"/>
          <w:sz w:val="24"/>
          <w:szCs w:val="24"/>
          <w:shd w:val="clear" w:color="auto" w:fill="FFFFFF"/>
          <w:lang w:val="en-GB"/>
        </w:rPr>
        <w:t xml:space="preserve"> content analysis to </w:t>
      </w:r>
      <w:r w:rsidR="00677ABA" w:rsidRPr="00AE77D4">
        <w:rPr>
          <w:rStyle w:val="sw"/>
          <w:rFonts w:ascii="Times New Roman" w:hAnsi="Times New Roman" w:cs="Times New Roman"/>
          <w:sz w:val="24"/>
          <w:szCs w:val="24"/>
          <w:lang w:val="en-GB"/>
        </w:rPr>
        <w:t>measure</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the</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depth</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and</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degree</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of</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CCD</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in</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environmentally</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sensitive</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enterprises</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in</w:t>
      </w:r>
      <w:r w:rsidR="00677ABA" w:rsidRPr="00AE77D4">
        <w:rPr>
          <w:rFonts w:ascii="Times New Roman" w:hAnsi="Times New Roman" w:cs="Times New Roman"/>
          <w:sz w:val="24"/>
          <w:szCs w:val="24"/>
          <w:shd w:val="clear" w:color="auto" w:fill="FFFFFF"/>
          <w:lang w:val="en-GB"/>
        </w:rPr>
        <w:t xml:space="preserve"> </w:t>
      </w:r>
      <w:r w:rsidR="00677ABA" w:rsidRPr="00AE77D4">
        <w:rPr>
          <w:rStyle w:val="sw"/>
          <w:rFonts w:ascii="Times New Roman" w:hAnsi="Times New Roman" w:cs="Times New Roman"/>
          <w:sz w:val="24"/>
          <w:szCs w:val="24"/>
          <w:lang w:val="en-GB"/>
        </w:rPr>
        <w:t>Bangladesh</w:t>
      </w:r>
      <w:r w:rsidR="008B24DF" w:rsidRPr="00AE77D4">
        <w:rPr>
          <w:rFonts w:ascii="Times New Roman" w:hAnsi="Times New Roman" w:cs="Times New Roman"/>
          <w:sz w:val="24"/>
          <w:szCs w:val="24"/>
          <w:lang w:val="en-GB"/>
        </w:rPr>
        <w:t>.</w:t>
      </w:r>
      <w:r w:rsidR="00291E6A" w:rsidRPr="00AE77D4">
        <w:rPr>
          <w:rFonts w:ascii="Times New Roman" w:hAnsi="Times New Roman" w:cs="Times New Roman"/>
          <w:sz w:val="24"/>
          <w:szCs w:val="24"/>
          <w:lang w:val="en-GB"/>
        </w:rPr>
        <w:t xml:space="preserve"> However, </w:t>
      </w:r>
      <w:r w:rsidRPr="00AE77D4">
        <w:rPr>
          <w:rFonts w:ascii="Times New Roman" w:eastAsia="Calibri" w:hAnsi="Times New Roman" w:cs="Times New Roman"/>
          <w:sz w:val="24"/>
          <w:szCs w:val="24"/>
          <w:lang w:val="en-GB"/>
        </w:rPr>
        <w:t>the Bangladesh CG</w:t>
      </w:r>
      <w:r w:rsidR="00677FA8" w:rsidRPr="00AE77D4">
        <w:rPr>
          <w:rFonts w:ascii="Times New Roman" w:hAnsi="Times New Roman" w:cs="Times New Roman"/>
          <w:sz w:val="24"/>
          <w:szCs w:val="24"/>
          <w:lang w:val="en-GB"/>
        </w:rPr>
        <w:t xml:space="preserve"> guidelines</w:t>
      </w:r>
      <w:r w:rsidR="00291E6A" w:rsidRPr="00AE77D4">
        <w:rPr>
          <w:rFonts w:ascii="Times New Roman" w:hAnsi="Times New Roman" w:cs="Times New Roman"/>
          <w:sz w:val="24"/>
          <w:szCs w:val="24"/>
          <w:lang w:val="en-GB"/>
        </w:rPr>
        <w:t xml:space="preserve"> </w:t>
      </w:r>
      <w:r w:rsidR="005A6742" w:rsidRPr="00AE77D4">
        <w:rPr>
          <w:rFonts w:ascii="Times New Roman" w:hAnsi="Times New Roman" w:cs="Times New Roman"/>
          <w:sz w:val="24"/>
          <w:szCs w:val="24"/>
          <w:lang w:val="en-GB"/>
        </w:rPr>
        <w:t>recommend</w:t>
      </w:r>
      <w:r w:rsidR="00291E6A" w:rsidRPr="00AE77D4">
        <w:rPr>
          <w:rFonts w:ascii="Times New Roman" w:hAnsi="Times New Roman" w:cs="Times New Roman"/>
          <w:sz w:val="24"/>
          <w:szCs w:val="24"/>
          <w:lang w:val="en-GB"/>
        </w:rPr>
        <w:t xml:space="preserve"> </w:t>
      </w:r>
      <w:r w:rsidR="006A7244" w:rsidRPr="00AE77D4">
        <w:rPr>
          <w:rFonts w:ascii="Times New Roman" w:hAnsi="Times New Roman" w:cs="Times New Roman"/>
          <w:sz w:val="24"/>
          <w:szCs w:val="24"/>
          <w:lang w:val="en-GB"/>
        </w:rPr>
        <w:t>that at least one-fifth of board members</w:t>
      </w:r>
      <w:r w:rsidR="00291E6A" w:rsidRPr="00AE77D4">
        <w:rPr>
          <w:rFonts w:ascii="Times New Roman" w:hAnsi="Times New Roman" w:cs="Times New Roman"/>
          <w:sz w:val="24"/>
          <w:szCs w:val="24"/>
          <w:lang w:val="en-GB"/>
        </w:rPr>
        <w:t xml:space="preserve"> be independent directors (</w:t>
      </w:r>
      <w:r w:rsidR="008B1EEB" w:rsidRPr="00AE77D4">
        <w:rPr>
          <w:rFonts w:ascii="Times New Roman" w:hAnsi="Times New Roman" w:cs="Times New Roman"/>
          <w:sz w:val="24"/>
          <w:szCs w:val="24"/>
          <w:lang w:val="en-GB"/>
        </w:rPr>
        <w:t xml:space="preserve">Securities and Exchange Commission, 2012; </w:t>
      </w:r>
      <w:r w:rsidR="00E0118E" w:rsidRPr="00AE77D4">
        <w:rPr>
          <w:rFonts w:ascii="Times New Roman" w:hAnsi="Times New Roman" w:cs="Times New Roman"/>
          <w:sz w:val="24"/>
          <w:szCs w:val="24"/>
          <w:lang w:val="en-GB"/>
        </w:rPr>
        <w:t>Bangladesh Securities and Exchange Commission</w:t>
      </w:r>
      <w:r w:rsidR="00AB6800" w:rsidRPr="00AE77D4">
        <w:rPr>
          <w:rFonts w:ascii="Times New Roman" w:hAnsi="Times New Roman" w:cs="Times New Roman"/>
          <w:sz w:val="24"/>
          <w:szCs w:val="24"/>
          <w:lang w:val="en-GB"/>
        </w:rPr>
        <w:t>, 2018</w:t>
      </w:r>
      <w:r w:rsidR="00291E6A" w:rsidRPr="00AE77D4">
        <w:rPr>
          <w:rFonts w:ascii="Times New Roman" w:hAnsi="Times New Roman" w:cs="Times New Roman"/>
          <w:sz w:val="24"/>
          <w:szCs w:val="24"/>
          <w:lang w:val="en-GB"/>
        </w:rPr>
        <w:t>). This institutional pressure implies a</w:t>
      </w:r>
      <w:r w:rsidR="00D518E3" w:rsidRPr="00AE77D4">
        <w:rPr>
          <w:rFonts w:ascii="Times New Roman" w:hAnsi="Times New Roman" w:cs="Times New Roman"/>
          <w:sz w:val="24"/>
          <w:szCs w:val="24"/>
          <w:lang w:val="en-GB"/>
        </w:rPr>
        <w:t>n</w:t>
      </w:r>
      <w:r w:rsidR="00291E6A" w:rsidRPr="00AE77D4">
        <w:rPr>
          <w:rFonts w:ascii="Times New Roman" w:hAnsi="Times New Roman" w:cs="Times New Roman"/>
          <w:sz w:val="24"/>
          <w:szCs w:val="24"/>
          <w:lang w:val="en-GB"/>
        </w:rPr>
        <w:t xml:space="preserve"> improvement </w:t>
      </w:r>
      <w:r w:rsidR="00AB433B" w:rsidRPr="00AE77D4">
        <w:rPr>
          <w:rFonts w:ascii="Times New Roman" w:hAnsi="Times New Roman" w:cs="Times New Roman"/>
          <w:sz w:val="24"/>
          <w:szCs w:val="24"/>
          <w:lang w:val="en-GB"/>
        </w:rPr>
        <w:t>in</w:t>
      </w:r>
      <w:r w:rsidR="00291E6A" w:rsidRPr="00AE77D4">
        <w:rPr>
          <w:rFonts w:ascii="Times New Roman" w:hAnsi="Times New Roman" w:cs="Times New Roman"/>
          <w:sz w:val="24"/>
          <w:szCs w:val="24"/>
          <w:lang w:val="en-GB"/>
        </w:rPr>
        <w:t xml:space="preserve"> implement</w:t>
      </w:r>
      <w:r w:rsidR="00AB433B" w:rsidRPr="00AE77D4">
        <w:rPr>
          <w:rFonts w:ascii="Times New Roman" w:hAnsi="Times New Roman" w:cs="Times New Roman"/>
          <w:sz w:val="24"/>
          <w:szCs w:val="24"/>
          <w:lang w:val="en-GB"/>
        </w:rPr>
        <w:t>ing</w:t>
      </w:r>
      <w:r w:rsidR="00291E6A" w:rsidRPr="00AE77D4">
        <w:rPr>
          <w:rFonts w:ascii="Times New Roman" w:hAnsi="Times New Roman" w:cs="Times New Roman"/>
          <w:sz w:val="24"/>
          <w:szCs w:val="24"/>
          <w:lang w:val="en-GB"/>
        </w:rPr>
        <w:t xml:space="preserve"> </w:t>
      </w:r>
      <w:r w:rsidR="007D5E31" w:rsidRPr="00AE77D4">
        <w:rPr>
          <w:rFonts w:ascii="Times New Roman" w:hAnsi="Times New Roman" w:cs="Times New Roman"/>
          <w:sz w:val="24"/>
          <w:szCs w:val="24"/>
          <w:lang w:val="en-GB"/>
        </w:rPr>
        <w:t>climate</w:t>
      </w:r>
      <w:r w:rsidR="00D518E3" w:rsidRPr="00AE77D4">
        <w:rPr>
          <w:rFonts w:ascii="Times New Roman" w:hAnsi="Times New Roman" w:cs="Times New Roman"/>
          <w:sz w:val="24"/>
          <w:szCs w:val="24"/>
          <w:lang w:val="en-GB"/>
        </w:rPr>
        <w:t>-</w:t>
      </w:r>
      <w:r w:rsidR="00291E6A" w:rsidRPr="00AE77D4">
        <w:rPr>
          <w:rFonts w:ascii="Times New Roman" w:hAnsi="Times New Roman" w:cs="Times New Roman"/>
          <w:sz w:val="24"/>
          <w:szCs w:val="24"/>
          <w:lang w:val="en-GB"/>
        </w:rPr>
        <w:t>friendly activities</w:t>
      </w:r>
      <w:r w:rsidR="00AB433B" w:rsidRPr="00AE77D4">
        <w:rPr>
          <w:rFonts w:ascii="Times New Roman" w:hAnsi="Times New Roman" w:cs="Times New Roman"/>
          <w:sz w:val="24"/>
          <w:szCs w:val="24"/>
          <w:lang w:val="en-GB"/>
        </w:rPr>
        <w:t>, and</w:t>
      </w:r>
      <w:r w:rsidRPr="00AE77D4">
        <w:rPr>
          <w:rFonts w:ascii="Times New Roman" w:hAnsi="Times New Roman" w:cs="Times New Roman"/>
          <w:sz w:val="24"/>
          <w:szCs w:val="24"/>
          <w:lang w:val="en-GB"/>
        </w:rPr>
        <w:t xml:space="preserve"> we predict a positive, significant relationship between independent directors and </w:t>
      </w:r>
      <w:r w:rsidR="00637658" w:rsidRPr="00AE77D4">
        <w:rPr>
          <w:rFonts w:ascii="Times New Roman" w:hAnsi="Times New Roman" w:cs="Times New Roman"/>
          <w:sz w:val="24"/>
          <w:szCs w:val="24"/>
          <w:lang w:val="en-GB"/>
        </w:rPr>
        <w:t>CCD</w:t>
      </w:r>
      <w:r w:rsidRPr="00AE77D4">
        <w:rPr>
          <w:rFonts w:ascii="Times New Roman" w:hAnsi="Times New Roman" w:cs="Times New Roman"/>
          <w:sz w:val="24"/>
          <w:szCs w:val="24"/>
          <w:lang w:val="en-GB"/>
        </w:rPr>
        <w:t>.</w:t>
      </w:r>
    </w:p>
    <w:p w14:paraId="2885662A" w14:textId="0EA17313" w:rsidR="0059516F" w:rsidRPr="00AE77D4" w:rsidRDefault="00661A05" w:rsidP="00AE77D4">
      <w:pPr>
        <w:spacing w:before="240"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H2: There is a positive </w:t>
      </w:r>
      <w:r w:rsidR="007E760A" w:rsidRPr="00AE77D4">
        <w:rPr>
          <w:rFonts w:ascii="Times New Roman" w:hAnsi="Times New Roman" w:cs="Times New Roman"/>
          <w:sz w:val="24"/>
          <w:szCs w:val="24"/>
          <w:lang w:val="en-GB"/>
        </w:rPr>
        <w:t>relationship</w:t>
      </w:r>
      <w:r w:rsidRPr="00AE77D4">
        <w:rPr>
          <w:rFonts w:ascii="Times New Roman" w:hAnsi="Times New Roman" w:cs="Times New Roman"/>
          <w:sz w:val="24"/>
          <w:szCs w:val="24"/>
          <w:lang w:val="en-GB"/>
        </w:rPr>
        <w:t xml:space="preserve"> between </w:t>
      </w:r>
      <w:r w:rsidR="00532F52" w:rsidRPr="00AE77D4">
        <w:rPr>
          <w:rFonts w:ascii="Times New Roman" w:hAnsi="Times New Roman" w:cs="Times New Roman"/>
          <w:sz w:val="24"/>
          <w:szCs w:val="24"/>
          <w:lang w:val="en-GB"/>
        </w:rPr>
        <w:t xml:space="preserve">the </w:t>
      </w:r>
      <w:r w:rsidRPr="00AE77D4">
        <w:rPr>
          <w:rFonts w:ascii="Times New Roman" w:hAnsi="Times New Roman" w:cs="Times New Roman"/>
          <w:sz w:val="24"/>
          <w:szCs w:val="24"/>
          <w:lang w:val="en-GB"/>
        </w:rPr>
        <w:t xml:space="preserve">number of independent directors and level of </w:t>
      </w:r>
      <w:r w:rsidR="00FA1FDD" w:rsidRPr="00AE77D4">
        <w:rPr>
          <w:rFonts w:ascii="Times New Roman" w:hAnsi="Times New Roman" w:cs="Times New Roman"/>
          <w:sz w:val="24"/>
          <w:szCs w:val="24"/>
          <w:lang w:val="en-GB"/>
        </w:rPr>
        <w:t xml:space="preserve">climate change </w:t>
      </w:r>
      <w:r w:rsidRPr="00AE77D4">
        <w:rPr>
          <w:rFonts w:ascii="Times New Roman" w:hAnsi="Times New Roman" w:cs="Times New Roman"/>
          <w:sz w:val="24"/>
          <w:szCs w:val="24"/>
          <w:lang w:val="en-GB"/>
        </w:rPr>
        <w:t>disclosure.</w:t>
      </w:r>
    </w:p>
    <w:p w14:paraId="507400A1" w14:textId="57D5D7E6" w:rsidR="00C166AE"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4</w:t>
      </w:r>
      <w:r w:rsidR="00BE6B4F" w:rsidRPr="00AE77D4">
        <w:rPr>
          <w:rFonts w:ascii="Times New Roman" w:hAnsi="Times New Roman" w:cs="Times New Roman"/>
          <w:b/>
          <w:sz w:val="24"/>
          <w:szCs w:val="24"/>
          <w:lang w:val="en-GB"/>
        </w:rPr>
        <w:t xml:space="preserve">.3 </w:t>
      </w:r>
      <w:r w:rsidR="00574BA7" w:rsidRPr="00AE77D4">
        <w:rPr>
          <w:rFonts w:ascii="Times New Roman" w:hAnsi="Times New Roman" w:cs="Times New Roman"/>
          <w:b/>
          <w:sz w:val="24"/>
          <w:szCs w:val="24"/>
          <w:lang w:val="en-GB"/>
        </w:rPr>
        <w:t>The effect of foreign directors on the climate change disclosures</w:t>
      </w:r>
    </w:p>
    <w:p w14:paraId="2334E5CE" w14:textId="70341933" w:rsidR="00150E2C"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Foreign directors have been </w:t>
      </w:r>
      <w:r w:rsidR="00C470DA" w:rsidRPr="00AE77D4">
        <w:rPr>
          <w:rFonts w:ascii="Times New Roman" w:hAnsi="Times New Roman" w:cs="Times New Roman"/>
          <w:sz w:val="24"/>
          <w:szCs w:val="24"/>
          <w:lang w:val="en-GB"/>
        </w:rPr>
        <w:t xml:space="preserve">at the forefront </w:t>
      </w:r>
      <w:r w:rsidRPr="00AE77D4">
        <w:rPr>
          <w:rFonts w:ascii="Times New Roman" w:hAnsi="Times New Roman" w:cs="Times New Roman"/>
          <w:sz w:val="24"/>
          <w:szCs w:val="24"/>
          <w:lang w:val="en-GB"/>
        </w:rPr>
        <w:t xml:space="preserve">of encouraging the spread of effective </w:t>
      </w:r>
      <w:r w:rsidR="00C470DA" w:rsidRPr="00AE77D4">
        <w:rPr>
          <w:rFonts w:ascii="Times New Roman" w:hAnsi="Times New Roman" w:cs="Times New Roman"/>
          <w:sz w:val="24"/>
          <w:szCs w:val="24"/>
          <w:lang w:val="en-GB"/>
        </w:rPr>
        <w:t>codes of good CG</w:t>
      </w:r>
      <w:r w:rsidRPr="00AE77D4">
        <w:rPr>
          <w:rFonts w:ascii="Times New Roman" w:eastAsia="Calibri" w:hAnsi="Times New Roman" w:cs="Times New Roman"/>
          <w:sz w:val="24"/>
          <w:szCs w:val="24"/>
          <w:lang w:val="en-GB"/>
        </w:rPr>
        <w:t>,</w:t>
      </w:r>
      <w:r w:rsidR="003315C0"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al</w:t>
      </w:r>
      <w:r w:rsidR="000B472A" w:rsidRPr="00AE77D4">
        <w:rPr>
          <w:rFonts w:ascii="Times New Roman" w:hAnsi="Times New Roman" w:cs="Times New Roman"/>
          <w:sz w:val="24"/>
          <w:szCs w:val="24"/>
          <w:lang w:val="en-GB"/>
        </w:rPr>
        <w:t>though they are normally a minority group on the board (</w:t>
      </w:r>
      <w:r w:rsidR="000B472A" w:rsidRPr="00AE77D4">
        <w:rPr>
          <w:rFonts w:ascii="Times New Roman" w:hAnsi="Times New Roman" w:cs="Times New Roman"/>
          <w:sz w:val="24"/>
          <w:szCs w:val="24"/>
          <w:shd w:val="clear" w:color="auto" w:fill="FFFFFF"/>
          <w:lang w:val="en-GB"/>
        </w:rPr>
        <w:t xml:space="preserve">Alkayed &amp; Omar, 2022; </w:t>
      </w:r>
      <w:r w:rsidR="000B472A" w:rsidRPr="00AE77D4">
        <w:rPr>
          <w:rFonts w:ascii="Times New Roman" w:hAnsi="Times New Roman" w:cs="Times New Roman"/>
          <w:sz w:val="24"/>
          <w:szCs w:val="24"/>
          <w:lang w:val="en-GB"/>
        </w:rPr>
        <w:t xml:space="preserve">Estelyi </w:t>
      </w:r>
      <w:r w:rsidR="000613C4" w:rsidRPr="00AE77D4">
        <w:rPr>
          <w:rFonts w:ascii="Times New Roman" w:hAnsi="Times New Roman" w:cs="Times New Roman"/>
          <w:sz w:val="24"/>
          <w:szCs w:val="24"/>
          <w:lang w:val="en-GB"/>
        </w:rPr>
        <w:t>&amp;</w:t>
      </w:r>
      <w:r w:rsidR="000B472A" w:rsidRPr="00AE77D4">
        <w:rPr>
          <w:rFonts w:ascii="Times New Roman" w:hAnsi="Times New Roman" w:cs="Times New Roman"/>
          <w:sz w:val="24"/>
          <w:szCs w:val="24"/>
          <w:lang w:val="en-GB"/>
        </w:rPr>
        <w:t xml:space="preserve"> Nisar 2016).</w:t>
      </w:r>
      <w:r w:rsidR="001B1E96" w:rsidRPr="00AE77D4">
        <w:rPr>
          <w:rFonts w:ascii="Times New Roman" w:hAnsi="Times New Roman" w:cs="Times New Roman"/>
          <w:sz w:val="24"/>
          <w:szCs w:val="24"/>
          <w:lang w:val="en-GB"/>
        </w:rPr>
        <w:t xml:space="preserve"> From a neo-institutional </w:t>
      </w:r>
      <w:r w:rsidR="00CA0B64" w:rsidRPr="00AE77D4">
        <w:rPr>
          <w:rFonts w:ascii="Times New Roman" w:hAnsi="Times New Roman" w:cs="Times New Roman"/>
          <w:sz w:val="24"/>
          <w:szCs w:val="24"/>
          <w:lang w:val="en-GB"/>
        </w:rPr>
        <w:t>perspective</w:t>
      </w:r>
      <w:r w:rsidR="001B1E96" w:rsidRPr="00AE77D4">
        <w:rPr>
          <w:rFonts w:ascii="Times New Roman" w:hAnsi="Times New Roman" w:cs="Times New Roman"/>
          <w:sz w:val="24"/>
          <w:szCs w:val="24"/>
          <w:lang w:val="en-GB"/>
        </w:rPr>
        <w:t>, it can be observed that foreign directors act as a catalyst to eliminate gap by promoting transparency</w:t>
      </w:r>
      <w:r w:rsidR="00F96D6D" w:rsidRPr="00AE77D4">
        <w:rPr>
          <w:rFonts w:ascii="Times New Roman" w:hAnsi="Times New Roman" w:cs="Times New Roman"/>
          <w:sz w:val="24"/>
          <w:szCs w:val="24"/>
          <w:lang w:val="en-GB"/>
        </w:rPr>
        <w:t xml:space="preserve"> </w:t>
      </w:r>
      <w:r w:rsidR="00552724" w:rsidRPr="00AE77D4">
        <w:rPr>
          <w:rFonts w:ascii="Times New Roman" w:hAnsi="Times New Roman" w:cs="Times New Roman"/>
          <w:sz w:val="24"/>
          <w:szCs w:val="24"/>
          <w:lang w:val="en-GB"/>
        </w:rPr>
        <w:t>and accountability</w:t>
      </w:r>
      <w:r w:rsidR="001B1E96" w:rsidRPr="00AE77D4">
        <w:rPr>
          <w:rFonts w:ascii="Times New Roman" w:hAnsi="Times New Roman" w:cs="Times New Roman"/>
          <w:sz w:val="24"/>
          <w:szCs w:val="24"/>
          <w:lang w:val="en-GB"/>
        </w:rPr>
        <w:t xml:space="preserve"> in </w:t>
      </w:r>
      <w:r w:rsidR="001B1E96" w:rsidRPr="00AE77D4">
        <w:rPr>
          <w:rFonts w:ascii="Times New Roman" w:hAnsi="Times New Roman" w:cs="Times New Roman"/>
          <w:sz w:val="24"/>
          <w:szCs w:val="24"/>
          <w:lang w:val="en-GB"/>
        </w:rPr>
        <w:lastRenderedPageBreak/>
        <w:t xml:space="preserve">voluntary disclosures (Khan et al., 2019). </w:t>
      </w:r>
      <w:r w:rsidR="00E02027" w:rsidRPr="00AE77D4">
        <w:rPr>
          <w:rFonts w:ascii="Times New Roman" w:hAnsi="Times New Roman" w:cs="Times New Roman"/>
          <w:sz w:val="24"/>
          <w:szCs w:val="24"/>
          <w:lang w:val="en-GB"/>
        </w:rPr>
        <w:t>T</w:t>
      </w:r>
      <w:r w:rsidR="003315C0" w:rsidRPr="00AE77D4">
        <w:rPr>
          <w:rFonts w:ascii="Times New Roman" w:hAnsi="Times New Roman" w:cs="Times New Roman"/>
          <w:sz w:val="24"/>
          <w:szCs w:val="24"/>
          <w:lang w:val="en-GB"/>
        </w:rPr>
        <w:t xml:space="preserve">hey are </w:t>
      </w:r>
      <w:r w:rsidR="009C1BCC" w:rsidRPr="00AE77D4">
        <w:rPr>
          <w:rFonts w:ascii="Times New Roman" w:hAnsi="Times New Roman" w:cs="Times New Roman"/>
          <w:sz w:val="24"/>
          <w:szCs w:val="24"/>
          <w:lang w:val="en-GB"/>
        </w:rPr>
        <w:t xml:space="preserve">also </w:t>
      </w:r>
      <w:r w:rsidR="003315C0" w:rsidRPr="00AE77D4">
        <w:rPr>
          <w:rFonts w:ascii="Times New Roman" w:hAnsi="Times New Roman" w:cs="Times New Roman"/>
          <w:sz w:val="24"/>
          <w:szCs w:val="24"/>
          <w:lang w:val="en-GB"/>
        </w:rPr>
        <w:t>strongly committed to</w:t>
      </w:r>
      <w:r w:rsidR="002D3845" w:rsidRPr="00AE77D4">
        <w:rPr>
          <w:rFonts w:ascii="Times New Roman" w:hAnsi="Times New Roman" w:cs="Times New Roman"/>
          <w:sz w:val="24"/>
          <w:szCs w:val="24"/>
          <w:lang w:val="en-GB"/>
        </w:rPr>
        <w:t xml:space="preserve"> develop</w:t>
      </w:r>
      <w:r w:rsidRPr="00AE77D4">
        <w:rPr>
          <w:rFonts w:ascii="Times New Roman" w:eastAsia="Calibri" w:hAnsi="Times New Roman" w:cs="Times New Roman"/>
          <w:sz w:val="24"/>
          <w:szCs w:val="24"/>
          <w:lang w:val="en-GB"/>
        </w:rPr>
        <w:t>ing</w:t>
      </w:r>
      <w:r w:rsidR="003315C0"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 xml:space="preserve">a national </w:t>
      </w:r>
      <w:r w:rsidR="003315C0" w:rsidRPr="00AE77D4">
        <w:rPr>
          <w:rFonts w:ascii="Times New Roman" w:hAnsi="Times New Roman" w:cs="Times New Roman"/>
          <w:bCs/>
          <w:sz w:val="24"/>
          <w:szCs w:val="24"/>
          <w:lang w:val="en-GB"/>
        </w:rPr>
        <w:t>assortment</w:t>
      </w:r>
      <w:r w:rsidR="003315C0" w:rsidRPr="00AE77D4">
        <w:rPr>
          <w:rFonts w:ascii="Times New Roman" w:hAnsi="Times New Roman" w:cs="Times New Roman"/>
          <w:b/>
          <w:sz w:val="28"/>
          <w:szCs w:val="28"/>
          <w:lang w:val="en-GB"/>
        </w:rPr>
        <w:t xml:space="preserve"> </w:t>
      </w:r>
      <w:r w:rsidR="002D3845" w:rsidRPr="00AE77D4">
        <w:rPr>
          <w:rFonts w:ascii="Times New Roman" w:hAnsi="Times New Roman" w:cs="Times New Roman"/>
          <w:sz w:val="24"/>
          <w:szCs w:val="24"/>
          <w:lang w:val="en-GB"/>
        </w:rPr>
        <w:t xml:space="preserve">of firms and foreign </w:t>
      </w:r>
      <w:r w:rsidR="00CF66D0" w:rsidRPr="00AE77D4">
        <w:rPr>
          <w:rFonts w:ascii="Times New Roman" w:hAnsi="Times New Roman" w:cs="Times New Roman"/>
          <w:sz w:val="24"/>
          <w:szCs w:val="24"/>
          <w:lang w:val="en-GB"/>
        </w:rPr>
        <w:t xml:space="preserve">directors </w:t>
      </w:r>
      <w:r w:rsidR="002D3845" w:rsidRPr="00AE77D4">
        <w:rPr>
          <w:rFonts w:ascii="Times New Roman" w:hAnsi="Times New Roman" w:cs="Times New Roman"/>
          <w:sz w:val="24"/>
          <w:szCs w:val="24"/>
          <w:lang w:val="en-GB"/>
        </w:rPr>
        <w:t>by</w:t>
      </w:r>
      <w:r w:rsidR="003315C0" w:rsidRPr="00AE77D4">
        <w:rPr>
          <w:rFonts w:ascii="Times New Roman" w:hAnsi="Times New Roman" w:cs="Times New Roman"/>
          <w:sz w:val="24"/>
          <w:szCs w:val="24"/>
          <w:lang w:val="en-GB"/>
        </w:rPr>
        <w:t xml:space="preserve"> </w:t>
      </w:r>
      <w:r w:rsidR="002D3845" w:rsidRPr="00AE77D4">
        <w:rPr>
          <w:rFonts w:ascii="Times New Roman" w:hAnsi="Times New Roman" w:cs="Times New Roman"/>
          <w:sz w:val="24"/>
          <w:szCs w:val="24"/>
          <w:lang w:val="en-GB"/>
        </w:rPr>
        <w:t>enhancing</w:t>
      </w:r>
      <w:r w:rsidR="003315C0" w:rsidRPr="00AE77D4">
        <w:rPr>
          <w:rFonts w:ascii="Times New Roman" w:hAnsi="Times New Roman" w:cs="Times New Roman"/>
          <w:sz w:val="24"/>
          <w:szCs w:val="24"/>
          <w:lang w:val="en-GB"/>
        </w:rPr>
        <w:t xml:space="preserve"> CCD practices (Muttakin et al., 2015)</w:t>
      </w:r>
      <w:r w:rsidR="00CF66D0" w:rsidRPr="00AE77D4">
        <w:rPr>
          <w:rFonts w:ascii="Times New Roman" w:hAnsi="Times New Roman" w:cs="Times New Roman"/>
          <w:sz w:val="24"/>
          <w:szCs w:val="24"/>
          <w:lang w:val="en-GB"/>
        </w:rPr>
        <w:t>.</w:t>
      </w:r>
      <w:r w:rsidRPr="00AE77D4">
        <w:rPr>
          <w:rFonts w:ascii="Times New Roman" w:hAnsi="Times New Roman" w:cs="Times New Roman"/>
          <w:sz w:val="24"/>
          <w:szCs w:val="24"/>
          <w:lang w:val="en-GB"/>
        </w:rPr>
        <w:t xml:space="preserve"> </w:t>
      </w:r>
      <w:r w:rsidR="00CF66D0" w:rsidRPr="00AE77D4">
        <w:rPr>
          <w:rFonts w:ascii="Times New Roman" w:hAnsi="Times New Roman" w:cs="Times New Roman"/>
          <w:sz w:val="24"/>
          <w:szCs w:val="24"/>
          <w:lang w:val="en-GB"/>
        </w:rPr>
        <w:t xml:space="preserve">Therefore, foreign directors have a significant influence on companies’ decisions on matters such as investments, executive </w:t>
      </w:r>
      <w:r w:rsidR="00D54D1B" w:rsidRPr="00AE77D4">
        <w:rPr>
          <w:rFonts w:ascii="Times New Roman" w:hAnsi="Times New Roman" w:cs="Times New Roman"/>
          <w:sz w:val="24"/>
          <w:szCs w:val="24"/>
          <w:lang w:val="en-GB"/>
        </w:rPr>
        <w:t>appointments,</w:t>
      </w:r>
      <w:r w:rsidR="00CF66D0" w:rsidRPr="00AE77D4">
        <w:rPr>
          <w:rFonts w:ascii="Times New Roman" w:hAnsi="Times New Roman" w:cs="Times New Roman"/>
          <w:sz w:val="24"/>
          <w:szCs w:val="24"/>
          <w:lang w:val="en-GB"/>
        </w:rPr>
        <w:t xml:space="preserve"> and disclosure (Oh et al., 2011). </w:t>
      </w:r>
    </w:p>
    <w:p w14:paraId="0D48F2FD" w14:textId="6041C0BD" w:rsidR="00C166AE" w:rsidRPr="00AE77D4" w:rsidRDefault="00661A05" w:rsidP="00AE77D4">
      <w:pPr>
        <w:spacing w:line="276" w:lineRule="auto"/>
        <w:jc w:val="both"/>
        <w:rPr>
          <w:rFonts w:ascii="Times New Roman" w:hAnsi="Times New Roman" w:cs="Times New Roman"/>
          <w:sz w:val="24"/>
          <w:szCs w:val="24"/>
          <w:shd w:val="clear" w:color="auto" w:fill="FFFFFF"/>
          <w:lang w:val="en-GB"/>
        </w:rPr>
      </w:pPr>
      <w:r w:rsidRPr="00AE77D4">
        <w:rPr>
          <w:rFonts w:ascii="Times New Roman" w:hAnsi="Times New Roman" w:cs="Times New Roman"/>
          <w:sz w:val="24"/>
          <w:szCs w:val="24"/>
          <w:lang w:val="en-GB"/>
        </w:rPr>
        <w:t xml:space="preserve">However, empirical evidence on the link between foreign directors and CCD practices is mixed. For instance, while Estelyi and Nisar (2016) documented that a board with a higher proportion of foreign directors </w:t>
      </w:r>
      <w:r w:rsidRPr="00AE77D4">
        <w:rPr>
          <w:rFonts w:ascii="Times New Roman" w:eastAsia="Calibri" w:hAnsi="Times New Roman" w:cs="Times New Roman"/>
          <w:sz w:val="24"/>
          <w:szCs w:val="24"/>
          <w:lang w:val="en-GB"/>
        </w:rPr>
        <w:t>is strongly significant to firm performance, Barako and Brown (2008) f</w:t>
      </w:r>
      <w:r w:rsidRPr="00AE77D4">
        <w:rPr>
          <w:rFonts w:ascii="Times New Roman" w:hAnsi="Times New Roman" w:cs="Times New Roman"/>
          <w:sz w:val="24"/>
          <w:szCs w:val="24"/>
          <w:lang w:val="en-GB"/>
        </w:rPr>
        <w:t xml:space="preserve">ound that foreign directors </w:t>
      </w:r>
      <w:r w:rsidR="00D54D1B" w:rsidRPr="00AE77D4">
        <w:rPr>
          <w:rFonts w:ascii="Times New Roman" w:hAnsi="Times New Roman" w:cs="Times New Roman"/>
          <w:sz w:val="24"/>
          <w:szCs w:val="24"/>
          <w:lang w:val="en-GB"/>
        </w:rPr>
        <w:t>have</w:t>
      </w:r>
      <w:r w:rsidRPr="00AE77D4">
        <w:rPr>
          <w:rFonts w:ascii="Times New Roman" w:hAnsi="Times New Roman" w:cs="Times New Roman"/>
          <w:sz w:val="24"/>
          <w:szCs w:val="24"/>
          <w:lang w:val="en-GB"/>
        </w:rPr>
        <w:t xml:space="preserve"> an insignificant effect on CCD. Moreover, Hahn and Lasfer (2016) and Katmon et al. (2019) indicate that </w:t>
      </w:r>
      <w:r w:rsidR="0071582E" w:rsidRPr="00AE77D4">
        <w:rPr>
          <w:rFonts w:ascii="Times New Roman" w:hAnsi="Times New Roman" w:cs="Times New Roman"/>
          <w:sz w:val="24"/>
          <w:szCs w:val="24"/>
          <w:lang w:val="en-GB"/>
        </w:rPr>
        <w:t xml:space="preserve">foreign directors </w:t>
      </w:r>
      <w:r w:rsidRPr="00AE77D4">
        <w:rPr>
          <w:rFonts w:ascii="Times New Roman" w:eastAsia="Calibri" w:hAnsi="Times New Roman" w:cs="Times New Roman"/>
          <w:sz w:val="24"/>
          <w:szCs w:val="24"/>
          <w:lang w:val="en-GB"/>
        </w:rPr>
        <w:t>are associated</w:t>
      </w:r>
      <w:r w:rsidRPr="00AE77D4">
        <w:rPr>
          <w:rFonts w:ascii="Times New Roman" w:hAnsi="Times New Roman" w:cs="Times New Roman"/>
          <w:sz w:val="24"/>
          <w:szCs w:val="24"/>
          <w:lang w:val="en-GB"/>
        </w:rPr>
        <w:t xml:space="preserve"> with higher cost</w:t>
      </w:r>
      <w:r w:rsidRPr="00AE77D4">
        <w:rPr>
          <w:rFonts w:ascii="Times New Roman" w:eastAsia="Calibri" w:hAnsi="Times New Roman" w:cs="Times New Roman"/>
          <w:sz w:val="24"/>
          <w:szCs w:val="24"/>
          <w:lang w:val="en-GB"/>
        </w:rPr>
        <w:t>s, ineffective monitoring, and cross-cultural communication.</w:t>
      </w:r>
      <w:r w:rsidR="0071582E" w:rsidRPr="00AE77D4">
        <w:rPr>
          <w:rFonts w:ascii="Times New Roman" w:hAnsi="Times New Roman" w:cs="Times New Roman"/>
          <w:sz w:val="24"/>
          <w:szCs w:val="24"/>
          <w:lang w:val="en-GB"/>
        </w:rPr>
        <w:t xml:space="preserve"> </w:t>
      </w:r>
      <w:r w:rsidR="00B57330" w:rsidRPr="00AE77D4">
        <w:rPr>
          <w:rFonts w:ascii="Times New Roman" w:hAnsi="Times New Roman" w:cs="Times New Roman"/>
          <w:sz w:val="24"/>
          <w:szCs w:val="24"/>
          <w:lang w:val="en-GB"/>
        </w:rPr>
        <w:t xml:space="preserve">In </w:t>
      </w:r>
      <w:r w:rsidR="00D75C63" w:rsidRPr="00AE77D4">
        <w:rPr>
          <w:rFonts w:ascii="Times New Roman" w:hAnsi="Times New Roman" w:cs="Times New Roman"/>
          <w:sz w:val="24"/>
          <w:szCs w:val="24"/>
          <w:lang w:val="en-GB"/>
        </w:rPr>
        <w:t>Bangladesh</w:t>
      </w:r>
      <w:r w:rsidR="00B57330" w:rsidRPr="00AE77D4">
        <w:rPr>
          <w:rFonts w:ascii="Times New Roman" w:hAnsi="Times New Roman" w:cs="Times New Roman"/>
          <w:sz w:val="24"/>
          <w:szCs w:val="24"/>
          <w:lang w:val="en-GB"/>
        </w:rPr>
        <w:t>,</w:t>
      </w:r>
      <w:r w:rsidR="00D75C63" w:rsidRPr="00AE77D4">
        <w:rPr>
          <w:rFonts w:ascii="Times New Roman" w:hAnsi="Times New Roman" w:cs="Times New Roman"/>
          <w:sz w:val="24"/>
          <w:szCs w:val="24"/>
          <w:lang w:val="en-GB"/>
        </w:rPr>
        <w:t xml:space="preserve"> </w:t>
      </w:r>
      <w:r w:rsidR="00B57330" w:rsidRPr="00AE77D4">
        <w:rPr>
          <w:rFonts w:ascii="Times New Roman" w:hAnsi="Times New Roman" w:cs="Times New Roman"/>
          <w:sz w:val="24"/>
          <w:szCs w:val="24"/>
          <w:lang w:val="en-GB"/>
        </w:rPr>
        <w:t xml:space="preserve">the </w:t>
      </w:r>
      <w:r w:rsidR="00D84642" w:rsidRPr="00AE77D4">
        <w:rPr>
          <w:rFonts w:ascii="Times New Roman" w:hAnsi="Times New Roman" w:cs="Times New Roman"/>
          <w:sz w:val="24"/>
          <w:szCs w:val="24"/>
          <w:lang w:val="en-GB"/>
        </w:rPr>
        <w:t>CG</w:t>
      </w:r>
      <w:r w:rsidR="00D75C63" w:rsidRPr="00AE77D4">
        <w:rPr>
          <w:rFonts w:ascii="Times New Roman" w:hAnsi="Times New Roman" w:cs="Times New Roman"/>
          <w:sz w:val="24"/>
          <w:szCs w:val="24"/>
          <w:lang w:val="en-GB"/>
        </w:rPr>
        <w:t xml:space="preserve"> </w:t>
      </w:r>
      <w:r w:rsidR="00373549" w:rsidRPr="00AE77D4">
        <w:rPr>
          <w:rFonts w:ascii="Times New Roman" w:hAnsi="Times New Roman" w:cs="Times New Roman"/>
          <w:sz w:val="24"/>
          <w:szCs w:val="24"/>
          <w:lang w:val="en-GB"/>
        </w:rPr>
        <w:t>guideline</w:t>
      </w:r>
      <w:r w:rsidRPr="00AE77D4">
        <w:rPr>
          <w:rFonts w:ascii="Times New Roman" w:eastAsia="Calibri" w:hAnsi="Times New Roman" w:cs="Times New Roman"/>
          <w:sz w:val="24"/>
          <w:szCs w:val="24"/>
          <w:lang w:val="en-GB"/>
        </w:rPr>
        <w:t xml:space="preserve">s </w:t>
      </w:r>
      <w:r w:rsidR="00D75C63" w:rsidRPr="00AE77D4">
        <w:rPr>
          <w:rFonts w:ascii="Times New Roman" w:hAnsi="Times New Roman" w:cs="Times New Roman"/>
          <w:sz w:val="24"/>
          <w:szCs w:val="24"/>
          <w:lang w:val="en-GB"/>
        </w:rPr>
        <w:t xml:space="preserve">do not have any </w:t>
      </w:r>
      <w:r w:rsidR="00F96D6D" w:rsidRPr="00AE77D4">
        <w:rPr>
          <w:rFonts w:ascii="Times New Roman" w:hAnsi="Times New Roman" w:cs="Times New Roman"/>
          <w:sz w:val="24"/>
          <w:szCs w:val="24"/>
          <w:lang w:val="en-GB"/>
        </w:rPr>
        <w:t xml:space="preserve">specific rules </w:t>
      </w:r>
      <w:r w:rsidR="00B57330" w:rsidRPr="00AE77D4">
        <w:rPr>
          <w:rFonts w:ascii="Times New Roman" w:hAnsi="Times New Roman" w:cs="Times New Roman"/>
          <w:sz w:val="24"/>
          <w:szCs w:val="24"/>
          <w:lang w:val="en-GB"/>
        </w:rPr>
        <w:t xml:space="preserve">on </w:t>
      </w:r>
      <w:r w:rsidR="00D75C63" w:rsidRPr="00AE77D4">
        <w:rPr>
          <w:rFonts w:ascii="Times New Roman" w:hAnsi="Times New Roman" w:cs="Times New Roman"/>
          <w:sz w:val="24"/>
          <w:szCs w:val="24"/>
          <w:lang w:val="en-GB"/>
        </w:rPr>
        <w:t>foreign directors</w:t>
      </w:r>
      <w:r w:rsidR="00DC27E2" w:rsidRPr="00AE77D4">
        <w:rPr>
          <w:rFonts w:ascii="Times New Roman" w:hAnsi="Times New Roman" w:cs="Times New Roman"/>
          <w:sz w:val="24"/>
          <w:szCs w:val="24"/>
          <w:lang w:val="en-GB"/>
        </w:rPr>
        <w:t xml:space="preserve"> (</w:t>
      </w:r>
      <w:r w:rsidR="00A53A22" w:rsidRPr="00AE77D4">
        <w:rPr>
          <w:rFonts w:ascii="Times New Roman" w:hAnsi="Times New Roman" w:cs="Times New Roman"/>
          <w:sz w:val="24"/>
          <w:szCs w:val="24"/>
          <w:lang w:val="en-GB"/>
        </w:rPr>
        <w:t xml:space="preserve">Securities and Exchange Commission, 2012; </w:t>
      </w:r>
      <w:r w:rsidR="00E0118E" w:rsidRPr="00AE77D4">
        <w:rPr>
          <w:rFonts w:ascii="Times New Roman" w:hAnsi="Times New Roman" w:cs="Times New Roman"/>
          <w:sz w:val="24"/>
          <w:szCs w:val="24"/>
          <w:lang w:val="en-GB"/>
        </w:rPr>
        <w:t>Bangladesh Securities and Exchange Commission</w:t>
      </w:r>
      <w:r w:rsidR="00AB6800" w:rsidRPr="00AE77D4">
        <w:rPr>
          <w:rFonts w:ascii="Times New Roman" w:hAnsi="Times New Roman" w:cs="Times New Roman"/>
          <w:sz w:val="24"/>
          <w:szCs w:val="24"/>
          <w:lang w:val="en-GB"/>
        </w:rPr>
        <w:t>, 2018</w:t>
      </w:r>
      <w:r w:rsidR="00DC27E2" w:rsidRPr="00AE77D4">
        <w:rPr>
          <w:rFonts w:ascii="Times New Roman" w:hAnsi="Times New Roman" w:cs="Times New Roman"/>
          <w:sz w:val="24"/>
          <w:szCs w:val="24"/>
          <w:lang w:val="en-GB"/>
        </w:rPr>
        <w:t>)</w:t>
      </w:r>
      <w:r w:rsidR="006A7244" w:rsidRPr="00AE77D4">
        <w:rPr>
          <w:rFonts w:ascii="Times New Roman" w:hAnsi="Times New Roman" w:cs="Times New Roman"/>
          <w:sz w:val="24"/>
          <w:szCs w:val="24"/>
          <w:lang w:val="en-GB"/>
        </w:rPr>
        <w:t>,</w:t>
      </w:r>
      <w:r w:rsidR="00D75C63" w:rsidRPr="00AE77D4">
        <w:rPr>
          <w:rFonts w:ascii="Times New Roman" w:hAnsi="Times New Roman" w:cs="Times New Roman"/>
          <w:sz w:val="24"/>
          <w:szCs w:val="24"/>
          <w:lang w:val="en-GB"/>
        </w:rPr>
        <w:t xml:space="preserve"> </w:t>
      </w:r>
      <w:r w:rsidR="007E1631" w:rsidRPr="00AE77D4">
        <w:rPr>
          <w:rFonts w:ascii="Times New Roman" w:hAnsi="Times New Roman" w:cs="Times New Roman"/>
          <w:sz w:val="24"/>
          <w:szCs w:val="24"/>
          <w:lang w:val="en-GB"/>
        </w:rPr>
        <w:t xml:space="preserve">while </w:t>
      </w:r>
      <w:r w:rsidR="00D75C63" w:rsidRPr="00AE77D4">
        <w:rPr>
          <w:rFonts w:ascii="Times New Roman" w:hAnsi="Times New Roman" w:cs="Times New Roman"/>
          <w:sz w:val="24"/>
          <w:szCs w:val="24"/>
          <w:lang w:val="en-GB"/>
        </w:rPr>
        <w:t xml:space="preserve">firms </w:t>
      </w:r>
      <w:r w:rsidR="00483127" w:rsidRPr="00AE77D4">
        <w:rPr>
          <w:rFonts w:ascii="Times New Roman" w:hAnsi="Times New Roman" w:cs="Times New Roman"/>
          <w:sz w:val="24"/>
          <w:szCs w:val="24"/>
          <w:lang w:val="en-GB"/>
        </w:rPr>
        <w:t>incorporate</w:t>
      </w:r>
      <w:r w:rsidR="00D75C63" w:rsidRPr="00AE77D4">
        <w:rPr>
          <w:rFonts w:ascii="Times New Roman" w:hAnsi="Times New Roman" w:cs="Times New Roman"/>
          <w:sz w:val="24"/>
          <w:szCs w:val="24"/>
          <w:lang w:val="en-GB"/>
        </w:rPr>
        <w:t xml:space="preserve"> fore</w:t>
      </w:r>
      <w:r w:rsidR="004D7E42" w:rsidRPr="00AE77D4">
        <w:rPr>
          <w:rFonts w:ascii="Times New Roman" w:hAnsi="Times New Roman" w:cs="Times New Roman"/>
          <w:sz w:val="24"/>
          <w:szCs w:val="24"/>
          <w:lang w:val="en-GB"/>
        </w:rPr>
        <w:t>ign director</w:t>
      </w:r>
      <w:r w:rsidR="006A7244" w:rsidRPr="00AE77D4">
        <w:rPr>
          <w:rFonts w:ascii="Times New Roman" w:hAnsi="Times New Roman" w:cs="Times New Roman"/>
          <w:sz w:val="24"/>
          <w:szCs w:val="24"/>
          <w:lang w:val="en-GB"/>
        </w:rPr>
        <w:t>s</w:t>
      </w:r>
      <w:r w:rsidR="004D7E42" w:rsidRPr="00AE77D4">
        <w:rPr>
          <w:rFonts w:ascii="Times New Roman" w:hAnsi="Times New Roman" w:cs="Times New Roman"/>
          <w:sz w:val="24"/>
          <w:szCs w:val="24"/>
          <w:lang w:val="en-GB"/>
        </w:rPr>
        <w:t xml:space="preserve"> </w:t>
      </w:r>
      <w:r w:rsidR="006A7244" w:rsidRPr="00AE77D4">
        <w:rPr>
          <w:rFonts w:ascii="Times New Roman" w:hAnsi="Times New Roman" w:cs="Times New Roman"/>
          <w:sz w:val="24"/>
          <w:szCs w:val="24"/>
          <w:lang w:val="en-GB"/>
        </w:rPr>
        <w:t>o</w:t>
      </w:r>
      <w:r w:rsidR="004D7E42" w:rsidRPr="00AE77D4">
        <w:rPr>
          <w:rFonts w:ascii="Times New Roman" w:hAnsi="Times New Roman" w:cs="Times New Roman"/>
          <w:sz w:val="24"/>
          <w:szCs w:val="24"/>
          <w:lang w:val="en-GB"/>
        </w:rPr>
        <w:t xml:space="preserve">n </w:t>
      </w:r>
      <w:r w:rsidRPr="00AE77D4">
        <w:rPr>
          <w:rFonts w:ascii="Times New Roman" w:eastAsia="Calibri" w:hAnsi="Times New Roman" w:cs="Times New Roman"/>
          <w:sz w:val="24"/>
          <w:szCs w:val="24"/>
          <w:lang w:val="en-GB"/>
        </w:rPr>
        <w:t>the board</w:t>
      </w:r>
      <w:r w:rsidR="006A7244" w:rsidRPr="00AE77D4">
        <w:rPr>
          <w:rFonts w:ascii="Times New Roman" w:hAnsi="Times New Roman" w:cs="Times New Roman"/>
          <w:sz w:val="24"/>
          <w:szCs w:val="24"/>
          <w:lang w:val="en-GB"/>
        </w:rPr>
        <w:t xml:space="preserve"> and</w:t>
      </w:r>
      <w:r w:rsidR="00483127" w:rsidRPr="00AE77D4">
        <w:rPr>
          <w:rFonts w:ascii="Times New Roman" w:hAnsi="Times New Roman" w:cs="Times New Roman"/>
          <w:sz w:val="24"/>
          <w:szCs w:val="24"/>
          <w:lang w:val="en-GB"/>
        </w:rPr>
        <w:t xml:space="preserve"> perceive mimetic pressure</w:t>
      </w:r>
      <w:r w:rsidR="00D75C63" w:rsidRPr="00AE77D4">
        <w:rPr>
          <w:rFonts w:ascii="Times New Roman" w:hAnsi="Times New Roman" w:cs="Times New Roman"/>
          <w:sz w:val="24"/>
          <w:szCs w:val="24"/>
          <w:lang w:val="en-GB"/>
        </w:rPr>
        <w:t>.</w:t>
      </w:r>
      <w:r w:rsidR="00B7193B" w:rsidRPr="00AE77D4">
        <w:rPr>
          <w:rFonts w:ascii="Times New Roman" w:hAnsi="Times New Roman" w:cs="Times New Roman"/>
          <w:sz w:val="24"/>
          <w:szCs w:val="24"/>
          <w:lang w:val="en-GB"/>
        </w:rPr>
        <w:t xml:space="preserve"> </w:t>
      </w:r>
      <w:r w:rsidR="0071582E" w:rsidRPr="00AE77D4">
        <w:rPr>
          <w:rFonts w:ascii="Times New Roman" w:hAnsi="Times New Roman" w:cs="Times New Roman"/>
          <w:sz w:val="24"/>
          <w:szCs w:val="24"/>
          <w:lang w:val="en-GB"/>
        </w:rPr>
        <w:t xml:space="preserve">Therefore, we expect that </w:t>
      </w:r>
      <w:r w:rsidR="00D86AB7" w:rsidRPr="00AE77D4">
        <w:rPr>
          <w:rFonts w:ascii="Times New Roman" w:hAnsi="Times New Roman" w:cs="Times New Roman"/>
          <w:sz w:val="24"/>
          <w:szCs w:val="24"/>
          <w:lang w:val="en-GB"/>
        </w:rPr>
        <w:t>foreign directors will strive to gain the support of other influential parties</w:t>
      </w:r>
      <w:r w:rsidR="0071582E" w:rsidRPr="00AE77D4">
        <w:rPr>
          <w:rFonts w:ascii="Times New Roman" w:hAnsi="Times New Roman" w:cs="Times New Roman"/>
          <w:sz w:val="24"/>
          <w:szCs w:val="24"/>
          <w:lang w:val="en-GB"/>
        </w:rPr>
        <w:t xml:space="preserve"> such as governments and employees by lobbying managers to project a more socially responsible image. </w:t>
      </w:r>
      <w:r w:rsidR="00532F52" w:rsidRPr="00AE77D4">
        <w:rPr>
          <w:rFonts w:ascii="Times New Roman" w:hAnsi="Times New Roman" w:cs="Times New Roman"/>
          <w:sz w:val="24"/>
          <w:szCs w:val="24"/>
          <w:lang w:val="en-GB"/>
        </w:rPr>
        <w:t>Therefore</w:t>
      </w:r>
      <w:r w:rsidRPr="00AE77D4">
        <w:rPr>
          <w:rFonts w:ascii="Times New Roman" w:hAnsi="Times New Roman" w:cs="Times New Roman"/>
          <w:sz w:val="24"/>
          <w:szCs w:val="24"/>
          <w:lang w:val="en-GB"/>
        </w:rPr>
        <w:t xml:space="preserve">, </w:t>
      </w:r>
      <w:r w:rsidR="00D763A2" w:rsidRPr="00AE77D4">
        <w:rPr>
          <w:rFonts w:ascii="Times New Roman" w:hAnsi="Times New Roman" w:cs="Times New Roman"/>
          <w:sz w:val="24"/>
          <w:szCs w:val="24"/>
          <w:lang w:val="en-GB"/>
        </w:rPr>
        <w:t>we propose the following</w:t>
      </w:r>
      <w:r w:rsidR="001A0FCF" w:rsidRPr="00AE77D4">
        <w:rPr>
          <w:rFonts w:ascii="Times New Roman" w:hAnsi="Times New Roman" w:cs="Times New Roman"/>
          <w:sz w:val="24"/>
          <w:szCs w:val="24"/>
          <w:lang w:val="en-GB"/>
        </w:rPr>
        <w:t xml:space="preserve"> hypothesis</w:t>
      </w:r>
      <w:r w:rsidRPr="00AE77D4">
        <w:rPr>
          <w:rFonts w:ascii="Times New Roman" w:hAnsi="Times New Roman" w:cs="Times New Roman"/>
          <w:sz w:val="24"/>
          <w:szCs w:val="24"/>
          <w:lang w:val="en-GB"/>
        </w:rPr>
        <w:t>:</w:t>
      </w:r>
    </w:p>
    <w:p w14:paraId="4756E1E9" w14:textId="596872D2" w:rsidR="00BC78A3"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H3: Foreign directors have a positive </w:t>
      </w:r>
      <w:r w:rsidR="007E760A" w:rsidRPr="00AE77D4">
        <w:rPr>
          <w:rFonts w:ascii="Times New Roman" w:hAnsi="Times New Roman" w:cs="Times New Roman"/>
          <w:sz w:val="24"/>
          <w:szCs w:val="24"/>
          <w:lang w:val="en-GB"/>
        </w:rPr>
        <w:t xml:space="preserve">relationship </w:t>
      </w:r>
      <w:r w:rsidRPr="00AE77D4">
        <w:rPr>
          <w:rFonts w:ascii="Times New Roman" w:hAnsi="Times New Roman" w:cs="Times New Roman"/>
          <w:sz w:val="24"/>
          <w:szCs w:val="24"/>
          <w:lang w:val="en-GB"/>
        </w:rPr>
        <w:t xml:space="preserve">with the level of </w:t>
      </w:r>
      <w:r w:rsidR="00202305" w:rsidRPr="00AE77D4">
        <w:rPr>
          <w:rFonts w:ascii="Times New Roman" w:hAnsi="Times New Roman" w:cs="Times New Roman"/>
          <w:sz w:val="24"/>
          <w:szCs w:val="24"/>
          <w:lang w:val="en-GB"/>
        </w:rPr>
        <w:t xml:space="preserve">climate change </w:t>
      </w:r>
      <w:r w:rsidR="007E760A" w:rsidRPr="00AE77D4">
        <w:rPr>
          <w:rFonts w:ascii="Times New Roman" w:hAnsi="Times New Roman" w:cs="Times New Roman"/>
          <w:sz w:val="24"/>
          <w:szCs w:val="24"/>
          <w:lang w:val="en-GB"/>
        </w:rPr>
        <w:t>disclosure</w:t>
      </w:r>
      <w:r w:rsidRPr="00AE77D4">
        <w:rPr>
          <w:rFonts w:ascii="Times New Roman" w:hAnsi="Times New Roman" w:cs="Times New Roman"/>
          <w:sz w:val="24"/>
          <w:szCs w:val="24"/>
          <w:lang w:val="en-GB"/>
        </w:rPr>
        <w:t>.</w:t>
      </w:r>
    </w:p>
    <w:p w14:paraId="1C310B5F" w14:textId="20C40615" w:rsidR="0052690B"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4</w:t>
      </w:r>
      <w:r w:rsidR="00BE6B4F" w:rsidRPr="00AE77D4">
        <w:rPr>
          <w:rFonts w:ascii="Times New Roman" w:hAnsi="Times New Roman" w:cs="Times New Roman"/>
          <w:b/>
          <w:sz w:val="24"/>
          <w:szCs w:val="24"/>
          <w:lang w:val="en-GB"/>
        </w:rPr>
        <w:t xml:space="preserve">.4 </w:t>
      </w:r>
      <w:r w:rsidR="00FE4D30" w:rsidRPr="00AE77D4">
        <w:rPr>
          <w:rFonts w:ascii="Times New Roman" w:hAnsi="Times New Roman" w:cs="Times New Roman"/>
          <w:b/>
          <w:sz w:val="24"/>
          <w:szCs w:val="24"/>
          <w:lang w:val="en-GB"/>
        </w:rPr>
        <w:t xml:space="preserve">The effect of gender diversity on the climate change disclosures </w:t>
      </w:r>
    </w:p>
    <w:p w14:paraId="2C8CBDF2" w14:textId="7902ED15" w:rsidR="00CA1423"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Board gender </w:t>
      </w:r>
      <w:r w:rsidR="001D68A5" w:rsidRPr="00AE77D4">
        <w:rPr>
          <w:rFonts w:ascii="Times New Roman" w:hAnsi="Times New Roman" w:cs="Times New Roman"/>
          <w:sz w:val="24"/>
          <w:szCs w:val="24"/>
          <w:lang w:val="en-GB"/>
        </w:rPr>
        <w:t xml:space="preserve">diversity refers to a structure that includes </w:t>
      </w:r>
      <w:r w:rsidR="00656A55" w:rsidRPr="00AE77D4">
        <w:rPr>
          <w:rFonts w:ascii="Times New Roman" w:hAnsi="Times New Roman" w:cs="Times New Roman"/>
          <w:sz w:val="24"/>
          <w:szCs w:val="24"/>
          <w:lang w:val="en-GB"/>
        </w:rPr>
        <w:t xml:space="preserve">various characteristics that may be present among </w:t>
      </w:r>
      <w:r w:rsidR="001D68A5" w:rsidRPr="00AE77D4">
        <w:rPr>
          <w:rFonts w:ascii="Times New Roman" w:hAnsi="Times New Roman" w:cs="Times New Roman"/>
          <w:sz w:val="24"/>
          <w:szCs w:val="24"/>
          <w:lang w:val="en-GB"/>
        </w:rPr>
        <w:t>board members who contribute information, skills, and experiences that affect managerial efficiency and impact business decisions</w:t>
      </w:r>
      <w:r w:rsidRPr="00AE77D4">
        <w:rPr>
          <w:rFonts w:ascii="Times New Roman" w:eastAsia="Calibri" w:hAnsi="Times New Roman" w:cs="Times New Roman"/>
          <w:sz w:val="24"/>
          <w:szCs w:val="24"/>
          <w:lang w:val="en-GB"/>
        </w:rPr>
        <w:t xml:space="preserve">, specifically those pertaining to enterprise climate responsibility </w:t>
      </w:r>
      <w:r w:rsidR="00D77E62" w:rsidRPr="00AE77D4">
        <w:rPr>
          <w:rFonts w:ascii="Times New Roman" w:hAnsi="Times New Roman" w:cs="Times New Roman"/>
          <w:sz w:val="24"/>
          <w:szCs w:val="24"/>
          <w:lang w:val="en-GB"/>
        </w:rPr>
        <w:t>(</w:t>
      </w:r>
      <w:r w:rsidR="0016135A" w:rsidRPr="00AE77D4">
        <w:rPr>
          <w:rFonts w:ascii="Times New Roman" w:hAnsi="Times New Roman" w:cs="Times New Roman"/>
          <w:sz w:val="24"/>
          <w:szCs w:val="24"/>
          <w:lang w:val="en-GB"/>
        </w:rPr>
        <w:t xml:space="preserve">Wang et al., 2022; </w:t>
      </w:r>
      <w:r w:rsidR="00E3471A" w:rsidRPr="00AE77D4">
        <w:rPr>
          <w:rFonts w:ascii="Times New Roman" w:hAnsi="Times New Roman" w:cs="Times New Roman"/>
          <w:sz w:val="24"/>
          <w:szCs w:val="24"/>
          <w:lang w:val="en-GB"/>
        </w:rPr>
        <w:t xml:space="preserve">Cucari et al., 2018, </w:t>
      </w:r>
      <w:r w:rsidR="00D77E62" w:rsidRPr="00AE77D4">
        <w:rPr>
          <w:rFonts w:ascii="Times New Roman" w:hAnsi="Times New Roman" w:cs="Times New Roman"/>
          <w:sz w:val="24"/>
          <w:szCs w:val="24"/>
          <w:lang w:val="en-GB"/>
        </w:rPr>
        <w:t xml:space="preserve">Hoang </w:t>
      </w:r>
      <w:r w:rsidR="00907E92" w:rsidRPr="00AE77D4">
        <w:rPr>
          <w:rFonts w:ascii="Times New Roman" w:hAnsi="Times New Roman" w:cs="Times New Roman"/>
          <w:sz w:val="24"/>
          <w:szCs w:val="24"/>
          <w:lang w:val="en-GB"/>
        </w:rPr>
        <w:t>et al.</w:t>
      </w:r>
      <w:r w:rsidR="006A7244" w:rsidRPr="00AE77D4">
        <w:rPr>
          <w:rFonts w:ascii="Times New Roman" w:hAnsi="Times New Roman" w:cs="Times New Roman"/>
          <w:sz w:val="24"/>
          <w:szCs w:val="24"/>
          <w:lang w:val="en-GB"/>
        </w:rPr>
        <w:t>,</w:t>
      </w:r>
      <w:r w:rsidR="009E5A39" w:rsidRPr="00AE77D4">
        <w:rPr>
          <w:rFonts w:ascii="Times New Roman" w:hAnsi="Times New Roman" w:cs="Times New Roman"/>
          <w:sz w:val="24"/>
          <w:szCs w:val="24"/>
          <w:lang w:val="en-GB"/>
        </w:rPr>
        <w:t xml:space="preserve"> 2018</w:t>
      </w:r>
      <w:r w:rsidR="00907E92" w:rsidRPr="00AE77D4">
        <w:rPr>
          <w:rFonts w:ascii="Times New Roman" w:hAnsi="Times New Roman" w:cs="Times New Roman"/>
          <w:sz w:val="24"/>
          <w:szCs w:val="24"/>
          <w:lang w:val="en-GB"/>
        </w:rPr>
        <w:t>; Nekhili et al.</w:t>
      </w:r>
      <w:r w:rsidR="006A7244" w:rsidRPr="00AE77D4">
        <w:rPr>
          <w:rFonts w:ascii="Times New Roman" w:hAnsi="Times New Roman" w:cs="Times New Roman"/>
          <w:sz w:val="24"/>
          <w:szCs w:val="24"/>
          <w:lang w:val="en-GB"/>
        </w:rPr>
        <w:t>,</w:t>
      </w:r>
      <w:r w:rsidR="00907E92" w:rsidRPr="00AE77D4">
        <w:rPr>
          <w:rFonts w:ascii="Times New Roman" w:hAnsi="Times New Roman" w:cs="Times New Roman"/>
          <w:sz w:val="24"/>
          <w:szCs w:val="24"/>
          <w:lang w:val="en-GB"/>
        </w:rPr>
        <w:t xml:space="preserve"> 2018</w:t>
      </w:r>
      <w:r w:rsidR="00D77E62" w:rsidRPr="00AE77D4">
        <w:rPr>
          <w:rFonts w:ascii="Times New Roman" w:hAnsi="Times New Roman" w:cs="Times New Roman"/>
          <w:sz w:val="24"/>
          <w:szCs w:val="24"/>
          <w:lang w:val="en-GB"/>
        </w:rPr>
        <w:t>; Katmon et al.</w:t>
      </w:r>
      <w:r w:rsidR="006A7244" w:rsidRPr="00AE77D4">
        <w:rPr>
          <w:rFonts w:ascii="Times New Roman" w:hAnsi="Times New Roman" w:cs="Times New Roman"/>
          <w:sz w:val="24"/>
          <w:szCs w:val="24"/>
          <w:lang w:val="en-GB"/>
        </w:rPr>
        <w:t>,</w:t>
      </w:r>
      <w:r w:rsidR="00D77E62" w:rsidRPr="00AE77D4">
        <w:rPr>
          <w:rFonts w:ascii="Times New Roman" w:hAnsi="Times New Roman" w:cs="Times New Roman"/>
          <w:sz w:val="24"/>
          <w:szCs w:val="24"/>
          <w:lang w:val="en-GB"/>
        </w:rPr>
        <w:t xml:space="preserve"> 2019; Ntim et al.</w:t>
      </w:r>
      <w:r w:rsidR="006A7244" w:rsidRPr="00AE77D4">
        <w:rPr>
          <w:rFonts w:ascii="Times New Roman" w:hAnsi="Times New Roman" w:cs="Times New Roman"/>
          <w:sz w:val="24"/>
          <w:szCs w:val="24"/>
          <w:lang w:val="en-GB"/>
        </w:rPr>
        <w:t>,</w:t>
      </w:r>
      <w:r w:rsidR="00D77E62" w:rsidRPr="00AE77D4">
        <w:rPr>
          <w:rFonts w:ascii="Times New Roman" w:hAnsi="Times New Roman" w:cs="Times New Roman"/>
          <w:sz w:val="24"/>
          <w:szCs w:val="24"/>
          <w:lang w:val="en-GB"/>
        </w:rPr>
        <w:t xml:space="preserve"> 2013).</w:t>
      </w:r>
      <w:r w:rsidR="00565772" w:rsidRPr="00AE77D4">
        <w:rPr>
          <w:rFonts w:ascii="Times New Roman" w:hAnsi="Times New Roman" w:cs="Times New Roman"/>
          <w:sz w:val="24"/>
          <w:szCs w:val="24"/>
          <w:lang w:val="en-GB"/>
        </w:rPr>
        <w:t xml:space="preserve"> </w:t>
      </w:r>
      <w:r w:rsidRPr="00AE77D4">
        <w:rPr>
          <w:rFonts w:ascii="Times New Roman" w:hAnsi="Times New Roman" w:cs="Times New Roman"/>
          <w:sz w:val="24"/>
          <w:szCs w:val="24"/>
          <w:lang w:val="en-GB"/>
        </w:rPr>
        <w:t xml:space="preserve">Thus, diversity </w:t>
      </w:r>
      <w:r w:rsidR="00565772" w:rsidRPr="00AE77D4">
        <w:rPr>
          <w:rFonts w:ascii="Times New Roman" w:hAnsi="Times New Roman" w:cs="Times New Roman"/>
          <w:sz w:val="24"/>
          <w:szCs w:val="24"/>
          <w:lang w:val="en-GB"/>
        </w:rPr>
        <w:t xml:space="preserve">attributes </w:t>
      </w:r>
      <w:r w:rsidRPr="00AE77D4">
        <w:rPr>
          <w:rFonts w:ascii="Times New Roman" w:hAnsi="Times New Roman" w:cs="Times New Roman"/>
          <w:sz w:val="24"/>
          <w:szCs w:val="24"/>
          <w:lang w:val="en-GB"/>
        </w:rPr>
        <w:t xml:space="preserve">may </w:t>
      </w:r>
      <w:r w:rsidR="00565772" w:rsidRPr="00AE77D4">
        <w:rPr>
          <w:rFonts w:ascii="Times New Roman" w:hAnsi="Times New Roman" w:cs="Times New Roman"/>
          <w:sz w:val="24"/>
          <w:szCs w:val="24"/>
          <w:lang w:val="en-GB"/>
        </w:rPr>
        <w:t xml:space="preserve">include those that are directly observable (gender, ethnicity, age, </w:t>
      </w:r>
      <w:r w:rsidRPr="00AE77D4">
        <w:rPr>
          <w:rFonts w:ascii="Times New Roman" w:eastAsia="Calibri" w:hAnsi="Times New Roman" w:cs="Times New Roman"/>
          <w:sz w:val="24"/>
          <w:szCs w:val="24"/>
          <w:lang w:val="en-GB"/>
        </w:rPr>
        <w:t xml:space="preserve">and nationality) and those that are less visible (religion, education, occupation, and </w:t>
      </w:r>
      <w:r w:rsidRPr="00AE77D4">
        <w:rPr>
          <w:rFonts w:ascii="Times New Roman" w:hAnsi="Times New Roman" w:cs="Times New Roman"/>
          <w:sz w:val="24"/>
          <w:szCs w:val="24"/>
          <w:lang w:val="en-GB"/>
        </w:rPr>
        <w:t>culture</w:t>
      </w:r>
      <w:r w:rsidR="00565772" w:rsidRPr="00AE77D4">
        <w:rPr>
          <w:rFonts w:ascii="Times New Roman" w:hAnsi="Times New Roman" w:cs="Times New Roman"/>
          <w:sz w:val="24"/>
          <w:szCs w:val="24"/>
          <w:lang w:val="en-GB"/>
        </w:rPr>
        <w:t xml:space="preserve">); </w:t>
      </w:r>
      <w:r w:rsidRPr="00AE77D4">
        <w:rPr>
          <w:rFonts w:ascii="Times New Roman" w:hAnsi="Times New Roman" w:cs="Times New Roman"/>
          <w:sz w:val="24"/>
          <w:szCs w:val="24"/>
          <w:lang w:val="en-GB"/>
        </w:rPr>
        <w:t xml:space="preserve">however, </w:t>
      </w:r>
      <w:r w:rsidR="00565772" w:rsidRPr="00AE77D4">
        <w:rPr>
          <w:rFonts w:ascii="Times New Roman" w:hAnsi="Times New Roman" w:cs="Times New Roman"/>
          <w:sz w:val="24"/>
          <w:szCs w:val="24"/>
          <w:lang w:val="en-GB"/>
        </w:rPr>
        <w:t>we consider the proportion of female directors in our current study</w:t>
      </w:r>
      <w:r w:rsidRPr="00AE77D4">
        <w:rPr>
          <w:rFonts w:ascii="Times New Roman" w:hAnsi="Times New Roman" w:cs="Times New Roman"/>
          <w:sz w:val="24"/>
          <w:szCs w:val="24"/>
          <w:lang w:val="en-GB"/>
        </w:rPr>
        <w:t xml:space="preserve"> (Haque, 2017)</w:t>
      </w:r>
      <w:r w:rsidR="00565772" w:rsidRPr="00AE77D4">
        <w:rPr>
          <w:rFonts w:ascii="Times New Roman" w:hAnsi="Times New Roman" w:cs="Times New Roman"/>
          <w:sz w:val="24"/>
          <w:szCs w:val="24"/>
          <w:lang w:val="en-GB"/>
        </w:rPr>
        <w:t>.</w:t>
      </w:r>
      <w:r w:rsidR="00602FCE" w:rsidRPr="00AE77D4">
        <w:rPr>
          <w:rFonts w:ascii="Times New Roman" w:hAnsi="Times New Roman" w:cs="Times New Roman"/>
          <w:sz w:val="24"/>
          <w:szCs w:val="24"/>
          <w:lang w:val="en-GB"/>
        </w:rPr>
        <w:t xml:space="preserve"> </w:t>
      </w:r>
      <w:r w:rsidR="00FA76C9" w:rsidRPr="00AE77D4">
        <w:rPr>
          <w:rFonts w:ascii="Times New Roman" w:hAnsi="Times New Roman" w:cs="Times New Roman"/>
          <w:sz w:val="24"/>
          <w:szCs w:val="24"/>
          <w:lang w:val="en-GB"/>
        </w:rPr>
        <w:t xml:space="preserve">Neo-institutional theory recommends that boards of diverse gender backgrounds can help enhance </w:t>
      </w:r>
      <w:r w:rsidRPr="00AE77D4">
        <w:rPr>
          <w:rFonts w:ascii="Times New Roman" w:eastAsia="Calibri" w:hAnsi="Times New Roman" w:cs="Times New Roman"/>
          <w:sz w:val="24"/>
          <w:szCs w:val="24"/>
          <w:lang w:val="en-GB"/>
        </w:rPr>
        <w:t xml:space="preserve">shareholder efficiency </w:t>
      </w:r>
      <w:r w:rsidR="00FA76C9" w:rsidRPr="00AE77D4">
        <w:rPr>
          <w:rFonts w:ascii="Times New Roman" w:hAnsi="Times New Roman" w:cs="Times New Roman"/>
          <w:sz w:val="24"/>
          <w:szCs w:val="24"/>
          <w:lang w:val="en-GB"/>
        </w:rPr>
        <w:t xml:space="preserve">by </w:t>
      </w:r>
      <w:r w:rsidR="00DF1E6D" w:rsidRPr="00AE77D4">
        <w:rPr>
          <w:rFonts w:ascii="Times New Roman" w:hAnsi="Times New Roman" w:cs="Times New Roman"/>
          <w:sz w:val="24"/>
          <w:szCs w:val="24"/>
          <w:lang w:val="en-GB"/>
        </w:rPr>
        <w:t>improving managerial monitoring</w:t>
      </w:r>
      <w:r w:rsidR="00746381" w:rsidRPr="00AE77D4">
        <w:rPr>
          <w:rFonts w:ascii="Times New Roman" w:hAnsi="Times New Roman" w:cs="Times New Roman"/>
          <w:sz w:val="24"/>
          <w:szCs w:val="24"/>
          <w:lang w:val="en-GB"/>
        </w:rPr>
        <w:t>,</w:t>
      </w:r>
      <w:r w:rsidR="00DF1E6D" w:rsidRPr="00AE77D4">
        <w:rPr>
          <w:rFonts w:ascii="Times New Roman" w:hAnsi="Times New Roman" w:cs="Times New Roman"/>
          <w:sz w:val="24"/>
          <w:szCs w:val="24"/>
          <w:lang w:val="en-GB"/>
        </w:rPr>
        <w:t xml:space="preserve"> </w:t>
      </w:r>
      <w:r w:rsidR="00E424BF" w:rsidRPr="00AE77D4">
        <w:rPr>
          <w:rFonts w:ascii="Times New Roman" w:hAnsi="Times New Roman" w:cs="Times New Roman"/>
          <w:sz w:val="24"/>
          <w:szCs w:val="24"/>
          <w:lang w:val="en-GB"/>
        </w:rPr>
        <w:t>linking with stakeholders</w:t>
      </w:r>
      <w:r w:rsidR="00746381" w:rsidRPr="00AE77D4">
        <w:rPr>
          <w:rFonts w:ascii="Times New Roman" w:hAnsi="Times New Roman" w:cs="Times New Roman"/>
          <w:sz w:val="24"/>
          <w:szCs w:val="24"/>
          <w:lang w:val="en-GB"/>
        </w:rPr>
        <w:t>,</w:t>
      </w:r>
      <w:r w:rsidR="00FA76C9" w:rsidRPr="00AE77D4">
        <w:rPr>
          <w:rFonts w:ascii="Times New Roman" w:hAnsi="Times New Roman" w:cs="Times New Roman"/>
          <w:sz w:val="24"/>
          <w:szCs w:val="24"/>
          <w:lang w:val="en-GB"/>
        </w:rPr>
        <w:t xml:space="preserve"> attracting resources</w:t>
      </w:r>
      <w:r w:rsidRPr="00AE77D4">
        <w:rPr>
          <w:rFonts w:ascii="Times New Roman" w:eastAsia="Calibri" w:hAnsi="Times New Roman" w:cs="Times New Roman"/>
          <w:sz w:val="24"/>
          <w:szCs w:val="24"/>
          <w:lang w:val="en-GB"/>
        </w:rPr>
        <w:t>,</w:t>
      </w:r>
      <w:r w:rsidR="00746381" w:rsidRPr="00AE77D4">
        <w:rPr>
          <w:rFonts w:ascii="Times New Roman" w:hAnsi="Times New Roman" w:cs="Times New Roman"/>
          <w:sz w:val="24"/>
          <w:szCs w:val="24"/>
          <w:lang w:val="en-GB"/>
        </w:rPr>
        <w:t xml:space="preserve"> and maintaining corporate </w:t>
      </w:r>
      <w:r w:rsidR="00D15087" w:rsidRPr="00AE77D4">
        <w:rPr>
          <w:rFonts w:ascii="Times New Roman" w:hAnsi="Times New Roman" w:cs="Times New Roman"/>
          <w:sz w:val="24"/>
          <w:szCs w:val="24"/>
          <w:lang w:val="en-GB"/>
        </w:rPr>
        <w:t xml:space="preserve">governance </w:t>
      </w:r>
      <w:r w:rsidR="00FA76C9" w:rsidRPr="00AE77D4">
        <w:rPr>
          <w:rFonts w:ascii="Times New Roman" w:hAnsi="Times New Roman" w:cs="Times New Roman"/>
          <w:sz w:val="24"/>
          <w:szCs w:val="24"/>
          <w:lang w:val="en-GB"/>
        </w:rPr>
        <w:t>(Ntim et al., 2013).</w:t>
      </w:r>
      <w:r w:rsidR="00DF1E6D" w:rsidRPr="00AE77D4">
        <w:rPr>
          <w:rFonts w:ascii="Times New Roman" w:hAnsi="Times New Roman" w:cs="Times New Roman"/>
          <w:sz w:val="24"/>
          <w:szCs w:val="24"/>
          <w:lang w:val="en-GB"/>
        </w:rPr>
        <w:t xml:space="preserve"> </w:t>
      </w:r>
      <w:r w:rsidR="002914B0" w:rsidRPr="00AE77D4">
        <w:rPr>
          <w:rFonts w:ascii="Times New Roman" w:hAnsi="Times New Roman" w:cs="Times New Roman"/>
          <w:sz w:val="24"/>
          <w:szCs w:val="24"/>
          <w:lang w:val="en-GB"/>
        </w:rPr>
        <w:t>Additionally</w:t>
      </w:r>
      <w:r w:rsidR="00DF1E6D" w:rsidRPr="00AE77D4">
        <w:rPr>
          <w:rFonts w:ascii="Times New Roman" w:hAnsi="Times New Roman" w:cs="Times New Roman"/>
          <w:sz w:val="24"/>
          <w:szCs w:val="24"/>
          <w:lang w:val="en-GB"/>
        </w:rPr>
        <w:t xml:space="preserve">, </w:t>
      </w:r>
      <w:r w:rsidR="00F06284" w:rsidRPr="00AE77D4">
        <w:rPr>
          <w:rFonts w:ascii="Times New Roman" w:hAnsi="Times New Roman" w:cs="Times New Roman"/>
          <w:sz w:val="24"/>
          <w:szCs w:val="24"/>
          <w:lang w:val="en-GB"/>
        </w:rPr>
        <w:t xml:space="preserve">corporate boards with </w:t>
      </w:r>
      <w:r w:rsidR="00DF1E6D" w:rsidRPr="00AE77D4">
        <w:rPr>
          <w:rFonts w:ascii="Times New Roman" w:hAnsi="Times New Roman" w:cs="Times New Roman"/>
          <w:sz w:val="24"/>
          <w:szCs w:val="24"/>
          <w:lang w:val="en-GB"/>
        </w:rPr>
        <w:t>female directors can</w:t>
      </w:r>
      <w:r w:rsidR="00197E96" w:rsidRPr="00AE77D4">
        <w:rPr>
          <w:rFonts w:ascii="Times New Roman" w:hAnsi="Times New Roman" w:cs="Times New Roman"/>
          <w:sz w:val="24"/>
          <w:szCs w:val="24"/>
          <w:lang w:val="en-GB"/>
        </w:rPr>
        <w:t xml:space="preserve"> exert </w:t>
      </w:r>
      <w:r w:rsidR="00E424BF" w:rsidRPr="00AE77D4">
        <w:rPr>
          <w:rFonts w:ascii="Times New Roman" w:hAnsi="Times New Roman" w:cs="Times New Roman"/>
          <w:sz w:val="24"/>
          <w:szCs w:val="24"/>
          <w:lang w:val="en-GB"/>
        </w:rPr>
        <w:t>more pressure on corporate managers to engage in increased environmental disclosure practices by developing creative</w:t>
      </w:r>
      <w:r w:rsidR="00DF1E6D" w:rsidRPr="00AE77D4">
        <w:rPr>
          <w:rFonts w:ascii="Times New Roman" w:hAnsi="Times New Roman" w:cs="Times New Roman"/>
          <w:sz w:val="24"/>
          <w:szCs w:val="24"/>
          <w:lang w:val="en-GB"/>
        </w:rPr>
        <w:t xml:space="preserve"> ideas an</w:t>
      </w:r>
      <w:r w:rsidR="007E4CF9" w:rsidRPr="00AE77D4">
        <w:rPr>
          <w:rFonts w:ascii="Times New Roman" w:hAnsi="Times New Roman" w:cs="Times New Roman"/>
          <w:sz w:val="24"/>
          <w:szCs w:val="24"/>
          <w:lang w:val="en-GB"/>
        </w:rPr>
        <w:t>d opinions for board discussions (</w:t>
      </w:r>
      <w:r w:rsidR="00B47D15" w:rsidRPr="00AE77D4">
        <w:rPr>
          <w:rFonts w:ascii="Times New Roman" w:hAnsi="Times New Roman" w:cs="Times New Roman"/>
          <w:sz w:val="24"/>
          <w:szCs w:val="24"/>
          <w:lang w:val="en-GB"/>
        </w:rPr>
        <w:t xml:space="preserve">Harjoto et al., 2015; </w:t>
      </w:r>
      <w:r w:rsidR="007E4CF9" w:rsidRPr="00AE77D4">
        <w:rPr>
          <w:rFonts w:ascii="Times New Roman" w:hAnsi="Times New Roman" w:cs="Times New Roman"/>
          <w:sz w:val="24"/>
          <w:szCs w:val="24"/>
          <w:lang w:val="en-GB"/>
        </w:rPr>
        <w:t>Ntim et al., 2013).</w:t>
      </w:r>
    </w:p>
    <w:p w14:paraId="208E071E" w14:textId="0F416267" w:rsidR="0052690B"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In line with this view, Carter et al. (2003) report that boards with more gender diversity in </w:t>
      </w:r>
      <w:r w:rsidRPr="00AE77D4">
        <w:rPr>
          <w:rFonts w:ascii="Times New Roman" w:eastAsia="Calibri" w:hAnsi="Times New Roman" w:cs="Times New Roman"/>
          <w:sz w:val="24"/>
          <w:szCs w:val="24"/>
          <w:lang w:val="en-GB"/>
        </w:rPr>
        <w:t xml:space="preserve">the US </w:t>
      </w:r>
      <w:r w:rsidR="002D717F" w:rsidRPr="00AE77D4">
        <w:rPr>
          <w:rFonts w:ascii="Times New Roman" w:hAnsi="Times New Roman" w:cs="Times New Roman"/>
          <w:sz w:val="24"/>
          <w:szCs w:val="24"/>
          <w:lang w:val="en-GB"/>
        </w:rPr>
        <w:t>perform</w:t>
      </w:r>
      <w:r w:rsidRPr="00AE77D4">
        <w:rPr>
          <w:rFonts w:ascii="Times New Roman" w:hAnsi="Times New Roman" w:cs="Times New Roman"/>
          <w:sz w:val="24"/>
          <w:szCs w:val="24"/>
          <w:lang w:val="en-GB"/>
        </w:rPr>
        <w:t xml:space="preserve"> better than their counterparts.</w:t>
      </w:r>
      <w:r w:rsidR="002D717F" w:rsidRPr="00AE77D4">
        <w:rPr>
          <w:rFonts w:ascii="Times New Roman" w:hAnsi="Times New Roman" w:cs="Times New Roman"/>
          <w:sz w:val="24"/>
          <w:szCs w:val="24"/>
          <w:lang w:val="en-GB"/>
        </w:rPr>
        <w:t xml:space="preserve"> </w:t>
      </w:r>
      <w:r w:rsidR="002976CE" w:rsidRPr="00AE77D4">
        <w:rPr>
          <w:rFonts w:ascii="Times New Roman" w:hAnsi="Times New Roman" w:cs="Times New Roman"/>
          <w:sz w:val="24"/>
          <w:szCs w:val="24"/>
          <w:lang w:val="en-GB"/>
        </w:rPr>
        <w:t>Similarly, Terjesen et al. (2009)</w:t>
      </w:r>
      <w:r w:rsidR="000020B8" w:rsidRPr="00AE77D4">
        <w:rPr>
          <w:rFonts w:ascii="Times New Roman" w:hAnsi="Times New Roman" w:cs="Times New Roman"/>
          <w:sz w:val="24"/>
          <w:szCs w:val="24"/>
          <w:lang w:val="en-GB"/>
        </w:rPr>
        <w:t xml:space="preserve"> report</w:t>
      </w:r>
      <w:r w:rsidRPr="00AE77D4">
        <w:rPr>
          <w:rFonts w:ascii="Times New Roman" w:eastAsia="Calibri" w:hAnsi="Times New Roman" w:cs="Times New Roman"/>
          <w:sz w:val="24"/>
          <w:szCs w:val="24"/>
          <w:lang w:val="en-GB"/>
        </w:rPr>
        <w:t>ed that boards with distinctive female directors facilitate firms with a variety of resources, including financing.</w:t>
      </w:r>
      <w:r w:rsidR="002D717F" w:rsidRPr="00AE77D4">
        <w:rPr>
          <w:rFonts w:ascii="Times New Roman" w:hAnsi="Times New Roman" w:cs="Times New Roman"/>
          <w:sz w:val="24"/>
          <w:szCs w:val="24"/>
          <w:lang w:val="en-GB"/>
        </w:rPr>
        <w:t xml:space="preserve"> Moreover, </w:t>
      </w:r>
      <w:r w:rsidR="005B7102" w:rsidRPr="00AE77D4">
        <w:rPr>
          <w:rFonts w:ascii="Times New Roman" w:hAnsi="Times New Roman" w:cs="Times New Roman"/>
          <w:sz w:val="24"/>
          <w:szCs w:val="24"/>
          <w:lang w:val="en-GB"/>
        </w:rPr>
        <w:t xml:space="preserve">female directors are </w:t>
      </w:r>
      <w:r w:rsidR="00FD0EFB" w:rsidRPr="00AE77D4">
        <w:rPr>
          <w:rFonts w:ascii="Times New Roman" w:hAnsi="Times New Roman" w:cs="Times New Roman"/>
          <w:sz w:val="24"/>
          <w:szCs w:val="24"/>
          <w:lang w:val="en-GB"/>
        </w:rPr>
        <w:t>more supportive</w:t>
      </w:r>
      <w:r w:rsidR="00C81113" w:rsidRPr="00AE77D4">
        <w:rPr>
          <w:rFonts w:ascii="Times New Roman" w:hAnsi="Times New Roman" w:cs="Times New Roman"/>
          <w:sz w:val="24"/>
          <w:szCs w:val="24"/>
          <w:lang w:val="en-GB"/>
        </w:rPr>
        <w:t xml:space="preserve"> and compassionate</w:t>
      </w:r>
      <w:r w:rsidR="00FD0EFB" w:rsidRPr="00AE77D4">
        <w:rPr>
          <w:rFonts w:ascii="Times New Roman" w:hAnsi="Times New Roman" w:cs="Times New Roman"/>
          <w:sz w:val="24"/>
          <w:szCs w:val="24"/>
          <w:lang w:val="en-GB"/>
        </w:rPr>
        <w:t xml:space="preserve"> about social, ethical</w:t>
      </w:r>
      <w:r w:rsidRPr="00AE77D4">
        <w:rPr>
          <w:rFonts w:ascii="Times New Roman" w:eastAsia="Calibri" w:hAnsi="Times New Roman" w:cs="Times New Roman"/>
          <w:sz w:val="24"/>
          <w:szCs w:val="24"/>
          <w:lang w:val="en-GB"/>
        </w:rPr>
        <w:t xml:space="preserve">, and climate disclosure (Hafsi </w:t>
      </w:r>
      <w:r w:rsidR="001D03A0" w:rsidRPr="00AE77D4">
        <w:rPr>
          <w:rFonts w:ascii="Times New Roman" w:hAnsi="Times New Roman" w:cs="Times New Roman"/>
          <w:sz w:val="24"/>
          <w:szCs w:val="24"/>
          <w:lang w:val="en-GB"/>
        </w:rPr>
        <w:t>&amp;</w:t>
      </w:r>
      <w:r w:rsidR="00FD0EFB" w:rsidRPr="00AE77D4">
        <w:rPr>
          <w:rFonts w:ascii="Times New Roman" w:hAnsi="Times New Roman" w:cs="Times New Roman"/>
          <w:sz w:val="24"/>
          <w:szCs w:val="24"/>
          <w:lang w:val="en-GB"/>
        </w:rPr>
        <w:t xml:space="preserve"> Turgut, 2013; Isidro </w:t>
      </w:r>
      <w:r w:rsidR="001D03A0" w:rsidRPr="00AE77D4">
        <w:rPr>
          <w:rFonts w:ascii="Times New Roman" w:hAnsi="Times New Roman" w:cs="Times New Roman"/>
          <w:sz w:val="24"/>
          <w:szCs w:val="24"/>
          <w:lang w:val="en-GB"/>
        </w:rPr>
        <w:t>&amp;</w:t>
      </w:r>
      <w:r w:rsidR="00FD0EFB" w:rsidRPr="00AE77D4">
        <w:rPr>
          <w:rFonts w:ascii="Times New Roman" w:hAnsi="Times New Roman" w:cs="Times New Roman"/>
          <w:sz w:val="24"/>
          <w:szCs w:val="24"/>
          <w:lang w:val="en-GB"/>
        </w:rPr>
        <w:t xml:space="preserve"> Sobral, 2014)</w:t>
      </w:r>
      <w:r w:rsidR="005B7102" w:rsidRPr="00AE77D4">
        <w:rPr>
          <w:rFonts w:ascii="Times New Roman" w:hAnsi="Times New Roman" w:cs="Times New Roman"/>
          <w:sz w:val="24"/>
          <w:szCs w:val="24"/>
          <w:lang w:val="en-GB"/>
        </w:rPr>
        <w:t xml:space="preserve">. </w:t>
      </w:r>
      <w:r w:rsidR="002D717F" w:rsidRPr="00AE77D4">
        <w:rPr>
          <w:rFonts w:ascii="Times New Roman" w:hAnsi="Times New Roman" w:cs="Times New Roman"/>
          <w:sz w:val="24"/>
          <w:szCs w:val="24"/>
          <w:lang w:val="en-GB"/>
        </w:rPr>
        <w:t xml:space="preserve">However, contemporary </w:t>
      </w:r>
      <w:r w:rsidR="007B69EF" w:rsidRPr="00AE77D4">
        <w:rPr>
          <w:rFonts w:ascii="Times New Roman" w:hAnsi="Times New Roman" w:cs="Times New Roman"/>
          <w:sz w:val="24"/>
          <w:szCs w:val="24"/>
          <w:lang w:val="en-GB"/>
        </w:rPr>
        <w:t>l</w:t>
      </w:r>
      <w:r w:rsidRPr="00AE77D4">
        <w:rPr>
          <w:rFonts w:ascii="Times New Roman" w:hAnsi="Times New Roman" w:cs="Times New Roman"/>
          <w:sz w:val="24"/>
          <w:szCs w:val="24"/>
          <w:lang w:val="en-GB"/>
        </w:rPr>
        <w:t xml:space="preserve">iterature shows </w:t>
      </w:r>
      <w:r w:rsidR="00EB47B8" w:rsidRPr="00AE77D4">
        <w:rPr>
          <w:rFonts w:ascii="Times New Roman" w:hAnsi="Times New Roman" w:cs="Times New Roman"/>
          <w:sz w:val="24"/>
          <w:szCs w:val="24"/>
          <w:lang w:val="en-GB"/>
        </w:rPr>
        <w:t>a mixed</w:t>
      </w:r>
      <w:r w:rsidRPr="00AE77D4">
        <w:rPr>
          <w:rFonts w:ascii="Times New Roman" w:hAnsi="Times New Roman" w:cs="Times New Roman"/>
          <w:sz w:val="24"/>
          <w:szCs w:val="24"/>
          <w:lang w:val="en-GB"/>
        </w:rPr>
        <w:t xml:space="preserve"> effect of gender diversity on </w:t>
      </w:r>
      <w:r w:rsidR="007E5075" w:rsidRPr="00AE77D4">
        <w:rPr>
          <w:rFonts w:ascii="Times New Roman" w:hAnsi="Times New Roman" w:cs="Times New Roman"/>
          <w:sz w:val="24"/>
          <w:szCs w:val="24"/>
          <w:lang w:val="en-GB"/>
        </w:rPr>
        <w:t xml:space="preserve">decision-making and </w:t>
      </w:r>
      <w:r w:rsidR="006606AA" w:rsidRPr="00AE77D4">
        <w:rPr>
          <w:rFonts w:ascii="Times New Roman" w:hAnsi="Times New Roman" w:cs="Times New Roman"/>
          <w:sz w:val="24"/>
          <w:szCs w:val="24"/>
          <w:lang w:val="en-GB"/>
        </w:rPr>
        <w:t>CCD</w:t>
      </w:r>
      <w:r w:rsidR="00DF0DED" w:rsidRPr="00AE77D4">
        <w:rPr>
          <w:rFonts w:ascii="Times New Roman" w:hAnsi="Times New Roman" w:cs="Times New Roman"/>
          <w:sz w:val="24"/>
          <w:szCs w:val="24"/>
          <w:lang w:val="en-GB"/>
        </w:rPr>
        <w:t xml:space="preserve"> </w:t>
      </w:r>
      <w:r w:rsidR="001119F4" w:rsidRPr="00AE77D4">
        <w:rPr>
          <w:rFonts w:ascii="Times New Roman" w:hAnsi="Times New Roman" w:cs="Times New Roman"/>
          <w:sz w:val="24"/>
          <w:szCs w:val="24"/>
          <w:lang w:val="en-GB"/>
        </w:rPr>
        <w:t>practices</w:t>
      </w:r>
      <w:r w:rsidRPr="00AE77D4">
        <w:rPr>
          <w:rFonts w:ascii="Times New Roman" w:eastAsia="Calibri" w:hAnsi="Times New Roman" w:cs="Times New Roman"/>
          <w:sz w:val="24"/>
          <w:szCs w:val="24"/>
          <w:lang w:val="en-GB"/>
        </w:rPr>
        <w:t>, including</w:t>
      </w:r>
      <w:r w:rsidR="00EB47B8" w:rsidRPr="00AE77D4">
        <w:rPr>
          <w:rFonts w:ascii="Times New Roman" w:hAnsi="Times New Roman" w:cs="Times New Roman"/>
          <w:sz w:val="24"/>
          <w:szCs w:val="24"/>
          <w:lang w:val="en-GB"/>
        </w:rPr>
        <w:t xml:space="preserve"> a positive association </w:t>
      </w:r>
      <w:r w:rsidR="007C79C5" w:rsidRPr="00AE77D4">
        <w:rPr>
          <w:rFonts w:ascii="Times New Roman" w:hAnsi="Times New Roman" w:cs="Times New Roman"/>
          <w:sz w:val="24"/>
          <w:szCs w:val="24"/>
          <w:lang w:val="en-GB"/>
        </w:rPr>
        <w:t>(</w:t>
      </w:r>
      <w:r w:rsidR="001119F4" w:rsidRPr="00AE77D4">
        <w:rPr>
          <w:rFonts w:ascii="Times New Roman" w:hAnsi="Times New Roman" w:cs="Times New Roman"/>
          <w:sz w:val="24"/>
          <w:szCs w:val="24"/>
          <w:lang w:val="en-GB"/>
        </w:rPr>
        <w:t xml:space="preserve">Liao et al., 2015; </w:t>
      </w:r>
      <w:r w:rsidR="007C79C5" w:rsidRPr="00AE77D4">
        <w:rPr>
          <w:rFonts w:ascii="Times New Roman" w:hAnsi="Times New Roman" w:cs="Times New Roman"/>
          <w:sz w:val="24"/>
          <w:szCs w:val="24"/>
          <w:lang w:val="en-GB"/>
        </w:rPr>
        <w:t xml:space="preserve">Lu </w:t>
      </w:r>
      <w:r w:rsidR="005A06E1" w:rsidRPr="00AE77D4">
        <w:rPr>
          <w:rFonts w:ascii="Times New Roman" w:hAnsi="Times New Roman" w:cs="Times New Roman"/>
          <w:sz w:val="24"/>
          <w:szCs w:val="24"/>
          <w:lang w:val="en-GB"/>
        </w:rPr>
        <w:t xml:space="preserve">&amp; </w:t>
      </w:r>
      <w:r w:rsidR="007C79C5" w:rsidRPr="00AE77D4">
        <w:rPr>
          <w:rFonts w:ascii="Times New Roman" w:hAnsi="Times New Roman" w:cs="Times New Roman"/>
          <w:sz w:val="24"/>
          <w:szCs w:val="24"/>
          <w:lang w:val="en-GB"/>
        </w:rPr>
        <w:t>Herremans, 2019)</w:t>
      </w:r>
      <w:r w:rsidR="002D717F" w:rsidRPr="00AE77D4">
        <w:rPr>
          <w:rFonts w:ascii="Times New Roman" w:hAnsi="Times New Roman" w:cs="Times New Roman"/>
          <w:sz w:val="24"/>
          <w:szCs w:val="24"/>
          <w:lang w:val="en-GB"/>
        </w:rPr>
        <w:t xml:space="preserve"> and negative or</w:t>
      </w:r>
      <w:r w:rsidR="00EB47B8" w:rsidRPr="00AE77D4">
        <w:rPr>
          <w:rFonts w:ascii="Times New Roman" w:hAnsi="Times New Roman" w:cs="Times New Roman"/>
          <w:sz w:val="24"/>
          <w:szCs w:val="24"/>
          <w:lang w:val="en-GB"/>
        </w:rPr>
        <w:t xml:space="preserve"> limited effect</w:t>
      </w:r>
      <w:r w:rsidR="006A7244" w:rsidRPr="00AE77D4">
        <w:rPr>
          <w:rFonts w:ascii="Times New Roman" w:hAnsi="Times New Roman" w:cs="Times New Roman"/>
          <w:sz w:val="24"/>
          <w:szCs w:val="24"/>
          <w:lang w:val="en-GB"/>
        </w:rPr>
        <w:t>s</w:t>
      </w:r>
      <w:r w:rsidR="00EB47B8" w:rsidRPr="00AE77D4">
        <w:rPr>
          <w:rFonts w:ascii="Times New Roman" w:hAnsi="Times New Roman" w:cs="Times New Roman"/>
          <w:sz w:val="24"/>
          <w:szCs w:val="24"/>
          <w:lang w:val="en-GB"/>
        </w:rPr>
        <w:t xml:space="preserve"> (</w:t>
      </w:r>
      <w:r w:rsidR="00991EA1" w:rsidRPr="00AE77D4">
        <w:rPr>
          <w:rFonts w:ascii="Times New Roman" w:hAnsi="Times New Roman" w:cs="Times New Roman"/>
          <w:sz w:val="24"/>
          <w:szCs w:val="24"/>
          <w:shd w:val="clear" w:color="auto" w:fill="FFFFFF"/>
          <w:lang w:val="en-GB"/>
        </w:rPr>
        <w:t>Al Kurdi</w:t>
      </w:r>
      <w:r w:rsidR="00991EA1" w:rsidRPr="00AE77D4">
        <w:rPr>
          <w:rFonts w:ascii="Times New Roman" w:hAnsi="Times New Roman" w:cs="Times New Roman"/>
          <w:sz w:val="24"/>
          <w:szCs w:val="24"/>
          <w:lang w:val="en-GB"/>
        </w:rPr>
        <w:t xml:space="preserve"> et al. 2023</w:t>
      </w:r>
      <w:r w:rsidR="00D001F0" w:rsidRPr="00AE77D4">
        <w:rPr>
          <w:rFonts w:ascii="Times New Roman" w:hAnsi="Times New Roman" w:cs="Times New Roman"/>
          <w:sz w:val="24"/>
          <w:szCs w:val="24"/>
          <w:lang w:val="en-GB"/>
        </w:rPr>
        <w:t xml:space="preserve">; </w:t>
      </w:r>
      <w:r w:rsidR="008B4404" w:rsidRPr="00AE77D4">
        <w:rPr>
          <w:rFonts w:ascii="Times New Roman" w:hAnsi="Times New Roman" w:cs="Times New Roman"/>
          <w:sz w:val="24"/>
          <w:szCs w:val="24"/>
          <w:lang w:val="en-GB"/>
        </w:rPr>
        <w:t>Cucari et al., 2018</w:t>
      </w:r>
      <w:r w:rsidR="00EB47B8" w:rsidRPr="00AE77D4">
        <w:rPr>
          <w:rFonts w:ascii="Times New Roman" w:hAnsi="Times New Roman" w:cs="Times New Roman"/>
          <w:sz w:val="24"/>
          <w:szCs w:val="24"/>
          <w:lang w:val="en-GB"/>
        </w:rPr>
        <w:t>).</w:t>
      </w:r>
      <w:r w:rsidR="00576751" w:rsidRPr="00AE77D4">
        <w:rPr>
          <w:rFonts w:ascii="Times New Roman" w:hAnsi="Times New Roman" w:cs="Times New Roman"/>
          <w:sz w:val="24"/>
          <w:szCs w:val="24"/>
          <w:lang w:val="en-GB"/>
        </w:rPr>
        <w:t xml:space="preserve"> </w:t>
      </w:r>
      <w:r w:rsidR="002D717F" w:rsidRPr="00AE77D4">
        <w:rPr>
          <w:rFonts w:ascii="Times New Roman" w:hAnsi="Times New Roman" w:cs="Times New Roman"/>
          <w:sz w:val="24"/>
          <w:szCs w:val="24"/>
          <w:lang w:val="en-GB"/>
        </w:rPr>
        <w:t xml:space="preserve">Nevertheless, the </w:t>
      </w:r>
      <w:r w:rsidR="00576751" w:rsidRPr="00AE77D4">
        <w:rPr>
          <w:rFonts w:ascii="Times New Roman" w:hAnsi="Times New Roman" w:cs="Times New Roman"/>
          <w:sz w:val="24"/>
          <w:szCs w:val="24"/>
          <w:lang w:val="en-GB"/>
        </w:rPr>
        <w:t xml:space="preserve">Bangladesh </w:t>
      </w:r>
      <w:r w:rsidRPr="00AE77D4">
        <w:rPr>
          <w:rFonts w:ascii="Times New Roman" w:eastAsia="Calibri" w:hAnsi="Times New Roman" w:cs="Times New Roman"/>
          <w:sz w:val="24"/>
          <w:szCs w:val="24"/>
          <w:lang w:val="en-GB"/>
        </w:rPr>
        <w:t xml:space="preserve">guidelines </w:t>
      </w:r>
      <w:r w:rsidR="00AD4437" w:rsidRPr="00AE77D4">
        <w:rPr>
          <w:rFonts w:ascii="Times New Roman" w:hAnsi="Times New Roman" w:cs="Times New Roman"/>
          <w:sz w:val="24"/>
          <w:szCs w:val="24"/>
          <w:lang w:val="en-GB"/>
        </w:rPr>
        <w:t xml:space="preserve">do not specify </w:t>
      </w:r>
      <w:r w:rsidR="002D717F" w:rsidRPr="00AE77D4">
        <w:rPr>
          <w:rFonts w:ascii="Times New Roman" w:hAnsi="Times New Roman" w:cs="Times New Roman"/>
          <w:sz w:val="24"/>
          <w:szCs w:val="24"/>
          <w:lang w:val="en-GB"/>
        </w:rPr>
        <w:t xml:space="preserve">the </w:t>
      </w:r>
      <w:r w:rsidR="00AD4437" w:rsidRPr="00AE77D4">
        <w:rPr>
          <w:rFonts w:ascii="Times New Roman" w:hAnsi="Times New Roman" w:cs="Times New Roman"/>
          <w:sz w:val="24"/>
          <w:szCs w:val="24"/>
          <w:lang w:val="en-GB"/>
        </w:rPr>
        <w:t xml:space="preserve">minimum </w:t>
      </w:r>
      <w:r w:rsidR="0051498A" w:rsidRPr="00AE77D4">
        <w:rPr>
          <w:rFonts w:ascii="Times New Roman" w:hAnsi="Times New Roman" w:cs="Times New Roman"/>
          <w:sz w:val="24"/>
          <w:szCs w:val="24"/>
          <w:lang w:val="en-GB"/>
        </w:rPr>
        <w:t xml:space="preserve">required </w:t>
      </w:r>
      <w:r w:rsidR="00AD4437" w:rsidRPr="00AE77D4">
        <w:rPr>
          <w:rFonts w:ascii="Times New Roman" w:hAnsi="Times New Roman" w:cs="Times New Roman"/>
          <w:sz w:val="24"/>
          <w:szCs w:val="24"/>
          <w:lang w:val="en-GB"/>
        </w:rPr>
        <w:t xml:space="preserve">number of female directors </w:t>
      </w:r>
      <w:r w:rsidR="00241D30" w:rsidRPr="00AE77D4">
        <w:rPr>
          <w:rFonts w:ascii="Times New Roman" w:hAnsi="Times New Roman" w:cs="Times New Roman"/>
          <w:sz w:val="24"/>
          <w:szCs w:val="24"/>
          <w:lang w:val="en-GB"/>
        </w:rPr>
        <w:lastRenderedPageBreak/>
        <w:t>(</w:t>
      </w:r>
      <w:r w:rsidR="002725DC" w:rsidRPr="00AE77D4">
        <w:rPr>
          <w:rFonts w:ascii="Times New Roman" w:hAnsi="Times New Roman" w:cs="Times New Roman"/>
          <w:sz w:val="24"/>
          <w:szCs w:val="24"/>
          <w:lang w:val="en-GB"/>
        </w:rPr>
        <w:t xml:space="preserve">Securities and Exchange Commission, 2012; </w:t>
      </w:r>
      <w:r w:rsidR="00E0118E" w:rsidRPr="00AE77D4">
        <w:rPr>
          <w:rFonts w:ascii="Times New Roman" w:hAnsi="Times New Roman" w:cs="Times New Roman"/>
          <w:sz w:val="24"/>
          <w:szCs w:val="24"/>
          <w:lang w:val="en-GB"/>
        </w:rPr>
        <w:t>Bangladesh Securities and Exchange Commission</w:t>
      </w:r>
      <w:r w:rsidR="00AB6800" w:rsidRPr="00AE77D4">
        <w:rPr>
          <w:rFonts w:ascii="Times New Roman" w:hAnsi="Times New Roman" w:cs="Times New Roman"/>
          <w:sz w:val="24"/>
          <w:szCs w:val="24"/>
          <w:lang w:val="en-GB"/>
        </w:rPr>
        <w:t>, 2018</w:t>
      </w:r>
      <w:r w:rsidR="00241D30" w:rsidRPr="00AE77D4">
        <w:rPr>
          <w:rFonts w:ascii="Times New Roman" w:hAnsi="Times New Roman" w:cs="Times New Roman"/>
          <w:sz w:val="24"/>
          <w:szCs w:val="24"/>
          <w:lang w:val="en-GB"/>
        </w:rPr>
        <w:t>)</w:t>
      </w:r>
      <w:r w:rsidR="002D717F"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and we expect that more diverse boards tend to put more pressure on corporate managers to engage in increased CCD practices</w:t>
      </w:r>
      <w:r w:rsidR="002426E3" w:rsidRPr="00AE77D4">
        <w:rPr>
          <w:rFonts w:ascii="Times New Roman" w:hAnsi="Times New Roman" w:cs="Times New Roman"/>
          <w:sz w:val="24"/>
          <w:szCs w:val="24"/>
          <w:lang w:val="en-GB"/>
        </w:rPr>
        <w:t xml:space="preserve">. </w:t>
      </w:r>
      <w:r w:rsidR="001A0D94" w:rsidRPr="00AE77D4">
        <w:rPr>
          <w:rFonts w:ascii="Times New Roman" w:hAnsi="Times New Roman" w:cs="Times New Roman"/>
          <w:sz w:val="24"/>
          <w:szCs w:val="24"/>
          <w:lang w:val="en-GB"/>
        </w:rPr>
        <w:t>Thus</w:t>
      </w:r>
      <w:r w:rsidRPr="00AE77D4">
        <w:rPr>
          <w:rFonts w:ascii="Times New Roman" w:hAnsi="Times New Roman" w:cs="Times New Roman"/>
          <w:sz w:val="24"/>
          <w:szCs w:val="24"/>
          <w:lang w:val="en-GB"/>
        </w:rPr>
        <w:t xml:space="preserve">, we propose </w:t>
      </w:r>
      <w:r w:rsidR="001A0D94" w:rsidRPr="00AE77D4">
        <w:rPr>
          <w:rFonts w:ascii="Times New Roman" w:hAnsi="Times New Roman" w:cs="Times New Roman"/>
          <w:sz w:val="24"/>
          <w:szCs w:val="24"/>
          <w:lang w:val="en-GB"/>
        </w:rPr>
        <w:t>the following hypotheses:</w:t>
      </w:r>
    </w:p>
    <w:p w14:paraId="230A2B50" w14:textId="7F378DF4" w:rsidR="00C166AE"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H4: There is a positive </w:t>
      </w:r>
      <w:r w:rsidR="007E760A" w:rsidRPr="00AE77D4">
        <w:rPr>
          <w:rFonts w:ascii="Times New Roman" w:hAnsi="Times New Roman" w:cs="Times New Roman"/>
          <w:sz w:val="24"/>
          <w:szCs w:val="24"/>
          <w:lang w:val="en-GB"/>
        </w:rPr>
        <w:t xml:space="preserve">relationship </w:t>
      </w:r>
      <w:r w:rsidRPr="00AE77D4">
        <w:rPr>
          <w:rFonts w:ascii="Times New Roman" w:hAnsi="Times New Roman" w:cs="Times New Roman"/>
          <w:sz w:val="24"/>
          <w:szCs w:val="24"/>
          <w:lang w:val="en-GB"/>
        </w:rPr>
        <w:t xml:space="preserve">between gender diversity and level of environmental </w:t>
      </w:r>
      <w:r w:rsidR="00622FEA" w:rsidRPr="00AE77D4">
        <w:rPr>
          <w:rFonts w:ascii="Times New Roman" w:hAnsi="Times New Roman" w:cs="Times New Roman"/>
          <w:sz w:val="24"/>
          <w:szCs w:val="24"/>
          <w:lang w:val="en-GB"/>
        </w:rPr>
        <w:t xml:space="preserve">change </w:t>
      </w:r>
      <w:r w:rsidR="006A7244" w:rsidRPr="00AE77D4">
        <w:rPr>
          <w:rFonts w:ascii="Times New Roman" w:hAnsi="Times New Roman" w:cs="Times New Roman"/>
          <w:sz w:val="24"/>
          <w:szCs w:val="24"/>
          <w:lang w:val="en-GB"/>
        </w:rPr>
        <w:t>disclosure</w:t>
      </w:r>
      <w:r w:rsidRPr="00AE77D4">
        <w:rPr>
          <w:rFonts w:ascii="Times New Roman" w:hAnsi="Times New Roman" w:cs="Times New Roman"/>
          <w:i/>
          <w:sz w:val="24"/>
          <w:szCs w:val="24"/>
          <w:lang w:val="en-GB"/>
        </w:rPr>
        <w:t>.</w:t>
      </w:r>
    </w:p>
    <w:p w14:paraId="582C6FD5" w14:textId="4731BB48" w:rsidR="00C166AE"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4</w:t>
      </w:r>
      <w:r w:rsidR="00BE6B4F" w:rsidRPr="00AE77D4">
        <w:rPr>
          <w:rFonts w:ascii="Times New Roman" w:hAnsi="Times New Roman" w:cs="Times New Roman"/>
          <w:b/>
          <w:sz w:val="24"/>
          <w:szCs w:val="24"/>
          <w:lang w:val="en-GB"/>
        </w:rPr>
        <w:t xml:space="preserve">.5 </w:t>
      </w:r>
      <w:r w:rsidR="00082A99" w:rsidRPr="00AE77D4">
        <w:rPr>
          <w:rFonts w:ascii="Times New Roman" w:hAnsi="Times New Roman" w:cs="Times New Roman"/>
          <w:b/>
          <w:sz w:val="24"/>
          <w:szCs w:val="24"/>
          <w:lang w:val="en-GB"/>
        </w:rPr>
        <w:t xml:space="preserve">The effect of board meeting on the climate change disclosures </w:t>
      </w:r>
    </w:p>
    <w:p w14:paraId="3BCB1B11" w14:textId="490CBA08" w:rsidR="00C166AE" w:rsidRPr="00AE77D4" w:rsidRDefault="00AB484C"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Scholarly literature indicates that the level of </w:t>
      </w:r>
      <w:r w:rsidR="005152BB" w:rsidRPr="00AE77D4">
        <w:rPr>
          <w:rFonts w:ascii="Times New Roman" w:hAnsi="Times New Roman" w:cs="Times New Roman"/>
          <w:sz w:val="24"/>
          <w:szCs w:val="24"/>
          <w:lang w:val="en-GB"/>
        </w:rPr>
        <w:t>pursuit</w:t>
      </w:r>
      <w:r w:rsidRPr="00AE77D4">
        <w:rPr>
          <w:rFonts w:ascii="Times New Roman" w:hAnsi="Times New Roman" w:cs="Times New Roman"/>
          <w:sz w:val="24"/>
          <w:szCs w:val="24"/>
          <w:lang w:val="en-GB"/>
        </w:rPr>
        <w:t xml:space="preserve"> </w:t>
      </w:r>
      <w:r w:rsidR="00F00872" w:rsidRPr="00AE77D4">
        <w:rPr>
          <w:rFonts w:ascii="Times New Roman" w:hAnsi="Times New Roman" w:cs="Times New Roman"/>
          <w:sz w:val="24"/>
          <w:szCs w:val="24"/>
          <w:lang w:val="en-GB"/>
        </w:rPr>
        <w:t xml:space="preserve">and diligence of board </w:t>
      </w:r>
      <w:r w:rsidR="00D54D1B" w:rsidRPr="00AE77D4">
        <w:rPr>
          <w:rFonts w:ascii="Times New Roman" w:hAnsi="Times New Roman" w:cs="Times New Roman"/>
          <w:sz w:val="24"/>
          <w:szCs w:val="24"/>
          <w:lang w:val="en-GB"/>
        </w:rPr>
        <w:t>members</w:t>
      </w:r>
      <w:r w:rsidRPr="00AE77D4">
        <w:rPr>
          <w:rFonts w:ascii="Times New Roman" w:hAnsi="Times New Roman" w:cs="Times New Roman"/>
          <w:sz w:val="24"/>
          <w:szCs w:val="24"/>
          <w:lang w:val="en-GB"/>
        </w:rPr>
        <w:t xml:space="preserve"> is often explained by the number of meeting</w:t>
      </w:r>
      <w:r w:rsidR="007B69EF" w:rsidRPr="00AE77D4">
        <w:rPr>
          <w:rFonts w:ascii="Times New Roman" w:hAnsi="Times New Roman" w:cs="Times New Roman"/>
          <w:sz w:val="24"/>
          <w:szCs w:val="24"/>
          <w:lang w:val="en-GB"/>
        </w:rPr>
        <w:t>s</w:t>
      </w:r>
      <w:r w:rsidRPr="00AE77D4">
        <w:rPr>
          <w:rFonts w:ascii="Times New Roman" w:hAnsi="Times New Roman" w:cs="Times New Roman"/>
          <w:sz w:val="24"/>
          <w:szCs w:val="24"/>
          <w:lang w:val="en-GB"/>
        </w:rPr>
        <w:t xml:space="preserve"> (</w:t>
      </w:r>
      <w:r w:rsidR="00BC78A3" w:rsidRPr="00AE77D4">
        <w:rPr>
          <w:rFonts w:ascii="Times New Roman" w:hAnsi="Times New Roman" w:cs="Times New Roman"/>
          <w:sz w:val="24"/>
          <w:szCs w:val="24"/>
          <w:shd w:val="clear" w:color="auto" w:fill="FFFFFF"/>
          <w:lang w:val="en-GB"/>
        </w:rPr>
        <w:t xml:space="preserve">Al Amosh &amp; Khatib, 2021; </w:t>
      </w:r>
      <w:r w:rsidR="00E226AE" w:rsidRPr="00AE77D4">
        <w:rPr>
          <w:rFonts w:ascii="Times New Roman" w:hAnsi="Times New Roman" w:cs="Times New Roman"/>
          <w:sz w:val="24"/>
          <w:szCs w:val="24"/>
          <w:lang w:val="en-GB"/>
        </w:rPr>
        <w:t>Alnabsha et al. 2018</w:t>
      </w:r>
      <w:r w:rsidRPr="00AE77D4">
        <w:rPr>
          <w:rFonts w:ascii="Times New Roman" w:hAnsi="Times New Roman" w:cs="Times New Roman"/>
          <w:sz w:val="24"/>
          <w:szCs w:val="24"/>
          <w:lang w:val="en-GB"/>
        </w:rPr>
        <w:t>).</w:t>
      </w:r>
      <w:r w:rsidR="00D960FB" w:rsidRPr="00AE77D4">
        <w:rPr>
          <w:rFonts w:ascii="Times New Roman" w:hAnsi="Times New Roman" w:cs="Times New Roman"/>
          <w:sz w:val="24"/>
          <w:szCs w:val="24"/>
          <w:lang w:val="en-GB"/>
        </w:rPr>
        <w:t xml:space="preserve"> From the neo-institutionalism postulates, normative pressure drives firms to have frequent meetings to deal with increased competition, operational complexity</w:t>
      </w:r>
      <w:r w:rsidRPr="00AE77D4">
        <w:rPr>
          <w:rFonts w:ascii="Times New Roman" w:eastAsia="Calibri" w:hAnsi="Times New Roman" w:cs="Times New Roman"/>
          <w:sz w:val="24"/>
          <w:szCs w:val="24"/>
          <w:lang w:val="en-GB"/>
        </w:rPr>
        <w:t xml:space="preserve">, and uncertainty that help </w:t>
      </w:r>
      <w:r w:rsidR="00D960FB" w:rsidRPr="00AE77D4">
        <w:rPr>
          <w:rFonts w:ascii="Times New Roman" w:hAnsi="Times New Roman" w:cs="Times New Roman"/>
          <w:sz w:val="24"/>
          <w:szCs w:val="24"/>
          <w:lang w:val="en-GB"/>
        </w:rPr>
        <w:t>address different stakeholders' concerns and better gauge firms' various risks, including those relating to climate challenges.</w:t>
      </w:r>
      <w:r w:rsidRPr="00AE77D4">
        <w:rPr>
          <w:rFonts w:ascii="Times New Roman" w:hAnsi="Times New Roman" w:cs="Times New Roman"/>
          <w:sz w:val="24"/>
          <w:szCs w:val="24"/>
          <w:lang w:val="en-GB"/>
        </w:rPr>
        <w:t xml:space="preserve"> </w:t>
      </w:r>
      <w:r w:rsidR="00C94B77" w:rsidRPr="00AE77D4">
        <w:rPr>
          <w:rFonts w:ascii="Times New Roman" w:hAnsi="Times New Roman" w:cs="Times New Roman"/>
          <w:sz w:val="24"/>
          <w:szCs w:val="24"/>
          <w:lang w:val="en-GB"/>
        </w:rPr>
        <w:t>However, t</w:t>
      </w:r>
      <w:r w:rsidRPr="00AE77D4">
        <w:rPr>
          <w:rFonts w:ascii="Times New Roman" w:hAnsi="Times New Roman" w:cs="Times New Roman"/>
          <w:sz w:val="24"/>
          <w:szCs w:val="24"/>
          <w:lang w:val="en-GB"/>
        </w:rPr>
        <w:t xml:space="preserve">he nature of the </w:t>
      </w:r>
      <w:r w:rsidR="004C720C" w:rsidRPr="00AE77D4">
        <w:rPr>
          <w:rFonts w:ascii="Times New Roman" w:hAnsi="Times New Roman" w:cs="Times New Roman"/>
          <w:sz w:val="24"/>
          <w:szCs w:val="24"/>
          <w:lang w:val="en-GB"/>
        </w:rPr>
        <w:t>interconnection</w:t>
      </w:r>
      <w:r w:rsidRPr="00AE77D4">
        <w:rPr>
          <w:rFonts w:ascii="Times New Roman" w:hAnsi="Times New Roman" w:cs="Times New Roman"/>
          <w:sz w:val="24"/>
          <w:szCs w:val="24"/>
          <w:lang w:val="en-GB"/>
        </w:rPr>
        <w:t xml:space="preserve"> between board meeting</w:t>
      </w:r>
      <w:r w:rsidR="007B69EF" w:rsidRPr="00AE77D4">
        <w:rPr>
          <w:rFonts w:ascii="Times New Roman" w:hAnsi="Times New Roman" w:cs="Times New Roman"/>
          <w:sz w:val="24"/>
          <w:szCs w:val="24"/>
          <w:lang w:val="en-GB"/>
        </w:rPr>
        <w:t>s</w:t>
      </w:r>
      <w:r w:rsidRPr="00AE77D4">
        <w:rPr>
          <w:rFonts w:ascii="Times New Roman" w:hAnsi="Times New Roman" w:cs="Times New Roman"/>
          <w:sz w:val="24"/>
          <w:szCs w:val="24"/>
          <w:lang w:val="en-GB"/>
        </w:rPr>
        <w:t xml:space="preserve"> and </w:t>
      </w:r>
      <w:r w:rsidR="0021761F" w:rsidRPr="00AE77D4">
        <w:rPr>
          <w:rFonts w:ascii="Times New Roman" w:hAnsi="Times New Roman" w:cs="Times New Roman"/>
          <w:sz w:val="24"/>
          <w:szCs w:val="24"/>
          <w:lang w:val="en-GB"/>
        </w:rPr>
        <w:t xml:space="preserve">CCD </w:t>
      </w:r>
      <w:r w:rsidRPr="00AE77D4">
        <w:rPr>
          <w:rFonts w:ascii="Times New Roman" w:hAnsi="Times New Roman" w:cs="Times New Roman"/>
          <w:sz w:val="24"/>
          <w:szCs w:val="24"/>
          <w:lang w:val="en-GB"/>
        </w:rPr>
        <w:t>practices seems complex</w:t>
      </w:r>
      <w:r w:rsidRPr="00AE77D4">
        <w:rPr>
          <w:rFonts w:ascii="Times New Roman" w:eastAsia="Calibri" w:hAnsi="Times New Roman" w:cs="Times New Roman"/>
          <w:sz w:val="24"/>
          <w:szCs w:val="24"/>
          <w:lang w:val="en-GB"/>
        </w:rPr>
        <w:t xml:space="preserve">, </w:t>
      </w:r>
      <w:r w:rsidR="00A6358E" w:rsidRPr="00AE77D4">
        <w:rPr>
          <w:rFonts w:ascii="Times New Roman" w:hAnsi="Times New Roman" w:cs="Times New Roman"/>
          <w:sz w:val="24"/>
          <w:szCs w:val="24"/>
          <w:lang w:val="en-GB"/>
        </w:rPr>
        <w:t>because</w:t>
      </w:r>
      <w:r w:rsidRPr="00AE77D4">
        <w:rPr>
          <w:rFonts w:ascii="Times New Roman" w:hAnsi="Times New Roman" w:cs="Times New Roman"/>
          <w:sz w:val="24"/>
          <w:szCs w:val="24"/>
          <w:lang w:val="en-GB"/>
        </w:rPr>
        <w:t xml:space="preserve"> scholars are divided into different views</w:t>
      </w:r>
      <w:r w:rsidR="00A6358E" w:rsidRPr="00AE77D4">
        <w:rPr>
          <w:rFonts w:ascii="Times New Roman" w:hAnsi="Times New Roman" w:cs="Times New Roman"/>
          <w:sz w:val="24"/>
          <w:szCs w:val="24"/>
          <w:lang w:val="en-GB"/>
        </w:rPr>
        <w:t>.</w:t>
      </w:r>
      <w:r w:rsidRPr="00AE77D4">
        <w:rPr>
          <w:rFonts w:ascii="Times New Roman" w:hAnsi="Times New Roman" w:cs="Times New Roman"/>
          <w:sz w:val="24"/>
          <w:szCs w:val="24"/>
          <w:lang w:val="en-GB"/>
        </w:rPr>
        <w:t xml:space="preserve"> </w:t>
      </w:r>
      <w:r w:rsidR="00E01904" w:rsidRPr="00AE77D4">
        <w:rPr>
          <w:rFonts w:ascii="Times New Roman" w:hAnsi="Times New Roman" w:cs="Times New Roman"/>
          <w:sz w:val="24"/>
          <w:szCs w:val="24"/>
          <w:lang w:val="en-GB"/>
        </w:rPr>
        <w:t>Some</w:t>
      </w:r>
      <w:r w:rsidRPr="00AE77D4">
        <w:rPr>
          <w:rFonts w:ascii="Times New Roman" w:hAnsi="Times New Roman" w:cs="Times New Roman"/>
          <w:sz w:val="24"/>
          <w:szCs w:val="24"/>
          <w:lang w:val="en-GB"/>
        </w:rPr>
        <w:t xml:space="preserve"> scholars </w:t>
      </w:r>
      <w:r w:rsidR="00E01904" w:rsidRPr="00AE77D4">
        <w:rPr>
          <w:rFonts w:ascii="Times New Roman" w:hAnsi="Times New Roman" w:cs="Times New Roman"/>
          <w:sz w:val="24"/>
          <w:szCs w:val="24"/>
          <w:lang w:val="en-GB"/>
        </w:rPr>
        <w:t xml:space="preserve">argue </w:t>
      </w:r>
      <w:r w:rsidRPr="00AE77D4">
        <w:rPr>
          <w:rFonts w:ascii="Times New Roman" w:hAnsi="Times New Roman" w:cs="Times New Roman"/>
          <w:sz w:val="24"/>
          <w:szCs w:val="24"/>
          <w:lang w:val="en-GB"/>
        </w:rPr>
        <w:t>that more frequent meeting</w:t>
      </w:r>
      <w:r w:rsidR="006A7244" w:rsidRPr="00AE77D4">
        <w:rPr>
          <w:rFonts w:ascii="Times New Roman" w:hAnsi="Times New Roman" w:cs="Times New Roman"/>
          <w:sz w:val="24"/>
          <w:szCs w:val="24"/>
          <w:lang w:val="en-GB"/>
        </w:rPr>
        <w:t>s positively affect</w:t>
      </w:r>
      <w:r w:rsidR="007B69EF" w:rsidRPr="00AE77D4">
        <w:rPr>
          <w:rFonts w:ascii="Times New Roman" w:hAnsi="Times New Roman" w:cs="Times New Roman"/>
          <w:sz w:val="24"/>
          <w:szCs w:val="24"/>
          <w:lang w:val="en-GB"/>
        </w:rPr>
        <w:t xml:space="preserve"> </w:t>
      </w:r>
      <w:r w:rsidRPr="00AE77D4">
        <w:rPr>
          <w:rFonts w:ascii="Times New Roman" w:hAnsi="Times New Roman" w:cs="Times New Roman"/>
          <w:sz w:val="24"/>
          <w:szCs w:val="24"/>
          <w:lang w:val="en-GB"/>
        </w:rPr>
        <w:t>board efficiency, better supervision</w:t>
      </w:r>
      <w:r w:rsidRPr="00AE77D4">
        <w:rPr>
          <w:rFonts w:ascii="Times New Roman" w:eastAsia="Calibri" w:hAnsi="Times New Roman" w:cs="Times New Roman"/>
          <w:sz w:val="24"/>
          <w:szCs w:val="24"/>
          <w:lang w:val="en-GB"/>
        </w:rPr>
        <w:t>, and organi</w:t>
      </w:r>
      <w:r w:rsidRPr="00AE77D4">
        <w:rPr>
          <w:rFonts w:ascii="Times New Roman" w:hAnsi="Times New Roman" w:cs="Times New Roman"/>
          <w:sz w:val="24"/>
          <w:szCs w:val="24"/>
          <w:lang w:val="en-GB"/>
        </w:rPr>
        <w:t>zational transparency</w:t>
      </w:r>
      <w:r w:rsidRPr="00AE77D4">
        <w:rPr>
          <w:rFonts w:ascii="Times New Roman" w:eastAsia="Calibri" w:hAnsi="Times New Roman" w:cs="Times New Roman"/>
          <w:sz w:val="24"/>
          <w:szCs w:val="24"/>
          <w:lang w:val="en-GB"/>
        </w:rPr>
        <w:t xml:space="preserve">, </w:t>
      </w:r>
      <w:r w:rsidR="0015206D" w:rsidRPr="00AE77D4">
        <w:rPr>
          <w:rFonts w:ascii="Times New Roman" w:hAnsi="Times New Roman" w:cs="Times New Roman"/>
          <w:sz w:val="24"/>
          <w:szCs w:val="24"/>
          <w:lang w:val="en-GB"/>
        </w:rPr>
        <w:t>which also work well</w:t>
      </w:r>
      <w:r w:rsidRPr="00AE77D4">
        <w:rPr>
          <w:rFonts w:ascii="Times New Roman" w:hAnsi="Times New Roman" w:cs="Times New Roman"/>
          <w:sz w:val="24"/>
          <w:szCs w:val="24"/>
          <w:lang w:val="en-GB"/>
        </w:rPr>
        <w:t xml:space="preserve"> during any crisis</w:t>
      </w:r>
      <w:r w:rsidR="00592257" w:rsidRPr="00AE77D4">
        <w:rPr>
          <w:rFonts w:ascii="Times New Roman" w:hAnsi="Times New Roman" w:cs="Times New Roman"/>
          <w:sz w:val="24"/>
          <w:szCs w:val="24"/>
          <w:lang w:val="en-GB"/>
        </w:rPr>
        <w:t xml:space="preserve"> and uncertainty</w:t>
      </w:r>
      <w:r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 xml:space="preserve">and frequent board meetings </w:t>
      </w:r>
      <w:r w:rsidR="00C0671E" w:rsidRPr="00AE77D4">
        <w:rPr>
          <w:rFonts w:ascii="Times New Roman" w:hAnsi="Times New Roman" w:cs="Times New Roman"/>
          <w:sz w:val="24"/>
          <w:szCs w:val="24"/>
          <w:lang w:val="en-GB"/>
        </w:rPr>
        <w:t xml:space="preserve">may </w:t>
      </w:r>
      <w:r w:rsidRPr="00AE77D4">
        <w:rPr>
          <w:rFonts w:ascii="Times New Roman" w:hAnsi="Times New Roman" w:cs="Times New Roman"/>
          <w:sz w:val="24"/>
          <w:szCs w:val="24"/>
          <w:lang w:val="en-GB"/>
        </w:rPr>
        <w:t>pacify shareholders</w:t>
      </w:r>
      <w:r w:rsidR="00D518E3" w:rsidRPr="00AE77D4">
        <w:rPr>
          <w:rFonts w:ascii="Times New Roman" w:hAnsi="Times New Roman" w:cs="Times New Roman"/>
          <w:sz w:val="24"/>
          <w:szCs w:val="24"/>
          <w:lang w:val="en-GB"/>
        </w:rPr>
        <w:t>'</w:t>
      </w:r>
      <w:r w:rsidRPr="00AE77D4">
        <w:rPr>
          <w:rFonts w:ascii="Times New Roman" w:hAnsi="Times New Roman" w:cs="Times New Roman"/>
          <w:sz w:val="24"/>
          <w:szCs w:val="24"/>
          <w:lang w:val="en-GB"/>
        </w:rPr>
        <w:t xml:space="preserve"> expectations </w:t>
      </w:r>
      <w:r w:rsidRPr="00AE77D4">
        <w:rPr>
          <w:rFonts w:ascii="Times New Roman" w:eastAsia="Calibri" w:hAnsi="Times New Roman" w:cs="Times New Roman"/>
          <w:sz w:val="24"/>
          <w:szCs w:val="24"/>
          <w:lang w:val="en-GB"/>
        </w:rPr>
        <w:t>and refin</w:t>
      </w:r>
      <w:r w:rsidRPr="00AE77D4">
        <w:rPr>
          <w:rFonts w:ascii="Times New Roman" w:hAnsi="Times New Roman" w:cs="Times New Roman"/>
          <w:sz w:val="24"/>
          <w:szCs w:val="24"/>
          <w:lang w:val="en-GB"/>
        </w:rPr>
        <w:t>e the company</w:t>
      </w:r>
      <w:r w:rsidR="00D518E3" w:rsidRPr="00AE77D4">
        <w:rPr>
          <w:rFonts w:ascii="Times New Roman" w:hAnsi="Times New Roman" w:cs="Times New Roman"/>
          <w:sz w:val="24"/>
          <w:szCs w:val="24"/>
          <w:lang w:val="en-GB"/>
        </w:rPr>
        <w:t>'</w:t>
      </w:r>
      <w:r w:rsidRPr="00AE77D4">
        <w:rPr>
          <w:rFonts w:ascii="Times New Roman" w:hAnsi="Times New Roman" w:cs="Times New Roman"/>
          <w:sz w:val="24"/>
          <w:szCs w:val="24"/>
          <w:lang w:val="en-GB"/>
        </w:rPr>
        <w:t>s performance (</w:t>
      </w:r>
      <w:r w:rsidR="00B470D8" w:rsidRPr="00AE77D4">
        <w:rPr>
          <w:rFonts w:ascii="Times New Roman" w:hAnsi="Times New Roman" w:cs="Times New Roman"/>
          <w:sz w:val="24"/>
          <w:szCs w:val="24"/>
          <w:shd w:val="clear" w:color="auto" w:fill="FFFFFF"/>
          <w:lang w:val="en-GB"/>
        </w:rPr>
        <w:t>Al Amosh &amp; Khatib, 2021</w:t>
      </w:r>
      <w:r w:rsidR="00131AE7" w:rsidRPr="00AE77D4">
        <w:rPr>
          <w:rFonts w:ascii="Times New Roman" w:hAnsi="Times New Roman" w:cs="Times New Roman"/>
          <w:sz w:val="24"/>
          <w:szCs w:val="24"/>
          <w:shd w:val="clear" w:color="auto" w:fill="FFFFFF"/>
          <w:lang w:val="en-GB"/>
        </w:rPr>
        <w:t xml:space="preserve">; </w:t>
      </w:r>
      <w:r w:rsidR="00131AE7" w:rsidRPr="00AE77D4">
        <w:rPr>
          <w:rFonts w:ascii="Times New Roman" w:hAnsi="Times New Roman" w:cs="Times New Roman"/>
          <w:sz w:val="24"/>
          <w:szCs w:val="24"/>
          <w:lang w:val="en-GB"/>
        </w:rPr>
        <w:t>Karim et al., 2021</w:t>
      </w:r>
      <w:r w:rsidRPr="00AE77D4">
        <w:rPr>
          <w:rFonts w:ascii="Times New Roman" w:hAnsi="Times New Roman" w:cs="Times New Roman"/>
          <w:sz w:val="24"/>
          <w:szCs w:val="24"/>
          <w:lang w:val="en-GB"/>
        </w:rPr>
        <w:t>)</w:t>
      </w:r>
      <w:r w:rsidR="006E4FCF" w:rsidRPr="00AE77D4">
        <w:rPr>
          <w:rFonts w:ascii="Times New Roman" w:hAnsi="Times New Roman" w:cs="Times New Roman"/>
          <w:sz w:val="24"/>
          <w:szCs w:val="24"/>
          <w:lang w:val="en-GB"/>
        </w:rPr>
        <w:t xml:space="preserve">. </w:t>
      </w:r>
      <w:r w:rsidR="008C754F" w:rsidRPr="00AE77D4">
        <w:rPr>
          <w:rFonts w:ascii="Times New Roman" w:hAnsi="Times New Roman" w:cs="Times New Roman"/>
          <w:sz w:val="24"/>
          <w:szCs w:val="24"/>
          <w:lang w:val="en-GB"/>
        </w:rPr>
        <w:t xml:space="preserve">In contrast, more frequent board meetings imply an inactive and futile board that is invasive to </w:t>
      </w:r>
      <w:r w:rsidRPr="00AE77D4">
        <w:rPr>
          <w:rFonts w:ascii="Times New Roman" w:eastAsia="Calibri" w:hAnsi="Times New Roman" w:cs="Times New Roman"/>
          <w:sz w:val="24"/>
          <w:szCs w:val="24"/>
          <w:lang w:val="en-GB"/>
        </w:rPr>
        <w:t>the CCD</w:t>
      </w:r>
      <w:r w:rsidR="0031393B" w:rsidRPr="00AE77D4">
        <w:rPr>
          <w:rFonts w:ascii="Times New Roman" w:hAnsi="Times New Roman" w:cs="Times New Roman"/>
          <w:sz w:val="24"/>
          <w:szCs w:val="24"/>
          <w:lang w:val="en-GB"/>
        </w:rPr>
        <w:t xml:space="preserve"> </w:t>
      </w:r>
      <w:r w:rsidR="00E879D3" w:rsidRPr="00AE77D4">
        <w:rPr>
          <w:rFonts w:ascii="Times New Roman" w:hAnsi="Times New Roman" w:cs="Times New Roman"/>
          <w:sz w:val="24"/>
          <w:szCs w:val="24"/>
          <w:lang w:val="en-GB"/>
        </w:rPr>
        <w:t>(Frias-Aceituno et al., 2013</w:t>
      </w:r>
      <w:r w:rsidRPr="00AE77D4">
        <w:rPr>
          <w:rFonts w:ascii="Times New Roman" w:hAnsi="Times New Roman" w:cs="Times New Roman"/>
          <w:sz w:val="24"/>
          <w:szCs w:val="24"/>
          <w:lang w:val="en-GB"/>
        </w:rPr>
        <w:t xml:space="preserve">). </w:t>
      </w:r>
      <w:r w:rsidR="0067700A" w:rsidRPr="00AE77D4">
        <w:rPr>
          <w:rFonts w:ascii="Times New Roman" w:hAnsi="Times New Roman" w:cs="Times New Roman"/>
          <w:sz w:val="24"/>
          <w:szCs w:val="24"/>
          <w:lang w:val="en-GB"/>
        </w:rPr>
        <w:t>However</w:t>
      </w:r>
      <w:r w:rsidRPr="00AE77D4">
        <w:rPr>
          <w:rFonts w:ascii="Times New Roman" w:hAnsi="Times New Roman" w:cs="Times New Roman"/>
          <w:sz w:val="24"/>
          <w:szCs w:val="24"/>
          <w:lang w:val="en-GB"/>
        </w:rPr>
        <w:t xml:space="preserve">, other studies have reported no </w:t>
      </w:r>
      <w:r w:rsidR="00F8069F" w:rsidRPr="00AE77D4">
        <w:rPr>
          <w:rFonts w:ascii="Times New Roman" w:hAnsi="Times New Roman" w:cs="Times New Roman"/>
          <w:sz w:val="24"/>
          <w:szCs w:val="24"/>
          <w:lang w:val="en-GB"/>
        </w:rPr>
        <w:t>association</w:t>
      </w:r>
      <w:r w:rsidRPr="00AE77D4">
        <w:rPr>
          <w:rFonts w:ascii="Times New Roman" w:hAnsi="Times New Roman" w:cs="Times New Roman"/>
          <w:sz w:val="24"/>
          <w:szCs w:val="24"/>
          <w:lang w:val="en-GB"/>
        </w:rPr>
        <w:t xml:space="preserve"> between </w:t>
      </w:r>
      <w:r w:rsidR="006A7244" w:rsidRPr="00AE77D4">
        <w:rPr>
          <w:rFonts w:ascii="Times New Roman" w:hAnsi="Times New Roman" w:cs="Times New Roman"/>
          <w:sz w:val="24"/>
          <w:szCs w:val="24"/>
          <w:lang w:val="en-GB"/>
        </w:rPr>
        <w:t xml:space="preserve">the </w:t>
      </w:r>
      <w:r w:rsidR="0067700A" w:rsidRPr="00AE77D4">
        <w:rPr>
          <w:rFonts w:ascii="Times New Roman" w:hAnsi="Times New Roman" w:cs="Times New Roman"/>
          <w:sz w:val="24"/>
          <w:szCs w:val="24"/>
          <w:lang w:val="en-GB"/>
        </w:rPr>
        <w:t>frequency</w:t>
      </w:r>
      <w:r w:rsidRPr="00AE77D4">
        <w:rPr>
          <w:rFonts w:ascii="Times New Roman" w:hAnsi="Times New Roman" w:cs="Times New Roman"/>
          <w:sz w:val="24"/>
          <w:szCs w:val="24"/>
          <w:lang w:val="en-GB"/>
        </w:rPr>
        <w:t xml:space="preserve"> of board meetings and </w:t>
      </w:r>
      <w:r w:rsidR="008A29CA" w:rsidRPr="00AE77D4">
        <w:rPr>
          <w:rFonts w:ascii="Times New Roman" w:hAnsi="Times New Roman" w:cs="Times New Roman"/>
          <w:sz w:val="24"/>
          <w:szCs w:val="24"/>
          <w:lang w:val="en-GB"/>
        </w:rPr>
        <w:t xml:space="preserve">CCD </w:t>
      </w:r>
      <w:r w:rsidRPr="00AE77D4">
        <w:rPr>
          <w:rFonts w:ascii="Times New Roman" w:hAnsi="Times New Roman" w:cs="Times New Roman"/>
          <w:sz w:val="24"/>
          <w:szCs w:val="24"/>
          <w:lang w:val="en-GB"/>
        </w:rPr>
        <w:t>(</w:t>
      </w:r>
      <w:r w:rsidR="00C255E8" w:rsidRPr="00AE77D4">
        <w:rPr>
          <w:rFonts w:ascii="Times New Roman" w:hAnsi="Times New Roman" w:cs="Times New Roman"/>
          <w:sz w:val="24"/>
          <w:szCs w:val="24"/>
          <w:lang w:val="en-GB"/>
        </w:rPr>
        <w:t xml:space="preserve">Wang et al., 2022; </w:t>
      </w:r>
      <w:r w:rsidR="00950734" w:rsidRPr="00AE77D4">
        <w:rPr>
          <w:rFonts w:ascii="Times New Roman" w:hAnsi="Times New Roman" w:cs="Times New Roman"/>
          <w:sz w:val="24"/>
          <w:szCs w:val="24"/>
          <w:lang w:val="en-GB"/>
        </w:rPr>
        <w:t>Yusoff et al., 201</w:t>
      </w:r>
      <w:r w:rsidR="00075930" w:rsidRPr="00AE77D4">
        <w:rPr>
          <w:rFonts w:ascii="Times New Roman" w:hAnsi="Times New Roman" w:cs="Times New Roman"/>
          <w:sz w:val="24"/>
          <w:szCs w:val="24"/>
          <w:lang w:val="en-GB"/>
        </w:rPr>
        <w:t>9</w:t>
      </w:r>
      <w:r w:rsidR="00950734" w:rsidRPr="00AE77D4">
        <w:rPr>
          <w:rFonts w:ascii="Times New Roman" w:hAnsi="Times New Roman" w:cs="Times New Roman"/>
          <w:sz w:val="24"/>
          <w:szCs w:val="24"/>
          <w:lang w:val="en-GB"/>
        </w:rPr>
        <w:t>; Hussain et al., 2018</w:t>
      </w:r>
      <w:r w:rsidRPr="00AE77D4">
        <w:rPr>
          <w:rFonts w:ascii="Times New Roman" w:hAnsi="Times New Roman" w:cs="Times New Roman"/>
          <w:sz w:val="24"/>
          <w:szCs w:val="24"/>
          <w:lang w:val="en-GB"/>
        </w:rPr>
        <w:t xml:space="preserve">). </w:t>
      </w:r>
      <w:r w:rsidR="00D960FB" w:rsidRPr="00AE77D4">
        <w:rPr>
          <w:rFonts w:ascii="Times New Roman" w:hAnsi="Times New Roman" w:cs="Times New Roman"/>
          <w:sz w:val="24"/>
          <w:szCs w:val="24"/>
          <w:lang w:val="en-GB"/>
        </w:rPr>
        <w:t>I</w:t>
      </w:r>
      <w:r w:rsidR="004C3115" w:rsidRPr="00AE77D4">
        <w:rPr>
          <w:rFonts w:ascii="Times New Roman" w:hAnsi="Times New Roman" w:cs="Times New Roman"/>
          <w:sz w:val="24"/>
          <w:szCs w:val="24"/>
          <w:lang w:val="en-GB"/>
        </w:rPr>
        <w:t xml:space="preserve">n </w:t>
      </w:r>
      <w:r w:rsidR="00FA25C5" w:rsidRPr="00AE77D4">
        <w:rPr>
          <w:rFonts w:ascii="Times New Roman" w:hAnsi="Times New Roman" w:cs="Times New Roman"/>
          <w:sz w:val="24"/>
          <w:szCs w:val="24"/>
          <w:lang w:val="en-GB"/>
        </w:rPr>
        <w:t>Bangladesh</w:t>
      </w:r>
      <w:r w:rsidR="004C3115" w:rsidRPr="00AE77D4">
        <w:rPr>
          <w:rFonts w:ascii="Times New Roman" w:hAnsi="Times New Roman" w:cs="Times New Roman"/>
          <w:sz w:val="24"/>
          <w:szCs w:val="24"/>
          <w:lang w:val="en-GB"/>
        </w:rPr>
        <w:t>, the importance of board meeting</w:t>
      </w:r>
      <w:r w:rsidR="00931AD7" w:rsidRPr="00AE77D4">
        <w:rPr>
          <w:rFonts w:ascii="Times New Roman" w:hAnsi="Times New Roman" w:cs="Times New Roman"/>
          <w:sz w:val="24"/>
          <w:szCs w:val="24"/>
          <w:lang w:val="en-GB"/>
        </w:rPr>
        <w:t>s</w:t>
      </w:r>
      <w:r w:rsidR="004C3115" w:rsidRPr="00AE77D4">
        <w:rPr>
          <w:rFonts w:ascii="Times New Roman" w:hAnsi="Times New Roman" w:cs="Times New Roman"/>
          <w:sz w:val="24"/>
          <w:szCs w:val="24"/>
          <w:lang w:val="en-GB"/>
        </w:rPr>
        <w:t xml:space="preserve"> can also be found in </w:t>
      </w:r>
      <w:r w:rsidRPr="00AE77D4">
        <w:rPr>
          <w:rFonts w:ascii="Times New Roman" w:eastAsia="Calibri" w:hAnsi="Times New Roman" w:cs="Times New Roman"/>
          <w:sz w:val="24"/>
          <w:szCs w:val="24"/>
          <w:lang w:val="en-GB"/>
        </w:rPr>
        <w:t xml:space="preserve">the CG </w:t>
      </w:r>
      <w:r w:rsidR="00127B8F" w:rsidRPr="00AE77D4">
        <w:rPr>
          <w:rFonts w:ascii="Times New Roman" w:hAnsi="Times New Roman" w:cs="Times New Roman"/>
          <w:sz w:val="24"/>
          <w:szCs w:val="24"/>
          <w:lang w:val="en-GB"/>
        </w:rPr>
        <w:t xml:space="preserve">guidelines </w:t>
      </w:r>
      <w:r w:rsidR="004C3115" w:rsidRPr="00AE77D4">
        <w:rPr>
          <w:rFonts w:ascii="Times New Roman" w:hAnsi="Times New Roman" w:cs="Times New Roman"/>
          <w:sz w:val="24"/>
          <w:szCs w:val="24"/>
          <w:lang w:val="en-GB"/>
        </w:rPr>
        <w:t>(</w:t>
      </w:r>
      <w:r w:rsidR="00E0118E" w:rsidRPr="00AE77D4">
        <w:rPr>
          <w:rFonts w:ascii="Times New Roman" w:hAnsi="Times New Roman" w:cs="Times New Roman"/>
          <w:sz w:val="24"/>
          <w:szCs w:val="24"/>
          <w:lang w:val="en-GB"/>
        </w:rPr>
        <w:t>Securities and Exchange Commission</w:t>
      </w:r>
      <w:r w:rsidR="004C3115" w:rsidRPr="00AE77D4">
        <w:rPr>
          <w:rFonts w:ascii="Times New Roman" w:hAnsi="Times New Roman" w:cs="Times New Roman"/>
          <w:sz w:val="24"/>
          <w:szCs w:val="24"/>
          <w:lang w:val="en-GB"/>
        </w:rPr>
        <w:t>, 2012</w:t>
      </w:r>
      <w:r w:rsidR="00AB6800" w:rsidRPr="00AE77D4">
        <w:rPr>
          <w:rFonts w:ascii="Times New Roman" w:hAnsi="Times New Roman" w:cs="Times New Roman"/>
          <w:sz w:val="24"/>
          <w:szCs w:val="24"/>
          <w:lang w:val="en-GB"/>
        </w:rPr>
        <w:t xml:space="preserve">; </w:t>
      </w:r>
      <w:r w:rsidR="00E0118E" w:rsidRPr="00AE77D4">
        <w:rPr>
          <w:rFonts w:ascii="Times New Roman" w:hAnsi="Times New Roman" w:cs="Times New Roman"/>
          <w:sz w:val="24"/>
          <w:szCs w:val="24"/>
          <w:lang w:val="en-GB"/>
        </w:rPr>
        <w:t>Bangladesh Securities and Exchange Commission</w:t>
      </w:r>
      <w:r w:rsidR="00AB6800" w:rsidRPr="00AE77D4">
        <w:rPr>
          <w:rFonts w:ascii="Times New Roman" w:hAnsi="Times New Roman" w:cs="Times New Roman"/>
          <w:sz w:val="24"/>
          <w:szCs w:val="24"/>
          <w:lang w:val="en-GB"/>
        </w:rPr>
        <w:t>, 2018</w:t>
      </w:r>
      <w:r w:rsidR="004C3115" w:rsidRPr="00AE77D4">
        <w:rPr>
          <w:rFonts w:ascii="Times New Roman" w:hAnsi="Times New Roman" w:cs="Times New Roman"/>
          <w:sz w:val="24"/>
          <w:szCs w:val="24"/>
          <w:lang w:val="en-GB"/>
        </w:rPr>
        <w:t>)</w:t>
      </w:r>
      <w:r w:rsidR="001A07AE" w:rsidRPr="00AE77D4">
        <w:rPr>
          <w:rFonts w:ascii="Times New Roman" w:hAnsi="Times New Roman" w:cs="Times New Roman"/>
          <w:sz w:val="24"/>
          <w:szCs w:val="24"/>
          <w:lang w:val="en-GB"/>
        </w:rPr>
        <w:t xml:space="preserve">. </w:t>
      </w:r>
      <w:r w:rsidR="00AC1C87" w:rsidRPr="00AE77D4">
        <w:rPr>
          <w:rFonts w:ascii="Times New Roman" w:hAnsi="Times New Roman" w:cs="Times New Roman"/>
          <w:sz w:val="24"/>
          <w:szCs w:val="24"/>
          <w:lang w:val="en-GB"/>
        </w:rPr>
        <w:t>Therefore</w:t>
      </w:r>
      <w:r w:rsidRPr="00AE77D4">
        <w:rPr>
          <w:rFonts w:ascii="Times New Roman" w:hAnsi="Times New Roman" w:cs="Times New Roman"/>
          <w:sz w:val="24"/>
          <w:szCs w:val="24"/>
          <w:lang w:val="en-GB"/>
        </w:rPr>
        <w:t>, we assume there is a need for frequent board meetings to oversee the integration of a b</w:t>
      </w:r>
      <w:r w:rsidR="00931AD7" w:rsidRPr="00AE77D4">
        <w:rPr>
          <w:rFonts w:ascii="Times New Roman" w:hAnsi="Times New Roman" w:cs="Times New Roman"/>
          <w:sz w:val="24"/>
          <w:szCs w:val="24"/>
          <w:lang w:val="en-GB"/>
        </w:rPr>
        <w:t>oar</w:t>
      </w:r>
      <w:r w:rsidRPr="00AE77D4">
        <w:rPr>
          <w:rFonts w:ascii="Times New Roman" w:hAnsi="Times New Roman" w:cs="Times New Roman"/>
          <w:sz w:val="24"/>
          <w:szCs w:val="24"/>
          <w:lang w:val="en-GB"/>
        </w:rPr>
        <w:t xml:space="preserve">d regarding </w:t>
      </w:r>
      <w:r w:rsidR="001A1209" w:rsidRPr="00AE77D4">
        <w:rPr>
          <w:rFonts w:ascii="Times New Roman" w:hAnsi="Times New Roman" w:cs="Times New Roman"/>
          <w:sz w:val="24"/>
          <w:szCs w:val="24"/>
          <w:lang w:val="en-GB"/>
        </w:rPr>
        <w:t>CCD</w:t>
      </w:r>
      <w:r w:rsidR="001248CB" w:rsidRPr="00AE77D4">
        <w:rPr>
          <w:rFonts w:ascii="Times New Roman" w:hAnsi="Times New Roman" w:cs="Times New Roman"/>
          <w:sz w:val="24"/>
          <w:szCs w:val="24"/>
          <w:lang w:val="en-GB"/>
        </w:rPr>
        <w:t>, and</w:t>
      </w:r>
      <w:r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propose the following hypothesis</w:t>
      </w:r>
      <w:r w:rsidRPr="00AE77D4">
        <w:rPr>
          <w:rFonts w:ascii="Times New Roman" w:hAnsi="Times New Roman" w:cs="Times New Roman"/>
          <w:sz w:val="24"/>
          <w:szCs w:val="24"/>
          <w:lang w:val="en-GB"/>
        </w:rPr>
        <w:t>:</w:t>
      </w:r>
    </w:p>
    <w:p w14:paraId="4167A0B0" w14:textId="0CDFE59A" w:rsidR="0052690B"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sz w:val="24"/>
          <w:szCs w:val="24"/>
          <w:lang w:val="en-GB"/>
        </w:rPr>
        <w:t>H5</w:t>
      </w:r>
      <w:r w:rsidR="00C166AE" w:rsidRPr="00AE77D4">
        <w:rPr>
          <w:rFonts w:ascii="Times New Roman" w:hAnsi="Times New Roman" w:cs="Times New Roman"/>
          <w:sz w:val="24"/>
          <w:szCs w:val="24"/>
          <w:lang w:val="en-GB"/>
        </w:rPr>
        <w:t xml:space="preserve">: There is a positive </w:t>
      </w:r>
      <w:r w:rsidR="007E760A" w:rsidRPr="00AE77D4">
        <w:rPr>
          <w:rFonts w:ascii="Times New Roman" w:hAnsi="Times New Roman" w:cs="Times New Roman"/>
          <w:sz w:val="24"/>
          <w:szCs w:val="24"/>
          <w:lang w:val="en-GB"/>
        </w:rPr>
        <w:t xml:space="preserve">relationship </w:t>
      </w:r>
      <w:r w:rsidR="00C166AE" w:rsidRPr="00AE77D4">
        <w:rPr>
          <w:rFonts w:ascii="Times New Roman" w:hAnsi="Times New Roman" w:cs="Times New Roman"/>
          <w:sz w:val="24"/>
          <w:szCs w:val="24"/>
          <w:lang w:val="en-GB"/>
        </w:rPr>
        <w:t xml:space="preserve">between </w:t>
      </w:r>
      <w:r w:rsidR="00BD4F61" w:rsidRPr="00AE77D4">
        <w:rPr>
          <w:rFonts w:ascii="Times New Roman" w:hAnsi="Times New Roman" w:cs="Times New Roman"/>
          <w:sz w:val="24"/>
          <w:szCs w:val="24"/>
          <w:lang w:val="en-GB"/>
        </w:rPr>
        <w:t xml:space="preserve">the number of </w:t>
      </w:r>
      <w:r w:rsidR="00C166AE" w:rsidRPr="00AE77D4">
        <w:rPr>
          <w:rFonts w:ascii="Times New Roman" w:hAnsi="Times New Roman" w:cs="Times New Roman"/>
          <w:sz w:val="24"/>
          <w:szCs w:val="24"/>
          <w:lang w:val="en-GB"/>
        </w:rPr>
        <w:t>board meeting</w:t>
      </w:r>
      <w:r w:rsidR="00BD4F61" w:rsidRPr="00AE77D4">
        <w:rPr>
          <w:rFonts w:ascii="Times New Roman" w:hAnsi="Times New Roman" w:cs="Times New Roman"/>
          <w:sz w:val="24"/>
          <w:szCs w:val="24"/>
          <w:lang w:val="en-GB"/>
        </w:rPr>
        <w:t>s</w:t>
      </w:r>
      <w:r w:rsidR="00C166AE" w:rsidRPr="00AE77D4">
        <w:rPr>
          <w:rFonts w:ascii="Times New Roman" w:hAnsi="Times New Roman" w:cs="Times New Roman"/>
          <w:sz w:val="24"/>
          <w:szCs w:val="24"/>
          <w:lang w:val="en-GB"/>
        </w:rPr>
        <w:t xml:space="preserve"> and level of </w:t>
      </w:r>
      <w:r w:rsidR="001A1209" w:rsidRPr="00AE77D4">
        <w:rPr>
          <w:rFonts w:ascii="Times New Roman" w:hAnsi="Times New Roman" w:cs="Times New Roman"/>
          <w:sz w:val="24"/>
          <w:szCs w:val="24"/>
          <w:lang w:val="en-GB"/>
        </w:rPr>
        <w:t xml:space="preserve">climate change </w:t>
      </w:r>
      <w:r w:rsidR="00931AD7" w:rsidRPr="00AE77D4">
        <w:rPr>
          <w:rFonts w:ascii="Times New Roman" w:hAnsi="Times New Roman" w:cs="Times New Roman"/>
          <w:sz w:val="24"/>
          <w:szCs w:val="24"/>
          <w:lang w:val="en-GB"/>
        </w:rPr>
        <w:t>disclosure</w:t>
      </w:r>
      <w:r w:rsidR="00C166AE" w:rsidRPr="00AE77D4">
        <w:rPr>
          <w:rFonts w:ascii="Times New Roman" w:hAnsi="Times New Roman" w:cs="Times New Roman"/>
          <w:sz w:val="24"/>
          <w:szCs w:val="24"/>
          <w:lang w:val="en-GB"/>
        </w:rPr>
        <w:t>.</w:t>
      </w:r>
    </w:p>
    <w:p w14:paraId="3F8C5C79" w14:textId="68A50DFF" w:rsidR="00C166AE"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4</w:t>
      </w:r>
      <w:r w:rsidR="00BE6B4F" w:rsidRPr="00AE77D4">
        <w:rPr>
          <w:rFonts w:ascii="Times New Roman" w:hAnsi="Times New Roman" w:cs="Times New Roman"/>
          <w:b/>
          <w:sz w:val="24"/>
          <w:szCs w:val="24"/>
          <w:lang w:val="en-GB"/>
        </w:rPr>
        <w:t xml:space="preserve">.6 </w:t>
      </w:r>
      <w:r w:rsidR="00082A99" w:rsidRPr="00AE77D4">
        <w:rPr>
          <w:rFonts w:ascii="Times New Roman" w:hAnsi="Times New Roman" w:cs="Times New Roman"/>
          <w:b/>
          <w:sz w:val="24"/>
          <w:szCs w:val="24"/>
          <w:lang w:val="en-GB"/>
        </w:rPr>
        <w:t xml:space="preserve">The effect of CEO duality on the climate change disclosures </w:t>
      </w:r>
    </w:p>
    <w:p w14:paraId="06C47450" w14:textId="14D40DC2" w:rsidR="00C166AE" w:rsidRPr="00AE77D4" w:rsidRDefault="00661A05" w:rsidP="00AE77D4">
      <w:pPr>
        <w:autoSpaceDE w:val="0"/>
        <w:autoSpaceDN w:val="0"/>
        <w:adjustRightInd w:val="0"/>
        <w:spacing w:after="0" w:line="276" w:lineRule="auto"/>
        <w:jc w:val="both"/>
        <w:rPr>
          <w:rFonts w:ascii="Times New Roman" w:hAnsi="Times New Roman" w:cs="Times New Roman"/>
          <w:sz w:val="24"/>
          <w:szCs w:val="24"/>
          <w:lang w:val="en-GB" w:bidi="bn-BD"/>
        </w:rPr>
      </w:pPr>
      <w:r w:rsidRPr="00AE77D4">
        <w:rPr>
          <w:rFonts w:ascii="Times New Roman" w:hAnsi="Times New Roman" w:cs="Times New Roman"/>
          <w:sz w:val="24"/>
          <w:szCs w:val="24"/>
          <w:lang w:val="en-GB"/>
        </w:rPr>
        <w:t>CEO duality occurs when a firm engages the same person as</w:t>
      </w:r>
      <w:r w:rsidR="005943ED" w:rsidRPr="00AE77D4">
        <w:rPr>
          <w:rFonts w:ascii="Times New Roman" w:hAnsi="Times New Roman" w:cs="Times New Roman"/>
          <w:sz w:val="24"/>
          <w:szCs w:val="24"/>
          <w:lang w:val="en-GB"/>
        </w:rPr>
        <w:t xml:space="preserve"> its</w:t>
      </w:r>
      <w:r w:rsidR="005943ED" w:rsidRPr="00AE77D4">
        <w:rPr>
          <w:rFonts w:ascii="Times New Roman" w:eastAsia="TimesNewRoman" w:hAnsi="Times New Roman" w:cs="Times New Roman"/>
          <w:sz w:val="24"/>
          <w:szCs w:val="24"/>
          <w:lang w:val="en-GB" w:bidi="bn-BD"/>
        </w:rPr>
        <w:t xml:space="preserve"> </w:t>
      </w:r>
      <w:r w:rsidR="0083452A" w:rsidRPr="00AE77D4">
        <w:rPr>
          <w:rFonts w:ascii="Times New Roman" w:eastAsia="TimesNewRoman" w:hAnsi="Times New Roman" w:cs="Times New Roman"/>
          <w:sz w:val="24"/>
          <w:szCs w:val="24"/>
          <w:lang w:val="en-GB" w:bidi="bn-BD"/>
        </w:rPr>
        <w:t xml:space="preserve">Chairman of the Board, Managing Director, and/or Chief Executive Officer, </w:t>
      </w:r>
      <w:r w:rsidRPr="00AE77D4">
        <w:rPr>
          <w:rFonts w:ascii="Times New Roman" w:hAnsi="Times New Roman" w:cs="Times New Roman"/>
          <w:sz w:val="24"/>
          <w:szCs w:val="24"/>
          <w:lang w:val="en-GB"/>
        </w:rPr>
        <w:t xml:space="preserve">which </w:t>
      </w:r>
      <w:r w:rsidR="00DB1420" w:rsidRPr="00AE77D4">
        <w:rPr>
          <w:rFonts w:ascii="Times New Roman" w:hAnsi="Times New Roman" w:cs="Times New Roman"/>
          <w:sz w:val="24"/>
          <w:szCs w:val="24"/>
          <w:lang w:val="en-GB"/>
        </w:rPr>
        <w:t>tends</w:t>
      </w:r>
      <w:r w:rsidR="008F0D1A" w:rsidRPr="00AE77D4">
        <w:rPr>
          <w:rFonts w:ascii="Times New Roman" w:hAnsi="Times New Roman" w:cs="Times New Roman"/>
          <w:sz w:val="24"/>
          <w:szCs w:val="24"/>
          <w:lang w:val="en-GB"/>
        </w:rPr>
        <w:t xml:space="preserve"> to lead</w:t>
      </w:r>
      <w:r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to a centrali</w:t>
      </w:r>
      <w:r w:rsidR="00D518E3" w:rsidRPr="00AE77D4">
        <w:rPr>
          <w:rFonts w:ascii="Times New Roman" w:hAnsi="Times New Roman" w:cs="Times New Roman"/>
          <w:sz w:val="24"/>
          <w:szCs w:val="24"/>
          <w:lang w:val="en-GB"/>
        </w:rPr>
        <w:t>z</w:t>
      </w:r>
      <w:r w:rsidRPr="00AE77D4">
        <w:rPr>
          <w:rFonts w:ascii="Times New Roman" w:hAnsi="Times New Roman" w:cs="Times New Roman"/>
          <w:sz w:val="24"/>
          <w:szCs w:val="24"/>
          <w:lang w:val="en-GB"/>
        </w:rPr>
        <w:t>ation of power</w:t>
      </w:r>
      <w:r w:rsidR="003E7365" w:rsidRPr="00AE77D4">
        <w:rPr>
          <w:rFonts w:ascii="Times New Roman" w:hAnsi="Times New Roman" w:cs="Times New Roman"/>
          <w:sz w:val="24"/>
          <w:szCs w:val="24"/>
          <w:lang w:val="en-GB"/>
        </w:rPr>
        <w:t xml:space="preserve">, compromising </w:t>
      </w:r>
      <w:r w:rsidR="000C0409" w:rsidRPr="00AE77D4">
        <w:rPr>
          <w:rFonts w:ascii="Times New Roman" w:hAnsi="Times New Roman" w:cs="Times New Roman"/>
          <w:sz w:val="24"/>
          <w:szCs w:val="24"/>
          <w:lang w:val="en-GB"/>
        </w:rPr>
        <w:t>governance</w:t>
      </w:r>
      <w:r w:rsidR="003E7365" w:rsidRPr="00AE77D4">
        <w:rPr>
          <w:rFonts w:ascii="Times New Roman" w:hAnsi="Times New Roman" w:cs="Times New Roman"/>
          <w:sz w:val="24"/>
          <w:szCs w:val="24"/>
          <w:lang w:val="en-GB"/>
        </w:rPr>
        <w:t xml:space="preserve">, contrasting board </w:t>
      </w:r>
      <w:r w:rsidR="004627E4" w:rsidRPr="00AE77D4">
        <w:rPr>
          <w:rFonts w:ascii="Times New Roman" w:hAnsi="Times New Roman" w:cs="Times New Roman"/>
          <w:sz w:val="24"/>
          <w:szCs w:val="24"/>
          <w:lang w:val="en-GB"/>
        </w:rPr>
        <w:t>independence,</w:t>
      </w:r>
      <w:r w:rsidRPr="00AE77D4">
        <w:rPr>
          <w:rFonts w:ascii="Times New Roman" w:hAnsi="Times New Roman" w:cs="Times New Roman"/>
          <w:sz w:val="24"/>
          <w:szCs w:val="24"/>
          <w:lang w:val="en-GB"/>
        </w:rPr>
        <w:t xml:space="preserve"> and </w:t>
      </w:r>
      <w:r w:rsidR="00EF60F8" w:rsidRPr="00AE77D4">
        <w:rPr>
          <w:rFonts w:ascii="Times New Roman" w:hAnsi="Times New Roman" w:cs="Times New Roman"/>
          <w:sz w:val="24"/>
          <w:szCs w:val="24"/>
          <w:lang w:val="en-GB"/>
        </w:rPr>
        <w:t xml:space="preserve">creating </w:t>
      </w:r>
      <w:r w:rsidRPr="00AE77D4">
        <w:rPr>
          <w:rFonts w:ascii="Times New Roman" w:hAnsi="Times New Roman" w:cs="Times New Roman"/>
          <w:sz w:val="24"/>
          <w:szCs w:val="24"/>
          <w:lang w:val="en-GB"/>
        </w:rPr>
        <w:t>self-utility-maximi</w:t>
      </w:r>
      <w:r w:rsidR="00D518E3" w:rsidRPr="00AE77D4">
        <w:rPr>
          <w:rFonts w:ascii="Times New Roman" w:hAnsi="Times New Roman" w:cs="Times New Roman"/>
          <w:sz w:val="24"/>
          <w:szCs w:val="24"/>
          <w:lang w:val="en-GB"/>
        </w:rPr>
        <w:t>z</w:t>
      </w:r>
      <w:r w:rsidRPr="00AE77D4">
        <w:rPr>
          <w:rFonts w:ascii="Times New Roman" w:hAnsi="Times New Roman" w:cs="Times New Roman"/>
          <w:sz w:val="24"/>
          <w:szCs w:val="24"/>
          <w:lang w:val="en-GB"/>
        </w:rPr>
        <w:t xml:space="preserve">ing attitudes </w:t>
      </w:r>
      <w:r w:rsidR="003E7365" w:rsidRPr="00AE77D4">
        <w:rPr>
          <w:rFonts w:ascii="Times New Roman" w:hAnsi="Times New Roman" w:cs="Times New Roman"/>
          <w:sz w:val="24"/>
          <w:szCs w:val="24"/>
          <w:lang w:val="en-GB" w:bidi="bn-BD"/>
        </w:rPr>
        <w:t>over the decision-making process</w:t>
      </w:r>
      <w:r w:rsidRPr="00AE77D4">
        <w:rPr>
          <w:rFonts w:ascii="Times New Roman" w:hAnsi="Times New Roman" w:cs="Times New Roman"/>
          <w:sz w:val="24"/>
          <w:szCs w:val="24"/>
          <w:lang w:val="en-GB"/>
        </w:rPr>
        <w:t xml:space="preserve"> (Dalton </w:t>
      </w:r>
      <w:r w:rsidR="0096580D" w:rsidRPr="00AE77D4">
        <w:rPr>
          <w:rFonts w:ascii="Times New Roman" w:hAnsi="Times New Roman" w:cs="Times New Roman"/>
          <w:sz w:val="24"/>
          <w:szCs w:val="24"/>
          <w:lang w:val="en-GB"/>
        </w:rPr>
        <w:t xml:space="preserve">&amp; </w:t>
      </w:r>
      <w:r w:rsidRPr="00AE77D4">
        <w:rPr>
          <w:rFonts w:ascii="Times New Roman" w:hAnsi="Times New Roman" w:cs="Times New Roman"/>
          <w:sz w:val="24"/>
          <w:szCs w:val="24"/>
          <w:lang w:val="en-GB"/>
        </w:rPr>
        <w:t xml:space="preserve">Dalton, 2005). </w:t>
      </w:r>
      <w:r w:rsidR="003A4FB6" w:rsidRPr="00AE77D4">
        <w:rPr>
          <w:rFonts w:ascii="Times New Roman" w:hAnsi="Times New Roman" w:cs="Times New Roman"/>
          <w:sz w:val="24"/>
          <w:szCs w:val="24"/>
          <w:lang w:val="en-GB"/>
        </w:rPr>
        <w:t xml:space="preserve">Theoretically, neo-institutionalism postulates that the </w:t>
      </w:r>
      <w:r w:rsidR="003A4FB6" w:rsidRPr="00AE77D4">
        <w:rPr>
          <w:rFonts w:ascii="Times New Roman" w:eastAsia="TimesNewRoman" w:hAnsi="Times New Roman" w:cs="Times New Roman"/>
          <w:sz w:val="24"/>
          <w:szCs w:val="24"/>
          <w:lang w:val="en-GB" w:bidi="bn-BD"/>
        </w:rPr>
        <w:t xml:space="preserve">chairperson </w:t>
      </w:r>
      <w:r w:rsidR="003A4FB6" w:rsidRPr="00AE77D4">
        <w:rPr>
          <w:rFonts w:ascii="Times New Roman" w:hAnsi="Times New Roman" w:cs="Times New Roman"/>
          <w:sz w:val="24"/>
          <w:szCs w:val="24"/>
          <w:lang w:val="en-GB"/>
        </w:rPr>
        <w:t xml:space="preserve">of the board is a crucial person who monitors the activities of top management such as the CEO (Greenwood et al., 2013). </w:t>
      </w:r>
      <w:r w:rsidRPr="00AE77D4">
        <w:rPr>
          <w:rFonts w:ascii="Times New Roman" w:hAnsi="Times New Roman" w:cs="Times New Roman"/>
          <w:sz w:val="24"/>
          <w:szCs w:val="24"/>
          <w:lang w:val="en-GB"/>
        </w:rPr>
        <w:t xml:space="preserve">Moreover, </w:t>
      </w:r>
      <w:r w:rsidR="00BE2A3A" w:rsidRPr="00AE77D4">
        <w:rPr>
          <w:rFonts w:ascii="Times New Roman" w:hAnsi="Times New Roman" w:cs="Times New Roman"/>
          <w:sz w:val="24"/>
          <w:szCs w:val="24"/>
          <w:lang w:val="en-GB"/>
        </w:rPr>
        <w:t xml:space="preserve">when </w:t>
      </w:r>
      <w:r w:rsidR="00931AD7" w:rsidRPr="00AE77D4">
        <w:rPr>
          <w:rFonts w:ascii="Times New Roman" w:hAnsi="Times New Roman" w:cs="Times New Roman"/>
          <w:sz w:val="24"/>
          <w:szCs w:val="24"/>
          <w:lang w:val="en-GB"/>
        </w:rPr>
        <w:t>the</w:t>
      </w:r>
      <w:r w:rsidR="00BC5DF4" w:rsidRPr="00AE77D4">
        <w:rPr>
          <w:rFonts w:ascii="Times New Roman" w:hAnsi="Times New Roman" w:cs="Times New Roman"/>
          <w:sz w:val="24"/>
          <w:szCs w:val="24"/>
          <w:lang w:val="en-GB"/>
        </w:rPr>
        <w:t xml:space="preserve"> same person </w:t>
      </w:r>
      <w:r w:rsidR="00931AD7" w:rsidRPr="00AE77D4">
        <w:rPr>
          <w:rFonts w:ascii="Times New Roman" w:hAnsi="Times New Roman" w:cs="Times New Roman"/>
          <w:sz w:val="24"/>
          <w:szCs w:val="24"/>
          <w:lang w:val="en-GB"/>
        </w:rPr>
        <w:t xml:space="preserve">includes </w:t>
      </w:r>
      <w:r w:rsidR="00BE2A3A" w:rsidRPr="00AE77D4">
        <w:rPr>
          <w:rFonts w:ascii="Times New Roman" w:hAnsi="Times New Roman" w:cs="Times New Roman"/>
          <w:sz w:val="24"/>
          <w:szCs w:val="24"/>
          <w:lang w:val="en-GB"/>
        </w:rPr>
        <w:t xml:space="preserve">the </w:t>
      </w:r>
      <w:r w:rsidR="006F05F9" w:rsidRPr="00AE77D4">
        <w:rPr>
          <w:rFonts w:ascii="Times New Roman" w:eastAsia="TimesNewRoman" w:hAnsi="Times New Roman" w:cs="Times New Roman"/>
          <w:sz w:val="24"/>
          <w:szCs w:val="24"/>
          <w:lang w:val="en-GB" w:bidi="bn-BD"/>
        </w:rPr>
        <w:t xml:space="preserve">chairperson </w:t>
      </w:r>
      <w:r w:rsidR="00BE2A3A" w:rsidRPr="00AE77D4">
        <w:rPr>
          <w:rFonts w:ascii="Times New Roman" w:hAnsi="Times New Roman" w:cs="Times New Roman"/>
          <w:sz w:val="24"/>
          <w:szCs w:val="24"/>
          <w:lang w:val="en-GB"/>
        </w:rPr>
        <w:t xml:space="preserve">of the board </w:t>
      </w:r>
      <w:r w:rsidR="00BC5DF4" w:rsidRPr="00AE77D4">
        <w:rPr>
          <w:rFonts w:ascii="Times New Roman" w:hAnsi="Times New Roman" w:cs="Times New Roman"/>
          <w:sz w:val="24"/>
          <w:szCs w:val="24"/>
          <w:lang w:val="en-GB"/>
        </w:rPr>
        <w:t>and</w:t>
      </w:r>
      <w:r w:rsidR="00BE2A3A"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 xml:space="preserve">the CEO, the effectiveness of the board </w:t>
      </w:r>
      <w:r w:rsidR="00931AD7" w:rsidRPr="00AE77D4">
        <w:rPr>
          <w:rFonts w:ascii="Times New Roman" w:hAnsi="Times New Roman" w:cs="Times New Roman"/>
          <w:sz w:val="24"/>
          <w:szCs w:val="24"/>
          <w:lang w:val="en-GB"/>
        </w:rPr>
        <w:t>in monitoring</w:t>
      </w:r>
      <w:r w:rsidR="00BE2A3A" w:rsidRPr="00AE77D4">
        <w:rPr>
          <w:rFonts w:ascii="Times New Roman" w:hAnsi="Times New Roman" w:cs="Times New Roman"/>
          <w:sz w:val="24"/>
          <w:szCs w:val="24"/>
          <w:lang w:val="en-GB"/>
        </w:rPr>
        <w:t xml:space="preserve"> top management is </w:t>
      </w:r>
      <w:r w:rsidR="00BE2A3A" w:rsidRPr="00AE77D4">
        <w:rPr>
          <w:rFonts w:ascii="Times New Roman" w:hAnsi="Times New Roman" w:cs="Times New Roman"/>
          <w:sz w:val="24"/>
          <w:szCs w:val="24"/>
          <w:shd w:val="clear" w:color="auto" w:fill="FFFFFF"/>
          <w:lang w:val="en-GB"/>
        </w:rPr>
        <w:t>dwindle</w:t>
      </w:r>
      <w:r w:rsidR="00BE2A3A" w:rsidRPr="00AE77D4">
        <w:rPr>
          <w:rFonts w:ascii="Times New Roman" w:hAnsi="Times New Roman" w:cs="Times New Roman"/>
          <w:sz w:val="24"/>
          <w:szCs w:val="24"/>
          <w:lang w:val="en-GB"/>
        </w:rPr>
        <w:t>d due to the dominant power of the</w:t>
      </w:r>
      <w:r w:rsidR="00E1743B" w:rsidRPr="00AE77D4">
        <w:rPr>
          <w:rFonts w:ascii="Times New Roman" w:hAnsi="Times New Roman" w:cs="Times New Roman"/>
          <w:sz w:val="24"/>
          <w:szCs w:val="24"/>
          <w:lang w:val="en-GB"/>
        </w:rPr>
        <w:t xml:space="preserve"> </w:t>
      </w:r>
      <w:r w:rsidR="00721789" w:rsidRPr="00AE77D4">
        <w:rPr>
          <w:rFonts w:ascii="Times New Roman" w:eastAsia="TimesNewRoman" w:hAnsi="Times New Roman" w:cs="Times New Roman"/>
          <w:sz w:val="24"/>
          <w:szCs w:val="24"/>
          <w:lang w:val="en-GB" w:bidi="bn-BD"/>
        </w:rPr>
        <w:t>c</w:t>
      </w:r>
      <w:r w:rsidR="00BC5DF4" w:rsidRPr="00AE77D4">
        <w:rPr>
          <w:rFonts w:ascii="Times New Roman" w:eastAsia="TimesNewRoman" w:hAnsi="Times New Roman" w:cs="Times New Roman"/>
          <w:sz w:val="24"/>
          <w:szCs w:val="24"/>
          <w:lang w:val="en-GB" w:bidi="bn-BD"/>
        </w:rPr>
        <w:t>hairperson</w:t>
      </w:r>
      <w:r w:rsidRPr="00AE77D4">
        <w:rPr>
          <w:rFonts w:ascii="Times New Roman" w:eastAsia="TimesNewRoman" w:hAnsi="Times New Roman" w:cs="Times New Roman"/>
          <w:sz w:val="24"/>
          <w:szCs w:val="24"/>
          <w:lang w:val="en-GB"/>
        </w:rPr>
        <w:t>,</w:t>
      </w:r>
      <w:r w:rsidR="008377CD" w:rsidRPr="00AE77D4">
        <w:rPr>
          <w:rFonts w:ascii="Times New Roman" w:eastAsia="TimesNewRoman" w:hAnsi="Times New Roman" w:cs="Times New Roman"/>
          <w:sz w:val="24"/>
          <w:szCs w:val="24"/>
          <w:lang w:val="en-GB" w:bidi="bn-BD"/>
        </w:rPr>
        <w:t xml:space="preserve"> </w:t>
      </w:r>
      <w:r w:rsidR="00F9425A" w:rsidRPr="00AE77D4">
        <w:rPr>
          <w:rFonts w:ascii="Times New Roman" w:hAnsi="Times New Roman" w:cs="Times New Roman"/>
          <w:sz w:val="24"/>
          <w:szCs w:val="24"/>
          <w:lang w:val="en-GB"/>
        </w:rPr>
        <w:t>which</w:t>
      </w:r>
      <w:r w:rsidR="00BA2017" w:rsidRPr="00AE77D4">
        <w:rPr>
          <w:rFonts w:ascii="Times New Roman" w:hAnsi="Times New Roman" w:cs="Times New Roman"/>
          <w:sz w:val="24"/>
          <w:szCs w:val="24"/>
          <w:lang w:val="en-GB" w:bidi="bn-BD"/>
        </w:rPr>
        <w:t xml:space="preserve"> </w:t>
      </w:r>
      <w:r w:rsidR="00931AD7" w:rsidRPr="00AE77D4">
        <w:rPr>
          <w:rFonts w:ascii="Times New Roman" w:hAnsi="Times New Roman" w:cs="Times New Roman"/>
          <w:sz w:val="24"/>
          <w:szCs w:val="24"/>
          <w:lang w:val="en-GB" w:bidi="bn-BD"/>
        </w:rPr>
        <w:t>negatively correlates</w:t>
      </w:r>
      <w:r w:rsidR="00BA2017" w:rsidRPr="00AE77D4">
        <w:rPr>
          <w:rFonts w:ascii="Times New Roman" w:hAnsi="Times New Roman" w:cs="Times New Roman"/>
          <w:sz w:val="24"/>
          <w:szCs w:val="24"/>
          <w:lang w:val="en-GB" w:bidi="bn-BD"/>
        </w:rPr>
        <w:t xml:space="preserve"> with </w:t>
      </w:r>
      <w:r w:rsidR="00931AD7" w:rsidRPr="00AE77D4">
        <w:rPr>
          <w:rFonts w:ascii="Times New Roman" w:hAnsi="Times New Roman" w:cs="Times New Roman"/>
          <w:sz w:val="24"/>
          <w:szCs w:val="24"/>
          <w:lang w:val="en-GB" w:bidi="bn-BD"/>
        </w:rPr>
        <w:t xml:space="preserve">a </w:t>
      </w:r>
      <w:r w:rsidR="00BA2017" w:rsidRPr="00AE77D4">
        <w:rPr>
          <w:rFonts w:ascii="Times New Roman" w:hAnsi="Times New Roman" w:cs="Times New Roman"/>
          <w:sz w:val="24"/>
          <w:szCs w:val="24"/>
          <w:lang w:val="en-GB" w:bidi="bn-BD"/>
        </w:rPr>
        <w:t>firm</w:t>
      </w:r>
      <w:r w:rsidR="00D518E3" w:rsidRPr="00AE77D4">
        <w:rPr>
          <w:rFonts w:ascii="Times New Roman" w:hAnsi="Times New Roman" w:cs="Times New Roman"/>
          <w:sz w:val="24"/>
          <w:szCs w:val="24"/>
          <w:lang w:val="en-GB" w:bidi="bn-BD"/>
        </w:rPr>
        <w:t>'</w:t>
      </w:r>
      <w:r w:rsidR="00BA2017" w:rsidRPr="00AE77D4">
        <w:rPr>
          <w:rFonts w:ascii="Times New Roman" w:hAnsi="Times New Roman" w:cs="Times New Roman"/>
          <w:sz w:val="24"/>
          <w:szCs w:val="24"/>
          <w:lang w:val="en-GB" w:bidi="bn-BD"/>
        </w:rPr>
        <w:t xml:space="preserve">s </w:t>
      </w:r>
      <w:r w:rsidR="000B3540" w:rsidRPr="00AE77D4">
        <w:rPr>
          <w:rFonts w:ascii="Times New Roman" w:hAnsi="Times New Roman" w:cs="Times New Roman"/>
          <w:sz w:val="24"/>
          <w:szCs w:val="24"/>
          <w:lang w:val="en-GB" w:bidi="bn-BD"/>
        </w:rPr>
        <w:t>ability</w:t>
      </w:r>
      <w:r w:rsidR="007A1BF9" w:rsidRPr="00AE77D4">
        <w:rPr>
          <w:rFonts w:ascii="Times New Roman" w:hAnsi="Times New Roman" w:cs="Times New Roman"/>
          <w:sz w:val="24"/>
          <w:szCs w:val="24"/>
          <w:lang w:val="en-GB" w:bidi="bn-BD"/>
        </w:rPr>
        <w:t xml:space="preserve"> to </w:t>
      </w:r>
      <w:r w:rsidR="007A1BF9" w:rsidRPr="00AE77D4">
        <w:rPr>
          <w:rFonts w:ascii="Times New Roman" w:hAnsi="Times New Roman" w:cs="Times New Roman"/>
          <w:sz w:val="24"/>
          <w:szCs w:val="24"/>
          <w:lang w:val="en-GB"/>
        </w:rPr>
        <w:t>monitor quality</w:t>
      </w:r>
      <w:r w:rsidR="00973145" w:rsidRPr="00AE77D4">
        <w:rPr>
          <w:rFonts w:ascii="Times New Roman" w:hAnsi="Times New Roman" w:cs="Times New Roman"/>
          <w:sz w:val="24"/>
          <w:szCs w:val="24"/>
          <w:lang w:val="en-GB"/>
        </w:rPr>
        <w:t>,</w:t>
      </w:r>
      <w:r w:rsidR="007A1BF9" w:rsidRPr="00AE77D4">
        <w:rPr>
          <w:rFonts w:ascii="Times New Roman" w:hAnsi="Times New Roman" w:cs="Times New Roman"/>
          <w:sz w:val="24"/>
          <w:szCs w:val="24"/>
          <w:lang w:val="en-GB"/>
        </w:rPr>
        <w:t xml:space="preserve"> </w:t>
      </w:r>
      <w:r w:rsidR="004627E4" w:rsidRPr="00AE77D4">
        <w:rPr>
          <w:rFonts w:ascii="Times New Roman" w:hAnsi="Times New Roman" w:cs="Times New Roman"/>
          <w:sz w:val="24"/>
          <w:szCs w:val="24"/>
          <w:lang w:val="en-GB"/>
        </w:rPr>
        <w:t>accountability,</w:t>
      </w:r>
      <w:r w:rsidR="007A1BF9" w:rsidRPr="00AE77D4">
        <w:rPr>
          <w:rFonts w:ascii="Times New Roman" w:hAnsi="Times New Roman" w:cs="Times New Roman"/>
          <w:sz w:val="24"/>
          <w:szCs w:val="24"/>
          <w:lang w:val="en-GB"/>
        </w:rPr>
        <w:t xml:space="preserve"> and </w:t>
      </w:r>
      <w:r w:rsidR="007A1BF9" w:rsidRPr="00AE77D4">
        <w:rPr>
          <w:rFonts w:ascii="Times New Roman" w:hAnsi="Times New Roman" w:cs="Times New Roman"/>
          <w:sz w:val="24"/>
          <w:szCs w:val="24"/>
          <w:lang w:val="en-GB" w:bidi="bn-BD"/>
        </w:rPr>
        <w:t>sustainability practices</w:t>
      </w:r>
      <w:r w:rsidR="00D809B4" w:rsidRPr="00AE77D4">
        <w:rPr>
          <w:rFonts w:ascii="Times New Roman" w:hAnsi="Times New Roman" w:cs="Times New Roman"/>
          <w:sz w:val="24"/>
          <w:szCs w:val="24"/>
          <w:lang w:val="en-GB" w:bidi="bn-BD"/>
        </w:rPr>
        <w:t xml:space="preserve"> </w:t>
      </w:r>
      <w:r w:rsidR="00D809B4" w:rsidRPr="00AE77D4">
        <w:rPr>
          <w:rFonts w:ascii="Times New Roman" w:hAnsi="Times New Roman" w:cs="Times New Roman"/>
          <w:sz w:val="24"/>
          <w:szCs w:val="24"/>
          <w:lang w:val="en-GB"/>
        </w:rPr>
        <w:t>(</w:t>
      </w:r>
      <w:r w:rsidR="00937121" w:rsidRPr="00AE77D4">
        <w:rPr>
          <w:rFonts w:ascii="Times New Roman" w:hAnsi="Times New Roman" w:cs="Times New Roman"/>
          <w:noProof/>
          <w:sz w:val="24"/>
          <w:szCs w:val="24"/>
          <w:lang w:val="en-GB"/>
        </w:rPr>
        <w:t>Hussain et al., 2018</w:t>
      </w:r>
      <w:r w:rsidR="007A1BF9" w:rsidRPr="00AE77D4">
        <w:rPr>
          <w:rFonts w:ascii="Times New Roman" w:hAnsi="Times New Roman" w:cs="Times New Roman"/>
          <w:sz w:val="24"/>
          <w:szCs w:val="24"/>
          <w:lang w:val="en-GB"/>
        </w:rPr>
        <w:t>)</w:t>
      </w:r>
      <w:r w:rsidR="006C4E7A" w:rsidRPr="00AE77D4">
        <w:rPr>
          <w:rFonts w:ascii="Times New Roman" w:hAnsi="Times New Roman" w:cs="Times New Roman"/>
          <w:sz w:val="24"/>
          <w:szCs w:val="24"/>
          <w:lang w:val="en-GB"/>
        </w:rPr>
        <w:t>.</w:t>
      </w:r>
      <w:r w:rsidR="002A6351" w:rsidRPr="00AE77D4">
        <w:rPr>
          <w:rFonts w:ascii="Times New Roman" w:hAnsi="Times New Roman" w:cs="Times New Roman"/>
          <w:sz w:val="24"/>
          <w:szCs w:val="24"/>
          <w:lang w:val="en-GB"/>
        </w:rPr>
        <w:t xml:space="preserve"> </w:t>
      </w:r>
      <w:r w:rsidR="00977F15" w:rsidRPr="00AE77D4">
        <w:rPr>
          <w:rFonts w:ascii="Times New Roman" w:hAnsi="Times New Roman" w:cs="Times New Roman"/>
          <w:sz w:val="24"/>
          <w:szCs w:val="24"/>
          <w:lang w:val="en-GB"/>
        </w:rPr>
        <w:t xml:space="preserve">Therefore, it is recommended that a different individual fill </w:t>
      </w:r>
      <w:r w:rsidRPr="00AE77D4">
        <w:rPr>
          <w:rFonts w:ascii="Times New Roman" w:eastAsia="Calibri" w:hAnsi="Times New Roman" w:cs="Times New Roman"/>
          <w:sz w:val="24"/>
          <w:szCs w:val="24"/>
          <w:lang w:val="en-GB"/>
        </w:rPr>
        <w:t xml:space="preserve">in the </w:t>
      </w:r>
      <w:r w:rsidR="00977F15" w:rsidRPr="00AE77D4">
        <w:rPr>
          <w:rFonts w:ascii="Times New Roman" w:eastAsia="TimesNewRoman" w:hAnsi="Times New Roman" w:cs="Times New Roman"/>
          <w:sz w:val="24"/>
          <w:szCs w:val="24"/>
          <w:lang w:val="en-GB" w:bidi="bn-BD"/>
        </w:rPr>
        <w:t xml:space="preserve">positions of the Chairperson of the Board and the MD and/or CEO </w:t>
      </w:r>
      <w:r w:rsidR="00977F15" w:rsidRPr="00AE77D4">
        <w:rPr>
          <w:rFonts w:ascii="Times New Roman" w:hAnsi="Times New Roman" w:cs="Times New Roman"/>
          <w:sz w:val="24"/>
          <w:szCs w:val="24"/>
          <w:lang w:val="en-GB"/>
        </w:rPr>
        <w:t>(</w:t>
      </w:r>
      <w:r w:rsidR="00E0118E" w:rsidRPr="00AE77D4">
        <w:rPr>
          <w:rFonts w:ascii="Times New Roman" w:hAnsi="Times New Roman" w:cs="Times New Roman"/>
          <w:sz w:val="24"/>
          <w:szCs w:val="24"/>
          <w:lang w:val="en-GB"/>
        </w:rPr>
        <w:t>Securities and Exchange Commission</w:t>
      </w:r>
      <w:r w:rsidR="00977F15" w:rsidRPr="00AE77D4">
        <w:rPr>
          <w:rFonts w:ascii="Times New Roman" w:hAnsi="Times New Roman" w:cs="Times New Roman"/>
          <w:sz w:val="24"/>
          <w:szCs w:val="24"/>
          <w:lang w:val="en-GB"/>
        </w:rPr>
        <w:t>, 2012</w:t>
      </w:r>
      <w:r w:rsidR="00AB6800" w:rsidRPr="00AE77D4">
        <w:rPr>
          <w:rFonts w:ascii="Times New Roman" w:hAnsi="Times New Roman" w:cs="Times New Roman"/>
          <w:sz w:val="24"/>
          <w:szCs w:val="24"/>
          <w:lang w:val="en-GB"/>
        </w:rPr>
        <w:t xml:space="preserve">; </w:t>
      </w:r>
      <w:r w:rsidR="00E0118E" w:rsidRPr="00AE77D4">
        <w:rPr>
          <w:rFonts w:ascii="Times New Roman" w:hAnsi="Times New Roman" w:cs="Times New Roman"/>
          <w:sz w:val="24"/>
          <w:szCs w:val="24"/>
          <w:lang w:val="en-GB"/>
        </w:rPr>
        <w:t xml:space="preserve">Bangladesh Securities </w:t>
      </w:r>
      <w:r w:rsidR="00E0118E" w:rsidRPr="00AE77D4">
        <w:rPr>
          <w:rFonts w:ascii="Times New Roman" w:hAnsi="Times New Roman" w:cs="Times New Roman"/>
          <w:sz w:val="24"/>
          <w:szCs w:val="24"/>
          <w:lang w:val="en-GB"/>
        </w:rPr>
        <w:lastRenderedPageBreak/>
        <w:t>and Exchange Commission</w:t>
      </w:r>
      <w:r w:rsidR="00AB6800" w:rsidRPr="00AE77D4">
        <w:rPr>
          <w:rFonts w:ascii="Times New Roman" w:hAnsi="Times New Roman" w:cs="Times New Roman"/>
          <w:sz w:val="24"/>
          <w:szCs w:val="24"/>
          <w:lang w:val="en-GB"/>
        </w:rPr>
        <w:t>, 2018</w:t>
      </w:r>
      <w:r w:rsidR="00977F15" w:rsidRPr="00AE77D4">
        <w:rPr>
          <w:rFonts w:ascii="Times New Roman" w:hAnsi="Times New Roman" w:cs="Times New Roman"/>
          <w:sz w:val="24"/>
          <w:szCs w:val="24"/>
          <w:lang w:val="en-GB"/>
        </w:rPr>
        <w:t>).</w:t>
      </w:r>
      <w:r w:rsidR="003208C1" w:rsidRPr="00AE77D4">
        <w:rPr>
          <w:rFonts w:ascii="Times New Roman" w:hAnsi="Times New Roman" w:cs="Times New Roman"/>
          <w:sz w:val="24"/>
          <w:szCs w:val="24"/>
          <w:lang w:val="en-GB"/>
        </w:rPr>
        <w:t xml:space="preserve"> </w:t>
      </w:r>
      <w:r w:rsidRPr="00AE77D4">
        <w:rPr>
          <w:rFonts w:ascii="Times New Roman" w:hAnsi="Times New Roman" w:cs="Times New Roman"/>
          <w:sz w:val="24"/>
          <w:szCs w:val="24"/>
          <w:lang w:val="en-GB"/>
        </w:rPr>
        <w:t xml:space="preserve">Interestingly, </w:t>
      </w:r>
      <w:r w:rsidR="00087512" w:rsidRPr="00AE77D4">
        <w:rPr>
          <w:rFonts w:ascii="Times New Roman" w:hAnsi="Times New Roman" w:cs="Times New Roman"/>
          <w:sz w:val="24"/>
          <w:szCs w:val="24"/>
          <w:lang w:val="en-GB"/>
        </w:rPr>
        <w:t>few</w:t>
      </w:r>
      <w:r w:rsidR="007D5976" w:rsidRPr="00AE77D4">
        <w:rPr>
          <w:rFonts w:ascii="Times New Roman" w:hAnsi="Times New Roman" w:cs="Times New Roman"/>
          <w:sz w:val="24"/>
          <w:szCs w:val="24"/>
          <w:lang w:val="en-GB"/>
        </w:rPr>
        <w:t xml:space="preserve"> </w:t>
      </w:r>
      <w:r w:rsidRPr="00AE77D4">
        <w:rPr>
          <w:rFonts w:ascii="Times New Roman" w:hAnsi="Times New Roman" w:cs="Times New Roman"/>
          <w:sz w:val="24"/>
          <w:szCs w:val="24"/>
          <w:lang w:val="en-GB"/>
        </w:rPr>
        <w:t>existing studie</w:t>
      </w:r>
      <w:r w:rsidR="00087512" w:rsidRPr="00AE77D4">
        <w:rPr>
          <w:rFonts w:ascii="Times New Roman" w:hAnsi="Times New Roman" w:cs="Times New Roman"/>
          <w:sz w:val="24"/>
          <w:szCs w:val="24"/>
          <w:lang w:val="en-GB"/>
        </w:rPr>
        <w:t>s</w:t>
      </w:r>
      <w:r w:rsidRPr="00AE77D4">
        <w:rPr>
          <w:rFonts w:ascii="Times New Roman" w:hAnsi="Times New Roman" w:cs="Times New Roman"/>
          <w:sz w:val="24"/>
          <w:szCs w:val="24"/>
          <w:lang w:val="en-GB"/>
        </w:rPr>
        <w:t xml:space="preserve"> </w:t>
      </w:r>
      <w:r w:rsidR="00D8361B" w:rsidRPr="00AE77D4">
        <w:rPr>
          <w:rFonts w:ascii="Times New Roman" w:hAnsi="Times New Roman" w:cs="Times New Roman"/>
          <w:sz w:val="24"/>
          <w:szCs w:val="24"/>
          <w:lang w:val="en-GB"/>
        </w:rPr>
        <w:t>indicate</w:t>
      </w:r>
      <w:r w:rsidRPr="00AE77D4">
        <w:rPr>
          <w:rFonts w:ascii="Times New Roman" w:hAnsi="Times New Roman" w:cs="Times New Roman"/>
          <w:sz w:val="24"/>
          <w:szCs w:val="24"/>
          <w:lang w:val="en-GB"/>
        </w:rPr>
        <w:t xml:space="preserve"> opposite views</w:t>
      </w:r>
      <w:r w:rsidRPr="00AE77D4">
        <w:rPr>
          <w:rFonts w:ascii="Times New Roman" w:eastAsia="Calibri" w:hAnsi="Times New Roman" w:cs="Times New Roman"/>
          <w:sz w:val="24"/>
          <w:szCs w:val="24"/>
          <w:lang w:val="en-GB"/>
        </w:rPr>
        <w:t xml:space="preserve">, </w:t>
      </w:r>
      <w:r w:rsidR="007D5976" w:rsidRPr="00AE77D4">
        <w:rPr>
          <w:rFonts w:ascii="Times New Roman" w:hAnsi="Times New Roman" w:cs="Times New Roman"/>
          <w:sz w:val="24"/>
          <w:szCs w:val="24"/>
          <w:lang w:val="en-GB"/>
        </w:rPr>
        <w:t>arguing</w:t>
      </w:r>
      <w:r w:rsidRPr="00AE77D4">
        <w:rPr>
          <w:rFonts w:ascii="Times New Roman" w:hAnsi="Times New Roman" w:cs="Times New Roman"/>
          <w:sz w:val="24"/>
          <w:szCs w:val="24"/>
          <w:lang w:val="en-GB"/>
        </w:rPr>
        <w:t xml:space="preserve"> that the separation may not </w:t>
      </w:r>
      <w:r w:rsidRPr="00AE77D4">
        <w:rPr>
          <w:rFonts w:ascii="Times New Roman" w:eastAsia="Calibri" w:hAnsi="Times New Roman" w:cs="Times New Roman"/>
          <w:sz w:val="24"/>
          <w:szCs w:val="24"/>
          <w:lang w:val="en-GB"/>
        </w:rPr>
        <w:t xml:space="preserve">be </w:t>
      </w:r>
      <w:r w:rsidR="007D5976" w:rsidRPr="00AE77D4">
        <w:rPr>
          <w:rFonts w:ascii="Times New Roman" w:hAnsi="Times New Roman" w:cs="Times New Roman"/>
          <w:sz w:val="24"/>
          <w:szCs w:val="24"/>
          <w:lang w:val="en-GB"/>
        </w:rPr>
        <w:t>urgent,</w:t>
      </w:r>
      <w:r w:rsidRPr="00AE77D4">
        <w:rPr>
          <w:rFonts w:ascii="Times New Roman" w:hAnsi="Times New Roman" w:cs="Times New Roman"/>
          <w:sz w:val="24"/>
          <w:szCs w:val="24"/>
          <w:lang w:val="en-GB"/>
        </w:rPr>
        <w:t xml:space="preserve"> as many firms are successful with </w:t>
      </w:r>
      <w:r w:rsidR="007D5976" w:rsidRPr="00AE77D4">
        <w:rPr>
          <w:rFonts w:ascii="Times New Roman" w:hAnsi="Times New Roman" w:cs="Times New Roman"/>
          <w:sz w:val="24"/>
          <w:szCs w:val="24"/>
          <w:lang w:val="en-GB"/>
        </w:rPr>
        <w:t xml:space="preserve">the same person as </w:t>
      </w:r>
      <w:r w:rsidRPr="00AE77D4">
        <w:rPr>
          <w:rFonts w:ascii="Times New Roman" w:eastAsia="TimesNewRoman" w:hAnsi="Times New Roman" w:cs="Times New Roman"/>
          <w:sz w:val="24"/>
          <w:szCs w:val="24"/>
          <w:lang w:val="en-GB"/>
        </w:rPr>
        <w:t xml:space="preserve">the </w:t>
      </w:r>
      <w:r w:rsidR="008A6DA6" w:rsidRPr="00AE77D4">
        <w:rPr>
          <w:rFonts w:ascii="Times New Roman" w:eastAsia="TimesNewRoman" w:hAnsi="Times New Roman" w:cs="Times New Roman"/>
          <w:sz w:val="24"/>
          <w:szCs w:val="24"/>
          <w:lang w:val="en-GB" w:bidi="bn-BD"/>
        </w:rPr>
        <w:t xml:space="preserve">Chairperson </w:t>
      </w:r>
      <w:r w:rsidR="007D5976" w:rsidRPr="00AE77D4">
        <w:rPr>
          <w:rFonts w:ascii="Times New Roman" w:hAnsi="Times New Roman" w:cs="Times New Roman"/>
          <w:sz w:val="24"/>
          <w:szCs w:val="24"/>
          <w:lang w:val="en-GB"/>
        </w:rPr>
        <w:t xml:space="preserve">and </w:t>
      </w:r>
      <w:r w:rsidRPr="00AE77D4">
        <w:rPr>
          <w:rFonts w:ascii="Times New Roman" w:hAnsi="Times New Roman" w:cs="Times New Roman"/>
          <w:sz w:val="24"/>
          <w:szCs w:val="24"/>
          <w:lang w:val="en-GB"/>
        </w:rPr>
        <w:t>CEO (</w:t>
      </w:r>
      <w:r w:rsidR="00634338" w:rsidRPr="00AE77D4">
        <w:rPr>
          <w:rFonts w:ascii="Times New Roman" w:hAnsi="Times New Roman" w:cs="Times New Roman"/>
          <w:sz w:val="24"/>
          <w:szCs w:val="24"/>
          <w:lang w:val="en-GB"/>
        </w:rPr>
        <w:t>Wang et al., 2022</w:t>
      </w:r>
      <w:r w:rsidRPr="00AE77D4">
        <w:rPr>
          <w:rFonts w:ascii="Times New Roman" w:hAnsi="Times New Roman" w:cs="Times New Roman"/>
          <w:sz w:val="24"/>
          <w:szCs w:val="24"/>
          <w:lang w:val="en-GB"/>
        </w:rPr>
        <w:t xml:space="preserve">). </w:t>
      </w:r>
      <w:r w:rsidR="002A6351" w:rsidRPr="00AE77D4">
        <w:rPr>
          <w:rFonts w:ascii="Times New Roman" w:hAnsi="Times New Roman" w:cs="Times New Roman"/>
          <w:sz w:val="24"/>
          <w:szCs w:val="24"/>
          <w:lang w:val="en-GB"/>
        </w:rPr>
        <w:t xml:space="preserve">However, most studies find that </w:t>
      </w:r>
      <w:r w:rsidRPr="00AE77D4">
        <w:rPr>
          <w:rFonts w:ascii="Times New Roman" w:eastAsia="Calibri" w:hAnsi="Times New Roman" w:cs="Times New Roman"/>
          <w:sz w:val="24"/>
          <w:szCs w:val="24"/>
          <w:lang w:val="en-GB"/>
        </w:rPr>
        <w:t xml:space="preserve">the </w:t>
      </w:r>
      <w:r w:rsidR="004627E4" w:rsidRPr="00AE77D4">
        <w:rPr>
          <w:rFonts w:ascii="Times New Roman" w:hAnsi="Times New Roman" w:cs="Times New Roman"/>
          <w:sz w:val="24"/>
          <w:szCs w:val="24"/>
          <w:lang w:val="en-GB"/>
        </w:rPr>
        <w:t>dual position</w:t>
      </w:r>
      <w:r w:rsidRPr="00AE77D4">
        <w:rPr>
          <w:rFonts w:ascii="Times New Roman" w:hAnsi="Times New Roman" w:cs="Times New Roman"/>
          <w:sz w:val="24"/>
          <w:szCs w:val="24"/>
          <w:lang w:val="en-GB"/>
        </w:rPr>
        <w:t xml:space="preserve"> offers </w:t>
      </w:r>
      <w:r w:rsidR="008A6DA6" w:rsidRPr="00AE77D4">
        <w:rPr>
          <w:rFonts w:ascii="Times New Roman" w:hAnsi="Times New Roman" w:cs="Times New Roman"/>
          <w:sz w:val="24"/>
          <w:szCs w:val="24"/>
          <w:lang w:val="en-GB"/>
        </w:rPr>
        <w:t xml:space="preserve">indomitable </w:t>
      </w:r>
      <w:r w:rsidRPr="00AE77D4">
        <w:rPr>
          <w:rFonts w:ascii="Times New Roman" w:hAnsi="Times New Roman" w:cs="Times New Roman"/>
          <w:sz w:val="24"/>
          <w:szCs w:val="24"/>
          <w:lang w:val="en-GB"/>
        </w:rPr>
        <w:t>power to one person</w:t>
      </w:r>
      <w:r w:rsidRPr="00AE77D4">
        <w:rPr>
          <w:rFonts w:ascii="Times New Roman" w:eastAsia="Calibri" w:hAnsi="Times New Roman" w:cs="Times New Roman"/>
          <w:sz w:val="24"/>
          <w:szCs w:val="24"/>
          <w:lang w:val="en-GB"/>
        </w:rPr>
        <w:t xml:space="preserve">, </w:t>
      </w:r>
      <w:r w:rsidRPr="00AE77D4">
        <w:rPr>
          <w:rFonts w:ascii="Times New Roman" w:hAnsi="Times New Roman" w:cs="Times New Roman"/>
          <w:sz w:val="24"/>
          <w:szCs w:val="24"/>
          <w:lang w:val="en-GB"/>
        </w:rPr>
        <w:t xml:space="preserve">which may compromise </w:t>
      </w:r>
      <w:r w:rsidRPr="00AE77D4">
        <w:rPr>
          <w:rFonts w:ascii="Times New Roman" w:eastAsia="Calibri" w:hAnsi="Times New Roman" w:cs="Times New Roman"/>
          <w:sz w:val="24"/>
          <w:szCs w:val="24"/>
          <w:lang w:val="en-GB"/>
        </w:rPr>
        <w:t xml:space="preserve">the </w:t>
      </w:r>
      <w:r w:rsidR="008A6DA6" w:rsidRPr="00AE77D4">
        <w:rPr>
          <w:rFonts w:ascii="Times New Roman" w:hAnsi="Times New Roman" w:cs="Times New Roman"/>
          <w:sz w:val="24"/>
          <w:szCs w:val="24"/>
          <w:lang w:val="en-GB"/>
        </w:rPr>
        <w:t>environment.</w:t>
      </w:r>
      <w:r w:rsidRPr="00AE77D4">
        <w:rPr>
          <w:rFonts w:ascii="Times New Roman" w:hAnsi="Times New Roman" w:cs="Times New Roman"/>
          <w:sz w:val="24"/>
          <w:szCs w:val="24"/>
          <w:lang w:val="en-GB"/>
        </w:rPr>
        <w:t xml:space="preserve"> This debate calls for further testing to identify the relationship between CEO duality and </w:t>
      </w:r>
      <w:r w:rsidR="004C7892" w:rsidRPr="00AE77D4">
        <w:rPr>
          <w:rFonts w:ascii="Times New Roman" w:hAnsi="Times New Roman" w:cs="Times New Roman"/>
          <w:sz w:val="24"/>
          <w:szCs w:val="24"/>
          <w:lang w:val="en-GB"/>
        </w:rPr>
        <w:t>CCD</w:t>
      </w:r>
      <w:r w:rsidRPr="00AE77D4">
        <w:rPr>
          <w:rFonts w:ascii="Times New Roman" w:hAnsi="Times New Roman" w:cs="Times New Roman"/>
          <w:sz w:val="24"/>
          <w:szCs w:val="24"/>
          <w:lang w:val="en-GB"/>
        </w:rPr>
        <w:t xml:space="preserve">. </w:t>
      </w:r>
      <w:r w:rsidR="00347B75" w:rsidRPr="00AE77D4">
        <w:rPr>
          <w:rFonts w:ascii="Times New Roman" w:hAnsi="Times New Roman" w:cs="Times New Roman"/>
          <w:sz w:val="24"/>
          <w:szCs w:val="24"/>
          <w:lang w:val="en-GB"/>
        </w:rPr>
        <w:t>Thus</w:t>
      </w:r>
      <w:r w:rsidRPr="00AE77D4">
        <w:rPr>
          <w:rFonts w:ascii="Times New Roman" w:hAnsi="Times New Roman" w:cs="Times New Roman"/>
          <w:sz w:val="24"/>
          <w:szCs w:val="24"/>
          <w:lang w:val="en-GB"/>
        </w:rPr>
        <w:t>, we pr</w:t>
      </w:r>
      <w:r w:rsidR="002009A8" w:rsidRPr="00AE77D4">
        <w:rPr>
          <w:rFonts w:ascii="Times New Roman" w:hAnsi="Times New Roman" w:cs="Times New Roman"/>
          <w:sz w:val="24"/>
          <w:szCs w:val="24"/>
          <w:lang w:val="en-GB"/>
        </w:rPr>
        <w:t>opose the following hypotheses:</w:t>
      </w:r>
    </w:p>
    <w:p w14:paraId="78651BF0" w14:textId="4B6D7D60" w:rsidR="007A0158" w:rsidRPr="00AE77D4" w:rsidRDefault="00661A05" w:rsidP="00AE77D4">
      <w:pPr>
        <w:spacing w:before="240"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H6: There is a negative </w:t>
      </w:r>
      <w:r w:rsidR="007E760A" w:rsidRPr="00AE77D4">
        <w:rPr>
          <w:rFonts w:ascii="Times New Roman" w:hAnsi="Times New Roman" w:cs="Times New Roman"/>
          <w:sz w:val="24"/>
          <w:szCs w:val="24"/>
          <w:lang w:val="en-GB"/>
        </w:rPr>
        <w:t xml:space="preserve">relationship </w:t>
      </w:r>
      <w:r w:rsidRPr="00AE77D4">
        <w:rPr>
          <w:rFonts w:ascii="Times New Roman" w:hAnsi="Times New Roman" w:cs="Times New Roman"/>
          <w:sz w:val="24"/>
          <w:szCs w:val="24"/>
          <w:lang w:val="en-GB"/>
        </w:rPr>
        <w:t xml:space="preserve">between CEO duality and level of </w:t>
      </w:r>
      <w:r w:rsidR="00C75B23" w:rsidRPr="00AE77D4">
        <w:rPr>
          <w:rFonts w:ascii="Times New Roman" w:hAnsi="Times New Roman" w:cs="Times New Roman"/>
          <w:sz w:val="24"/>
          <w:szCs w:val="24"/>
          <w:lang w:val="en-GB"/>
        </w:rPr>
        <w:t xml:space="preserve">climate change </w:t>
      </w:r>
      <w:r w:rsidRPr="00AE77D4">
        <w:rPr>
          <w:rFonts w:ascii="Times New Roman" w:hAnsi="Times New Roman" w:cs="Times New Roman"/>
          <w:sz w:val="24"/>
          <w:szCs w:val="24"/>
          <w:lang w:val="en-GB"/>
        </w:rPr>
        <w:t>disclosure</w:t>
      </w:r>
      <w:r w:rsidR="002009A8" w:rsidRPr="00AE77D4">
        <w:rPr>
          <w:rFonts w:ascii="Times New Roman" w:hAnsi="Times New Roman" w:cs="Times New Roman"/>
          <w:sz w:val="24"/>
          <w:szCs w:val="24"/>
          <w:lang w:val="en-GB"/>
        </w:rPr>
        <w:t>.</w:t>
      </w:r>
    </w:p>
    <w:p w14:paraId="03CEBBCA" w14:textId="6496F493" w:rsidR="00C166AE"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4</w:t>
      </w:r>
      <w:r w:rsidR="00BE6B4F" w:rsidRPr="00AE77D4">
        <w:rPr>
          <w:rFonts w:ascii="Times New Roman" w:hAnsi="Times New Roman" w:cs="Times New Roman"/>
          <w:b/>
          <w:sz w:val="24"/>
          <w:szCs w:val="24"/>
          <w:lang w:val="en-GB"/>
        </w:rPr>
        <w:t xml:space="preserve">.7 </w:t>
      </w:r>
      <w:r w:rsidR="00082A99" w:rsidRPr="00AE77D4">
        <w:rPr>
          <w:rFonts w:ascii="Times New Roman" w:hAnsi="Times New Roman" w:cs="Times New Roman"/>
          <w:b/>
          <w:sz w:val="24"/>
          <w:szCs w:val="24"/>
          <w:lang w:val="en-GB"/>
        </w:rPr>
        <w:t xml:space="preserve">The effect of audit committee on the climate change disclosures </w:t>
      </w:r>
    </w:p>
    <w:p w14:paraId="48ECBCB5" w14:textId="7F6AE70B" w:rsidR="00E253A3"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Prior </w:t>
      </w:r>
      <w:r w:rsidR="00DC4765" w:rsidRPr="00AE77D4">
        <w:rPr>
          <w:rFonts w:ascii="Times New Roman" w:hAnsi="Times New Roman" w:cs="Times New Roman"/>
          <w:sz w:val="24"/>
          <w:szCs w:val="24"/>
          <w:lang w:val="en-GB"/>
        </w:rPr>
        <w:t>stud</w:t>
      </w:r>
      <w:r w:rsidR="003F050F" w:rsidRPr="00AE77D4">
        <w:rPr>
          <w:rFonts w:ascii="Times New Roman" w:hAnsi="Times New Roman" w:cs="Times New Roman"/>
          <w:sz w:val="24"/>
          <w:szCs w:val="24"/>
          <w:lang w:val="en-GB"/>
        </w:rPr>
        <w:t>ies</w:t>
      </w:r>
      <w:r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have recogni</w:t>
      </w:r>
      <w:r w:rsidR="00D518E3" w:rsidRPr="00AE77D4">
        <w:rPr>
          <w:rFonts w:ascii="Times New Roman" w:hAnsi="Times New Roman" w:cs="Times New Roman"/>
          <w:sz w:val="24"/>
          <w:szCs w:val="24"/>
          <w:lang w:val="en-GB"/>
        </w:rPr>
        <w:t>z</w:t>
      </w:r>
      <w:r w:rsidRPr="00AE77D4">
        <w:rPr>
          <w:rFonts w:ascii="Times New Roman" w:hAnsi="Times New Roman" w:cs="Times New Roman"/>
          <w:sz w:val="24"/>
          <w:szCs w:val="24"/>
          <w:lang w:val="en-GB"/>
        </w:rPr>
        <w:t xml:space="preserve">ed the significance of </w:t>
      </w:r>
      <w:r w:rsidR="006636C3" w:rsidRPr="00AE77D4">
        <w:rPr>
          <w:rFonts w:ascii="Times New Roman" w:hAnsi="Times New Roman" w:cs="Times New Roman"/>
          <w:sz w:val="24"/>
          <w:szCs w:val="24"/>
          <w:lang w:val="en-GB"/>
        </w:rPr>
        <w:t>effective</w:t>
      </w:r>
      <w:r w:rsidR="00D85183" w:rsidRPr="00AE77D4">
        <w:rPr>
          <w:rFonts w:ascii="Times New Roman" w:hAnsi="Times New Roman" w:cs="Times New Roman"/>
          <w:sz w:val="24"/>
          <w:szCs w:val="24"/>
          <w:lang w:val="en-GB"/>
        </w:rPr>
        <w:t xml:space="preserve"> audit</w:t>
      </w:r>
      <w:r w:rsidRPr="00AE77D4">
        <w:rPr>
          <w:rFonts w:ascii="Times New Roman" w:hAnsi="Times New Roman" w:cs="Times New Roman"/>
          <w:sz w:val="24"/>
          <w:szCs w:val="24"/>
          <w:lang w:val="en-GB"/>
        </w:rPr>
        <w:t xml:space="preserve"> committees </w:t>
      </w:r>
      <w:r w:rsidR="0043783A" w:rsidRPr="00AE77D4">
        <w:rPr>
          <w:rFonts w:ascii="Times New Roman" w:hAnsi="Times New Roman" w:cs="Times New Roman"/>
          <w:sz w:val="24"/>
          <w:szCs w:val="24"/>
          <w:lang w:val="en-GB"/>
        </w:rPr>
        <w:t>in</w:t>
      </w:r>
      <w:r w:rsidRPr="00AE77D4">
        <w:rPr>
          <w:rFonts w:ascii="Times New Roman" w:hAnsi="Times New Roman" w:cs="Times New Roman"/>
          <w:sz w:val="24"/>
          <w:szCs w:val="24"/>
          <w:lang w:val="en-GB"/>
        </w:rPr>
        <w:t xml:space="preserve"> the oversight of </w:t>
      </w:r>
      <w:r w:rsidR="00532F52" w:rsidRPr="00AE77D4">
        <w:rPr>
          <w:rFonts w:ascii="Times New Roman" w:hAnsi="Times New Roman" w:cs="Times New Roman"/>
          <w:sz w:val="24"/>
          <w:szCs w:val="24"/>
          <w:lang w:val="en-GB"/>
        </w:rPr>
        <w:t xml:space="preserve">the </w:t>
      </w:r>
      <w:r w:rsidRPr="00AE77D4">
        <w:rPr>
          <w:rFonts w:ascii="Times New Roman" w:hAnsi="Times New Roman" w:cs="Times New Roman"/>
          <w:sz w:val="24"/>
          <w:szCs w:val="24"/>
          <w:lang w:val="en-GB"/>
        </w:rPr>
        <w:t>financial reporting process (</w:t>
      </w:r>
      <w:r w:rsidR="002E3E89" w:rsidRPr="00AE77D4">
        <w:rPr>
          <w:rFonts w:ascii="Times New Roman" w:hAnsi="Times New Roman" w:cs="Times New Roman"/>
          <w:sz w:val="24"/>
          <w:szCs w:val="24"/>
          <w:shd w:val="clear" w:color="auto" w:fill="FFFFFF"/>
          <w:lang w:val="en-GB"/>
        </w:rPr>
        <w:t xml:space="preserve">Alkayed &amp; Omar, 2022; </w:t>
      </w:r>
      <w:r w:rsidRPr="00AE77D4">
        <w:rPr>
          <w:rFonts w:ascii="Times New Roman" w:hAnsi="Times New Roman" w:cs="Times New Roman"/>
          <w:sz w:val="24"/>
          <w:szCs w:val="24"/>
          <w:lang w:val="en-GB"/>
        </w:rPr>
        <w:t>Al</w:t>
      </w:r>
      <w:r w:rsidRPr="00AE77D4">
        <w:rPr>
          <w:rFonts w:ascii="Cambria Math" w:hAnsi="Cambria Math" w:cs="Cambria Math"/>
          <w:sz w:val="24"/>
          <w:szCs w:val="24"/>
          <w:lang w:val="en-GB"/>
        </w:rPr>
        <w:t>‐</w:t>
      </w:r>
      <w:r w:rsidRPr="00AE77D4">
        <w:rPr>
          <w:rFonts w:ascii="Times New Roman" w:hAnsi="Times New Roman" w:cs="Times New Roman"/>
          <w:sz w:val="24"/>
          <w:szCs w:val="24"/>
          <w:lang w:val="en-GB"/>
        </w:rPr>
        <w:t xml:space="preserve">Shaer et al., 2018). The purpose of an audit committee is to protect against any questionable reporting decisions made by management (Zaman et al., 2011). </w:t>
      </w:r>
      <w:r w:rsidR="00532F52" w:rsidRPr="00AE77D4">
        <w:rPr>
          <w:rFonts w:ascii="Times New Roman" w:hAnsi="Times New Roman" w:cs="Times New Roman"/>
          <w:sz w:val="24"/>
          <w:szCs w:val="24"/>
          <w:lang w:val="en-GB"/>
        </w:rPr>
        <w:t>The a</w:t>
      </w:r>
      <w:r w:rsidRPr="00AE77D4">
        <w:rPr>
          <w:rFonts w:ascii="Times New Roman" w:hAnsi="Times New Roman" w:cs="Times New Roman"/>
          <w:sz w:val="24"/>
          <w:szCs w:val="24"/>
          <w:lang w:val="en-GB"/>
        </w:rPr>
        <w:t xml:space="preserve">udit committee is associated with </w:t>
      </w:r>
      <w:r w:rsidR="00733E8C" w:rsidRPr="00AE77D4">
        <w:rPr>
          <w:rFonts w:ascii="Times New Roman" w:hAnsi="Times New Roman" w:cs="Times New Roman"/>
          <w:sz w:val="24"/>
          <w:szCs w:val="24"/>
          <w:lang w:val="en-GB"/>
        </w:rPr>
        <w:t xml:space="preserve">financial </w:t>
      </w:r>
      <w:r w:rsidRPr="00AE77D4">
        <w:rPr>
          <w:rFonts w:ascii="Times New Roman" w:hAnsi="Times New Roman" w:cs="Times New Roman"/>
          <w:sz w:val="24"/>
          <w:szCs w:val="24"/>
          <w:lang w:val="en-GB"/>
        </w:rPr>
        <w:t>affairs</w:t>
      </w:r>
      <w:r w:rsidR="00D85183" w:rsidRPr="00AE77D4">
        <w:rPr>
          <w:rFonts w:ascii="Times New Roman" w:hAnsi="Times New Roman" w:cs="Times New Roman"/>
          <w:sz w:val="24"/>
          <w:szCs w:val="24"/>
          <w:lang w:val="en-GB"/>
        </w:rPr>
        <w:t>, but</w:t>
      </w:r>
      <w:r w:rsidRPr="00AE77D4">
        <w:rPr>
          <w:rFonts w:ascii="Times New Roman" w:hAnsi="Times New Roman" w:cs="Times New Roman"/>
          <w:sz w:val="24"/>
          <w:szCs w:val="24"/>
          <w:lang w:val="en-GB"/>
        </w:rPr>
        <w:t xml:space="preserve"> </w:t>
      </w:r>
      <w:r w:rsidR="001A3113" w:rsidRPr="00AE77D4">
        <w:rPr>
          <w:rFonts w:ascii="Times New Roman" w:hAnsi="Times New Roman" w:cs="Times New Roman"/>
          <w:sz w:val="24"/>
          <w:szCs w:val="24"/>
          <w:lang w:val="en-GB"/>
        </w:rPr>
        <w:t>it</w:t>
      </w:r>
      <w:r w:rsidRPr="00AE77D4">
        <w:rPr>
          <w:rFonts w:ascii="Times New Roman" w:hAnsi="Times New Roman" w:cs="Times New Roman"/>
          <w:sz w:val="24"/>
          <w:szCs w:val="24"/>
          <w:lang w:val="en-GB"/>
        </w:rPr>
        <w:t xml:space="preserve"> can </w:t>
      </w:r>
      <w:r w:rsidR="00BD76E1" w:rsidRPr="00AE77D4">
        <w:rPr>
          <w:rFonts w:ascii="Times New Roman" w:hAnsi="Times New Roman" w:cs="Times New Roman"/>
          <w:sz w:val="24"/>
          <w:szCs w:val="24"/>
          <w:lang w:val="en-GB"/>
        </w:rPr>
        <w:t>provide additional oversight of</w:t>
      </w:r>
      <w:r w:rsidRPr="00AE77D4">
        <w:rPr>
          <w:rFonts w:ascii="Times New Roman" w:hAnsi="Times New Roman" w:cs="Times New Roman"/>
          <w:sz w:val="24"/>
          <w:szCs w:val="24"/>
          <w:lang w:val="en-GB"/>
        </w:rPr>
        <w:t xml:space="preserve"> </w:t>
      </w:r>
      <w:r w:rsidR="007A7F30" w:rsidRPr="00AE77D4">
        <w:rPr>
          <w:rFonts w:ascii="Times New Roman" w:hAnsi="Times New Roman" w:cs="Times New Roman"/>
          <w:sz w:val="24"/>
          <w:szCs w:val="24"/>
          <w:lang w:val="en-GB"/>
        </w:rPr>
        <w:t xml:space="preserve">CCD </w:t>
      </w:r>
      <w:r w:rsidR="00733E8C" w:rsidRPr="00AE77D4">
        <w:rPr>
          <w:rFonts w:ascii="Times New Roman" w:hAnsi="Times New Roman" w:cs="Times New Roman"/>
          <w:sz w:val="24"/>
          <w:szCs w:val="24"/>
          <w:lang w:val="en-GB"/>
        </w:rPr>
        <w:t>practices</w:t>
      </w:r>
      <w:r w:rsidRPr="00AE77D4">
        <w:rPr>
          <w:rFonts w:ascii="Times New Roman" w:hAnsi="Times New Roman" w:cs="Times New Roman"/>
          <w:sz w:val="24"/>
          <w:szCs w:val="24"/>
          <w:lang w:val="en-GB"/>
        </w:rPr>
        <w:t xml:space="preserve">. </w:t>
      </w:r>
      <w:r w:rsidR="0084497A" w:rsidRPr="00AE77D4">
        <w:rPr>
          <w:rFonts w:ascii="Times New Roman" w:hAnsi="Times New Roman" w:cs="Times New Roman"/>
          <w:sz w:val="24"/>
          <w:szCs w:val="24"/>
          <w:lang w:val="en-GB"/>
        </w:rPr>
        <w:t xml:space="preserve">The existence of an audit committee may ensure accountability from management and exercise greater control over them through appropriate governance (Abbott et al., 2004). </w:t>
      </w:r>
      <w:r w:rsidR="00CE48A5" w:rsidRPr="00AE77D4">
        <w:rPr>
          <w:rFonts w:ascii="Times New Roman" w:hAnsi="Times New Roman" w:cs="Times New Roman"/>
          <w:sz w:val="24"/>
          <w:szCs w:val="24"/>
          <w:lang w:val="en-GB"/>
        </w:rPr>
        <w:t>According to neo-institutional theory</w:t>
      </w:r>
      <w:r w:rsidR="00055344" w:rsidRPr="00AE77D4">
        <w:rPr>
          <w:rFonts w:ascii="Times New Roman" w:hAnsi="Times New Roman" w:cs="Times New Roman"/>
          <w:sz w:val="24"/>
          <w:szCs w:val="24"/>
          <w:lang w:val="en-GB"/>
        </w:rPr>
        <w:t xml:space="preserve"> (Greenwood et al., 2013)</w:t>
      </w:r>
      <w:r w:rsidR="00CE48A5"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 xml:space="preserve">an audit committee </w:t>
      </w:r>
      <w:r w:rsidR="00FD11CE" w:rsidRPr="00AE77D4">
        <w:rPr>
          <w:rFonts w:ascii="Times New Roman" w:hAnsi="Times New Roman" w:cs="Times New Roman"/>
          <w:sz w:val="24"/>
          <w:szCs w:val="24"/>
          <w:lang w:val="en-GB"/>
        </w:rPr>
        <w:t>is composed of executive and non</w:t>
      </w:r>
      <w:r w:rsidR="00D518E3" w:rsidRPr="00AE77D4">
        <w:rPr>
          <w:rFonts w:ascii="Times New Roman" w:hAnsi="Times New Roman" w:cs="Times New Roman"/>
          <w:sz w:val="24"/>
          <w:szCs w:val="24"/>
          <w:lang w:val="en-GB"/>
        </w:rPr>
        <w:t>-</w:t>
      </w:r>
      <w:r w:rsidR="00FD11CE" w:rsidRPr="00AE77D4">
        <w:rPr>
          <w:rFonts w:ascii="Times New Roman" w:hAnsi="Times New Roman" w:cs="Times New Roman"/>
          <w:sz w:val="24"/>
          <w:szCs w:val="24"/>
          <w:lang w:val="en-GB"/>
        </w:rPr>
        <w:t xml:space="preserve">executive members with expertise in accounting and finance </w:t>
      </w:r>
      <w:r w:rsidR="00CE48A5" w:rsidRPr="00AE77D4">
        <w:rPr>
          <w:rFonts w:ascii="Times New Roman" w:hAnsi="Times New Roman" w:cs="Times New Roman"/>
          <w:sz w:val="24"/>
          <w:szCs w:val="24"/>
          <w:lang w:val="en-GB"/>
        </w:rPr>
        <w:t xml:space="preserve">that protects </w:t>
      </w:r>
      <w:r w:rsidR="004627E4" w:rsidRPr="00AE77D4">
        <w:rPr>
          <w:rFonts w:ascii="Times New Roman" w:hAnsi="Times New Roman" w:cs="Times New Roman"/>
          <w:sz w:val="24"/>
          <w:szCs w:val="24"/>
          <w:lang w:val="en-GB"/>
        </w:rPr>
        <w:t>firms’</w:t>
      </w:r>
      <w:r w:rsidR="00CE48A5" w:rsidRPr="00AE77D4">
        <w:rPr>
          <w:rFonts w:ascii="Times New Roman" w:hAnsi="Times New Roman" w:cs="Times New Roman"/>
          <w:sz w:val="24"/>
          <w:szCs w:val="24"/>
          <w:lang w:val="en-GB"/>
        </w:rPr>
        <w:t xml:space="preserve"> financial asymmetry </w:t>
      </w:r>
      <w:r w:rsidR="00C728B6" w:rsidRPr="00AE77D4">
        <w:rPr>
          <w:rFonts w:ascii="Times New Roman" w:hAnsi="Times New Roman" w:cs="Times New Roman"/>
          <w:sz w:val="24"/>
          <w:szCs w:val="24"/>
          <w:lang w:val="en-GB"/>
        </w:rPr>
        <w:t>and</w:t>
      </w:r>
      <w:r w:rsidR="00CE48A5" w:rsidRPr="00AE77D4">
        <w:rPr>
          <w:rFonts w:ascii="Times New Roman" w:hAnsi="Times New Roman" w:cs="Times New Roman"/>
          <w:sz w:val="24"/>
          <w:szCs w:val="24"/>
          <w:lang w:val="en-GB"/>
        </w:rPr>
        <w:t xml:space="preserve"> urge</w:t>
      </w:r>
      <w:r w:rsidRPr="00AE77D4">
        <w:rPr>
          <w:rFonts w:ascii="Times New Roman" w:eastAsia="Calibri" w:hAnsi="Times New Roman" w:cs="Times New Roman"/>
          <w:sz w:val="24"/>
          <w:szCs w:val="24"/>
          <w:lang w:val="en-GB"/>
        </w:rPr>
        <w:t xml:space="preserve">s them to report </w:t>
      </w:r>
      <w:r w:rsidR="00104C66" w:rsidRPr="00AE77D4">
        <w:rPr>
          <w:rFonts w:ascii="Times New Roman" w:hAnsi="Times New Roman" w:cs="Times New Roman"/>
          <w:sz w:val="24"/>
          <w:szCs w:val="24"/>
          <w:lang w:val="en-GB"/>
        </w:rPr>
        <w:t>CCD</w:t>
      </w:r>
      <w:r w:rsidR="00CE48A5" w:rsidRPr="00AE77D4">
        <w:rPr>
          <w:rFonts w:ascii="Times New Roman" w:hAnsi="Times New Roman" w:cs="Times New Roman"/>
          <w:sz w:val="24"/>
          <w:szCs w:val="24"/>
          <w:lang w:val="en-GB"/>
        </w:rPr>
        <w:t>.</w:t>
      </w:r>
      <w:r w:rsidR="004D2C1E" w:rsidRPr="00AE77D4">
        <w:rPr>
          <w:rFonts w:ascii="Times New Roman" w:hAnsi="Times New Roman" w:cs="Times New Roman"/>
          <w:sz w:val="24"/>
          <w:szCs w:val="24"/>
          <w:lang w:val="en-GB"/>
        </w:rPr>
        <w:t xml:space="preserve"> This is </w:t>
      </w:r>
      <w:r w:rsidR="009C137A" w:rsidRPr="00AE77D4">
        <w:rPr>
          <w:rFonts w:ascii="Times New Roman" w:hAnsi="Times New Roman" w:cs="Times New Roman"/>
          <w:sz w:val="24"/>
          <w:szCs w:val="24"/>
          <w:lang w:val="en-GB"/>
        </w:rPr>
        <w:t xml:space="preserve">mandatory </w:t>
      </w:r>
      <w:r w:rsidR="004D2C1E" w:rsidRPr="00AE77D4">
        <w:rPr>
          <w:rFonts w:ascii="Times New Roman" w:hAnsi="Times New Roman" w:cs="Times New Roman"/>
          <w:sz w:val="24"/>
          <w:szCs w:val="24"/>
          <w:lang w:val="en-GB"/>
        </w:rPr>
        <w:t xml:space="preserve">in </w:t>
      </w:r>
      <w:r w:rsidRPr="00AE77D4">
        <w:rPr>
          <w:rFonts w:ascii="Times New Roman" w:eastAsia="Calibri" w:hAnsi="Times New Roman" w:cs="Times New Roman"/>
          <w:sz w:val="24"/>
          <w:szCs w:val="24"/>
          <w:lang w:val="en-GB"/>
        </w:rPr>
        <w:t xml:space="preserve">the Bangladesh CG </w:t>
      </w:r>
      <w:r w:rsidR="004D2CA9" w:rsidRPr="00AE77D4">
        <w:rPr>
          <w:rFonts w:ascii="Times New Roman" w:hAnsi="Times New Roman" w:cs="Times New Roman"/>
          <w:sz w:val="24"/>
          <w:szCs w:val="24"/>
          <w:lang w:val="en-GB"/>
        </w:rPr>
        <w:t xml:space="preserve">guidelines </w:t>
      </w:r>
      <w:r w:rsidR="004D2C1E" w:rsidRPr="00AE77D4">
        <w:rPr>
          <w:rFonts w:ascii="Times New Roman" w:hAnsi="Times New Roman" w:cs="Times New Roman"/>
          <w:sz w:val="24"/>
          <w:szCs w:val="24"/>
          <w:lang w:val="en-GB"/>
        </w:rPr>
        <w:t>(</w:t>
      </w:r>
      <w:r w:rsidR="00E0118E" w:rsidRPr="00AE77D4">
        <w:rPr>
          <w:rFonts w:ascii="Times New Roman" w:hAnsi="Times New Roman" w:cs="Times New Roman"/>
          <w:sz w:val="24"/>
          <w:szCs w:val="24"/>
          <w:lang w:val="en-GB"/>
        </w:rPr>
        <w:t>Securities and Exchange Commission</w:t>
      </w:r>
      <w:r w:rsidR="004D2C1E" w:rsidRPr="00AE77D4">
        <w:rPr>
          <w:rFonts w:ascii="Times New Roman" w:hAnsi="Times New Roman" w:cs="Times New Roman"/>
          <w:sz w:val="24"/>
          <w:szCs w:val="24"/>
          <w:lang w:val="en-GB" w:bidi="bn-BD"/>
        </w:rPr>
        <w:t>, 2012</w:t>
      </w:r>
      <w:r w:rsidR="00AB6800" w:rsidRPr="00AE77D4">
        <w:rPr>
          <w:rFonts w:ascii="Times New Roman" w:hAnsi="Times New Roman" w:cs="Times New Roman"/>
          <w:sz w:val="24"/>
          <w:szCs w:val="24"/>
          <w:lang w:val="en-GB"/>
        </w:rPr>
        <w:t xml:space="preserve">; </w:t>
      </w:r>
      <w:r w:rsidR="00E0118E" w:rsidRPr="00AE77D4">
        <w:rPr>
          <w:rFonts w:ascii="Times New Roman" w:hAnsi="Times New Roman" w:cs="Times New Roman"/>
          <w:sz w:val="24"/>
          <w:szCs w:val="24"/>
          <w:lang w:val="en-GB"/>
        </w:rPr>
        <w:t>Bangladesh Securities and Exchange Commission</w:t>
      </w:r>
      <w:r w:rsidR="00AB6800" w:rsidRPr="00AE77D4">
        <w:rPr>
          <w:rFonts w:ascii="Times New Roman" w:hAnsi="Times New Roman" w:cs="Times New Roman"/>
          <w:sz w:val="24"/>
          <w:szCs w:val="24"/>
          <w:lang w:val="en-GB"/>
        </w:rPr>
        <w:t>, 2018</w:t>
      </w:r>
      <w:r w:rsidR="004D2C1E" w:rsidRPr="00AE77D4">
        <w:rPr>
          <w:rFonts w:ascii="Times New Roman" w:hAnsi="Times New Roman" w:cs="Times New Roman"/>
          <w:sz w:val="24"/>
          <w:szCs w:val="24"/>
          <w:lang w:val="en-GB" w:bidi="bn-BD"/>
        </w:rPr>
        <w:t>)</w:t>
      </w:r>
      <w:r w:rsidR="004D2C1E" w:rsidRPr="00AE77D4">
        <w:rPr>
          <w:rFonts w:ascii="Times New Roman" w:hAnsi="Times New Roman" w:cs="Times New Roman"/>
          <w:sz w:val="24"/>
          <w:szCs w:val="24"/>
          <w:lang w:val="en-GB"/>
        </w:rPr>
        <w:t>.</w:t>
      </w:r>
      <w:r w:rsidR="009E0C35" w:rsidRPr="00AE77D4">
        <w:rPr>
          <w:rFonts w:ascii="Times New Roman" w:hAnsi="Times New Roman" w:cs="Times New Roman"/>
          <w:sz w:val="24"/>
          <w:szCs w:val="24"/>
          <w:lang w:val="en-GB"/>
        </w:rPr>
        <w:t xml:space="preserve"> </w:t>
      </w:r>
      <w:r w:rsidR="00E5468B" w:rsidRPr="00AE77D4">
        <w:rPr>
          <w:rFonts w:ascii="Times New Roman" w:hAnsi="Times New Roman" w:cs="Times New Roman"/>
          <w:sz w:val="24"/>
          <w:szCs w:val="24"/>
          <w:lang w:val="en-GB"/>
        </w:rPr>
        <w:t xml:space="preserve">However, the effect of the audit committee in connection with CCD has not been documented in many studies </w:t>
      </w:r>
      <w:r w:rsidR="00E5468B" w:rsidRPr="00AE77D4">
        <w:rPr>
          <w:rFonts w:ascii="Times New Roman" w:hAnsi="Times New Roman" w:cs="Times New Roman"/>
          <w:noProof/>
          <w:sz w:val="24"/>
          <w:szCs w:val="24"/>
          <w:lang w:val="en-GB"/>
        </w:rPr>
        <w:t>(Saha et al., 2019)</w:t>
      </w:r>
      <w:r w:rsidR="00E5468B" w:rsidRPr="00AE77D4">
        <w:rPr>
          <w:rFonts w:ascii="Times New Roman" w:hAnsi="Times New Roman" w:cs="Times New Roman"/>
          <w:sz w:val="24"/>
          <w:szCs w:val="24"/>
          <w:lang w:val="en-GB"/>
        </w:rPr>
        <w:t xml:space="preserve">. </w:t>
      </w:r>
      <w:r w:rsidR="00F52A17" w:rsidRPr="00AE77D4">
        <w:rPr>
          <w:rFonts w:ascii="Times New Roman" w:hAnsi="Times New Roman" w:cs="Times New Roman"/>
          <w:sz w:val="24"/>
          <w:szCs w:val="24"/>
          <w:lang w:val="en-GB"/>
        </w:rPr>
        <w:t xml:space="preserve">Thus, </w:t>
      </w:r>
      <w:r w:rsidRPr="00AE77D4">
        <w:rPr>
          <w:rFonts w:ascii="Times New Roman" w:hAnsi="Times New Roman" w:cs="Times New Roman"/>
          <w:sz w:val="24"/>
          <w:szCs w:val="24"/>
          <w:lang w:val="en-GB"/>
        </w:rPr>
        <w:t xml:space="preserve">from a </w:t>
      </w:r>
      <w:r w:rsidR="000C4DDC" w:rsidRPr="00AE77D4">
        <w:rPr>
          <w:rFonts w:ascii="Times New Roman" w:hAnsi="Times New Roman" w:cs="Times New Roman"/>
          <w:sz w:val="24"/>
          <w:szCs w:val="24"/>
          <w:lang w:val="en-GB"/>
        </w:rPr>
        <w:t xml:space="preserve">neo-institutional </w:t>
      </w:r>
      <w:r w:rsidRPr="00AE77D4">
        <w:rPr>
          <w:rFonts w:ascii="Times New Roman" w:hAnsi="Times New Roman" w:cs="Times New Roman"/>
          <w:sz w:val="24"/>
          <w:szCs w:val="24"/>
          <w:lang w:val="en-GB"/>
        </w:rPr>
        <w:t>perspective</w:t>
      </w:r>
      <w:r w:rsidRPr="00AE77D4">
        <w:rPr>
          <w:rFonts w:ascii="Times New Roman" w:eastAsia="Calibri" w:hAnsi="Times New Roman" w:cs="Times New Roman"/>
          <w:sz w:val="24"/>
          <w:szCs w:val="24"/>
          <w:lang w:val="en-GB"/>
        </w:rPr>
        <w:t xml:space="preserve">, </w:t>
      </w:r>
      <w:r w:rsidR="00F52A17" w:rsidRPr="00AE77D4">
        <w:rPr>
          <w:rFonts w:ascii="Times New Roman" w:hAnsi="Times New Roman" w:cs="Times New Roman"/>
          <w:sz w:val="24"/>
          <w:szCs w:val="24"/>
          <w:lang w:val="en-GB"/>
        </w:rPr>
        <w:t xml:space="preserve">firms </w:t>
      </w:r>
      <w:r w:rsidRPr="00AE77D4">
        <w:rPr>
          <w:rFonts w:ascii="Times New Roman" w:hAnsi="Times New Roman" w:cs="Times New Roman"/>
          <w:sz w:val="24"/>
          <w:szCs w:val="24"/>
          <w:lang w:val="en-GB"/>
        </w:rPr>
        <w:t xml:space="preserve">accept </w:t>
      </w:r>
      <w:r w:rsidR="00725E92" w:rsidRPr="00AE77D4">
        <w:rPr>
          <w:rFonts w:ascii="Times New Roman" w:hAnsi="Times New Roman" w:cs="Times New Roman"/>
          <w:sz w:val="24"/>
          <w:szCs w:val="24"/>
          <w:lang w:val="en-GB"/>
        </w:rPr>
        <w:t>coercive</w:t>
      </w:r>
      <w:r w:rsidR="00F52A17" w:rsidRPr="00AE77D4">
        <w:rPr>
          <w:rFonts w:ascii="Times New Roman" w:hAnsi="Times New Roman" w:cs="Times New Roman"/>
          <w:sz w:val="24"/>
          <w:szCs w:val="24"/>
          <w:lang w:val="en-GB"/>
        </w:rPr>
        <w:t xml:space="preserve"> pressure </w:t>
      </w:r>
      <w:r w:rsidR="009E0C35" w:rsidRPr="00AE77D4">
        <w:rPr>
          <w:rFonts w:ascii="Times New Roman" w:hAnsi="Times New Roman" w:cs="Times New Roman"/>
          <w:sz w:val="24"/>
          <w:szCs w:val="24"/>
          <w:lang w:val="en-GB"/>
        </w:rPr>
        <w:t xml:space="preserve">from institutions </w:t>
      </w:r>
      <w:r w:rsidR="00F52A17" w:rsidRPr="00AE77D4">
        <w:rPr>
          <w:rFonts w:ascii="Times New Roman" w:hAnsi="Times New Roman" w:cs="Times New Roman"/>
          <w:sz w:val="24"/>
          <w:szCs w:val="24"/>
          <w:lang w:val="en-GB"/>
        </w:rPr>
        <w:t xml:space="preserve">to formulate audit committee. </w:t>
      </w:r>
    </w:p>
    <w:p w14:paraId="34D63F30" w14:textId="3098BF6E" w:rsidR="00AB3740" w:rsidRPr="00AE77D4" w:rsidRDefault="00661A05" w:rsidP="00AE77D4">
      <w:pPr>
        <w:spacing w:line="276" w:lineRule="auto"/>
        <w:jc w:val="both"/>
        <w:rPr>
          <w:rFonts w:ascii="Times New Roman" w:eastAsia="TimesNewRoman" w:hAnsi="Times New Roman" w:cs="Times New Roman"/>
          <w:sz w:val="24"/>
          <w:szCs w:val="24"/>
          <w:lang w:val="en-GB" w:bidi="bn-BD"/>
        </w:rPr>
      </w:pPr>
      <w:r w:rsidRPr="00AE77D4">
        <w:rPr>
          <w:rFonts w:ascii="Times New Roman" w:hAnsi="Times New Roman" w:cs="Times New Roman"/>
          <w:sz w:val="24"/>
          <w:szCs w:val="24"/>
          <w:lang w:val="en-GB"/>
        </w:rPr>
        <w:t>However, the empirical evidence on the link between audit committee</w:t>
      </w:r>
      <w:r w:rsidRPr="00AE77D4">
        <w:rPr>
          <w:rFonts w:ascii="Times New Roman" w:eastAsia="Calibri" w:hAnsi="Times New Roman" w:cs="Times New Roman"/>
          <w:sz w:val="24"/>
          <w:szCs w:val="24"/>
          <w:lang w:val="en-GB"/>
        </w:rPr>
        <w:t xml:space="preserve">s and CCD practices is mixed. For instance, </w:t>
      </w:r>
      <w:r w:rsidRPr="00AE77D4">
        <w:rPr>
          <w:rFonts w:ascii="Times New Roman" w:hAnsi="Times New Roman" w:cs="Times New Roman"/>
          <w:sz w:val="24"/>
          <w:szCs w:val="24"/>
          <w:shd w:val="clear" w:color="auto" w:fill="FFFFFF"/>
          <w:lang w:val="en-GB"/>
        </w:rPr>
        <w:t>Alkayed and Omar (2022</w:t>
      </w:r>
      <w:r w:rsidRPr="00AE77D4">
        <w:rPr>
          <w:rFonts w:ascii="Times New Roman" w:hAnsi="Times New Roman" w:cs="Times New Roman"/>
          <w:sz w:val="24"/>
          <w:szCs w:val="24"/>
          <w:lang w:val="en-GB"/>
        </w:rPr>
        <w:t xml:space="preserve">) </w:t>
      </w:r>
      <w:r w:rsidR="00FF33F8" w:rsidRPr="00AE77D4">
        <w:rPr>
          <w:rFonts w:ascii="Times New Roman" w:hAnsi="Times New Roman" w:cs="Times New Roman"/>
          <w:sz w:val="24"/>
          <w:szCs w:val="24"/>
          <w:lang w:val="en-GB"/>
        </w:rPr>
        <w:t>have demonstrated a typically favorable connection between the audit committee and CCD</w:t>
      </w:r>
      <w:r w:rsidR="000F634A" w:rsidRPr="00AE77D4">
        <w:rPr>
          <w:rFonts w:ascii="Times New Roman" w:hAnsi="Times New Roman" w:cs="Times New Roman"/>
          <w:sz w:val="24"/>
          <w:szCs w:val="24"/>
          <w:lang w:val="en-GB"/>
        </w:rPr>
        <w:t>,</w:t>
      </w:r>
      <w:r w:rsidR="00FF33F8" w:rsidRPr="00AE77D4">
        <w:rPr>
          <w:rFonts w:ascii="Times New Roman" w:hAnsi="Times New Roman" w:cs="Times New Roman"/>
          <w:sz w:val="24"/>
          <w:szCs w:val="24"/>
          <w:lang w:val="en-GB"/>
        </w:rPr>
        <w:t xml:space="preserve"> </w:t>
      </w:r>
      <w:r w:rsidR="000F634A" w:rsidRPr="00AE77D4">
        <w:rPr>
          <w:rFonts w:ascii="Times New Roman" w:hAnsi="Times New Roman" w:cs="Times New Roman"/>
          <w:sz w:val="24"/>
          <w:szCs w:val="24"/>
          <w:lang w:val="en-GB"/>
        </w:rPr>
        <w:t>while</w:t>
      </w:r>
      <w:r w:rsidR="00007BB9" w:rsidRPr="00AE77D4">
        <w:rPr>
          <w:rFonts w:ascii="Times New Roman" w:hAnsi="Times New Roman" w:cs="Times New Roman"/>
          <w:sz w:val="24"/>
          <w:szCs w:val="24"/>
          <w:lang w:val="en-GB"/>
        </w:rPr>
        <w:t xml:space="preserve"> </w:t>
      </w:r>
      <w:r w:rsidR="000F634A" w:rsidRPr="00AE77D4">
        <w:rPr>
          <w:rFonts w:ascii="Times New Roman" w:hAnsi="Times New Roman" w:cs="Times New Roman"/>
          <w:sz w:val="24"/>
          <w:szCs w:val="24"/>
          <w:shd w:val="clear" w:color="auto" w:fill="FFFFFF"/>
          <w:lang w:val="en-GB"/>
        </w:rPr>
        <w:t>Al Kurdi</w:t>
      </w:r>
      <w:r w:rsidR="000F634A" w:rsidRPr="00AE77D4">
        <w:rPr>
          <w:rFonts w:ascii="Times New Roman" w:hAnsi="Times New Roman" w:cs="Times New Roman"/>
          <w:sz w:val="24"/>
          <w:szCs w:val="24"/>
          <w:lang w:val="en-GB"/>
        </w:rPr>
        <w:t xml:space="preserve"> et al. (2023) and Saha and Akter (2013) </w:t>
      </w:r>
      <w:r w:rsidR="00007BB9" w:rsidRPr="00AE77D4">
        <w:rPr>
          <w:rFonts w:ascii="Times New Roman" w:hAnsi="Times New Roman" w:cs="Times New Roman"/>
          <w:sz w:val="24"/>
          <w:szCs w:val="24"/>
          <w:lang w:val="en-GB"/>
        </w:rPr>
        <w:t>ha</w:t>
      </w:r>
      <w:r w:rsidR="000F634A" w:rsidRPr="00AE77D4">
        <w:rPr>
          <w:rFonts w:ascii="Times New Roman" w:hAnsi="Times New Roman" w:cs="Times New Roman"/>
          <w:sz w:val="24"/>
          <w:szCs w:val="24"/>
          <w:lang w:val="en-GB"/>
        </w:rPr>
        <w:t>ve</w:t>
      </w:r>
      <w:r w:rsidR="00007BB9" w:rsidRPr="00AE77D4">
        <w:rPr>
          <w:rFonts w:ascii="Times New Roman" w:hAnsi="Times New Roman" w:cs="Times New Roman"/>
          <w:sz w:val="24"/>
          <w:szCs w:val="24"/>
          <w:lang w:val="en-GB"/>
        </w:rPr>
        <w:t xml:space="preserve"> revealed a negative relationship between audit committee</w:t>
      </w:r>
      <w:r w:rsidRPr="00AE77D4">
        <w:rPr>
          <w:rFonts w:ascii="Times New Roman" w:eastAsia="Calibri" w:hAnsi="Times New Roman" w:cs="Times New Roman"/>
          <w:sz w:val="24"/>
          <w:szCs w:val="24"/>
          <w:lang w:val="en-GB"/>
        </w:rPr>
        <w:t>s and CCD</w:t>
      </w:r>
      <w:r w:rsidR="008317CE" w:rsidRPr="00AE77D4">
        <w:rPr>
          <w:rFonts w:ascii="Times New Roman" w:hAnsi="Times New Roman" w:cs="Times New Roman"/>
          <w:sz w:val="24"/>
          <w:szCs w:val="24"/>
          <w:lang w:val="en-GB"/>
        </w:rPr>
        <w:t>.</w:t>
      </w:r>
      <w:r w:rsidR="005B3783" w:rsidRPr="00AE77D4">
        <w:rPr>
          <w:rFonts w:ascii="Times New Roman" w:hAnsi="Times New Roman" w:cs="Times New Roman"/>
          <w:sz w:val="24"/>
          <w:szCs w:val="24"/>
          <w:lang w:val="en-GB"/>
        </w:rPr>
        <w:t xml:space="preserve"> </w:t>
      </w:r>
      <w:r w:rsidR="000F5C79" w:rsidRPr="00AE77D4">
        <w:rPr>
          <w:rFonts w:ascii="Times New Roman" w:hAnsi="Times New Roman" w:cs="Times New Roman"/>
          <w:sz w:val="24"/>
          <w:szCs w:val="24"/>
          <w:lang w:val="en-GB"/>
        </w:rPr>
        <w:t>Therefore, an audit committee is mandatory in the CGC of Bangladesh</w:t>
      </w:r>
      <w:r w:rsidR="000F5C79" w:rsidRPr="00AE77D4">
        <w:rPr>
          <w:rFonts w:ascii="Times New Roman" w:eastAsia="TimesNewRoman" w:hAnsi="Times New Roman" w:cs="Times New Roman"/>
          <w:sz w:val="24"/>
          <w:szCs w:val="24"/>
          <w:lang w:val="en-GB" w:bidi="bn-BD"/>
        </w:rPr>
        <w:t xml:space="preserve"> </w:t>
      </w:r>
      <w:r w:rsidR="000F5C79" w:rsidRPr="00AE77D4">
        <w:rPr>
          <w:rFonts w:ascii="Times New Roman" w:hAnsi="Times New Roman" w:cs="Times New Roman"/>
          <w:sz w:val="24"/>
          <w:szCs w:val="24"/>
          <w:lang w:val="en-GB"/>
        </w:rPr>
        <w:t xml:space="preserve">(Securities and Exchange Commission, 2012; Bangladesh Securities and Exchange Commission, 2018). </w:t>
      </w:r>
      <w:r w:rsidR="0091047D" w:rsidRPr="00AE77D4">
        <w:rPr>
          <w:rFonts w:ascii="Times New Roman" w:hAnsi="Times New Roman" w:cs="Times New Roman"/>
          <w:sz w:val="24"/>
          <w:szCs w:val="24"/>
          <w:lang w:val="en-GB"/>
        </w:rPr>
        <w:t xml:space="preserve">Overall, previous research and promulgated policies recommend that the audit committee is likely to be responsible for CCD practices, in addition to the existing role of monitoring financial information. </w:t>
      </w:r>
      <w:r w:rsidR="005B3783" w:rsidRPr="00AE77D4">
        <w:rPr>
          <w:rFonts w:ascii="Times New Roman" w:hAnsi="Times New Roman" w:cs="Times New Roman"/>
          <w:sz w:val="24"/>
          <w:szCs w:val="24"/>
          <w:lang w:val="en-GB"/>
        </w:rPr>
        <w:t xml:space="preserve">Therefore, </w:t>
      </w:r>
      <w:r w:rsidRPr="00AE77D4">
        <w:rPr>
          <w:rFonts w:ascii="Times New Roman" w:hAnsi="Times New Roman" w:cs="Times New Roman"/>
          <w:sz w:val="24"/>
          <w:szCs w:val="24"/>
          <w:lang w:val="en-GB"/>
        </w:rPr>
        <w:t>we propose the following hypotheses:</w:t>
      </w:r>
    </w:p>
    <w:p w14:paraId="1DD21D85" w14:textId="38F0155C" w:rsidR="00AF54D2"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H7: There is a positive </w:t>
      </w:r>
      <w:r w:rsidR="007E760A" w:rsidRPr="00AE77D4">
        <w:rPr>
          <w:rFonts w:ascii="Times New Roman" w:hAnsi="Times New Roman" w:cs="Times New Roman"/>
          <w:sz w:val="24"/>
          <w:szCs w:val="24"/>
          <w:lang w:val="en-GB"/>
        </w:rPr>
        <w:t xml:space="preserve">relationship </w:t>
      </w:r>
      <w:r w:rsidRPr="00AE77D4">
        <w:rPr>
          <w:rFonts w:ascii="Times New Roman" w:hAnsi="Times New Roman" w:cs="Times New Roman"/>
          <w:sz w:val="24"/>
          <w:szCs w:val="24"/>
          <w:lang w:val="en-GB"/>
        </w:rPr>
        <w:t xml:space="preserve">between </w:t>
      </w:r>
      <w:r w:rsidR="00D85183" w:rsidRPr="00AE77D4">
        <w:rPr>
          <w:rFonts w:ascii="Times New Roman" w:hAnsi="Times New Roman" w:cs="Times New Roman"/>
          <w:sz w:val="24"/>
          <w:szCs w:val="24"/>
          <w:lang w:val="en-GB"/>
        </w:rPr>
        <w:t xml:space="preserve">the presence of an </w:t>
      </w:r>
      <w:r w:rsidRPr="00AE77D4">
        <w:rPr>
          <w:rFonts w:ascii="Times New Roman" w:hAnsi="Times New Roman" w:cs="Times New Roman"/>
          <w:sz w:val="24"/>
          <w:szCs w:val="24"/>
          <w:lang w:val="en-GB"/>
        </w:rPr>
        <w:t xml:space="preserve">audit committee and the level of </w:t>
      </w:r>
      <w:r w:rsidR="00E353AF" w:rsidRPr="00AE77D4">
        <w:rPr>
          <w:rFonts w:ascii="Times New Roman" w:hAnsi="Times New Roman" w:cs="Times New Roman"/>
          <w:sz w:val="24"/>
          <w:szCs w:val="24"/>
          <w:lang w:val="en-GB"/>
        </w:rPr>
        <w:t xml:space="preserve">climate change </w:t>
      </w:r>
      <w:r w:rsidRPr="00AE77D4">
        <w:rPr>
          <w:rFonts w:ascii="Times New Roman" w:hAnsi="Times New Roman" w:cs="Times New Roman"/>
          <w:sz w:val="24"/>
          <w:szCs w:val="24"/>
          <w:lang w:val="en-GB"/>
        </w:rPr>
        <w:t>disclosure</w:t>
      </w:r>
      <w:r w:rsidR="005D0047" w:rsidRPr="00AE77D4">
        <w:rPr>
          <w:rFonts w:ascii="Times New Roman" w:hAnsi="Times New Roman" w:cs="Times New Roman"/>
          <w:sz w:val="24"/>
          <w:szCs w:val="24"/>
          <w:lang w:val="en-GB"/>
        </w:rPr>
        <w:t>.</w:t>
      </w:r>
    </w:p>
    <w:p w14:paraId="20C32BFE" w14:textId="76D17C8E" w:rsidR="00C166AE"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5</w:t>
      </w:r>
      <w:r w:rsidR="00D667E4" w:rsidRPr="00AE77D4">
        <w:rPr>
          <w:rFonts w:ascii="Times New Roman" w:hAnsi="Times New Roman" w:cs="Times New Roman"/>
          <w:b/>
          <w:sz w:val="24"/>
          <w:szCs w:val="24"/>
          <w:lang w:val="en-GB"/>
        </w:rPr>
        <w:t xml:space="preserve"> </w:t>
      </w:r>
      <w:r w:rsidRPr="00AE77D4">
        <w:rPr>
          <w:rFonts w:ascii="Times New Roman" w:hAnsi="Times New Roman" w:cs="Times New Roman"/>
          <w:b/>
          <w:sz w:val="24"/>
          <w:szCs w:val="24"/>
          <w:lang w:val="en-GB"/>
        </w:rPr>
        <w:t xml:space="preserve">| </w:t>
      </w:r>
      <w:r w:rsidRPr="00AE77D4">
        <w:rPr>
          <w:rFonts w:ascii="Times New Roman" w:hAnsi="Times New Roman" w:cs="Times New Roman"/>
          <w:b/>
          <w:bCs/>
          <w:sz w:val="24"/>
          <w:szCs w:val="24"/>
          <w:lang w:val="en-GB"/>
        </w:rPr>
        <w:t>RESEARCH DESIGN</w:t>
      </w:r>
    </w:p>
    <w:p w14:paraId="7A7B7D58" w14:textId="119C0E7F" w:rsidR="00C166AE" w:rsidRPr="00AE77D4" w:rsidRDefault="00661A05" w:rsidP="00AE77D4">
      <w:pPr>
        <w:spacing w:line="276" w:lineRule="auto"/>
        <w:jc w:val="both"/>
        <w:rPr>
          <w:rFonts w:ascii="Times New Roman" w:hAnsi="Times New Roman" w:cs="Times New Roman"/>
          <w:b/>
          <w:iCs/>
          <w:sz w:val="24"/>
          <w:szCs w:val="24"/>
          <w:lang w:val="en-GB"/>
        </w:rPr>
      </w:pPr>
      <w:r w:rsidRPr="00AE77D4">
        <w:rPr>
          <w:rFonts w:ascii="Times New Roman" w:hAnsi="Times New Roman" w:cs="Times New Roman"/>
          <w:b/>
          <w:iCs/>
          <w:sz w:val="24"/>
          <w:szCs w:val="24"/>
          <w:lang w:val="en-GB"/>
        </w:rPr>
        <w:t xml:space="preserve">5.1 </w:t>
      </w:r>
      <w:r w:rsidR="004D4E61" w:rsidRPr="00AE77D4">
        <w:rPr>
          <w:rFonts w:ascii="Times New Roman" w:hAnsi="Times New Roman" w:cs="Times New Roman"/>
          <w:b/>
          <w:iCs/>
          <w:sz w:val="24"/>
          <w:szCs w:val="24"/>
          <w:lang w:val="en-GB"/>
        </w:rPr>
        <w:t xml:space="preserve">Sample and </w:t>
      </w:r>
      <w:r w:rsidRPr="00AE77D4">
        <w:rPr>
          <w:rFonts w:ascii="Times New Roman" w:hAnsi="Times New Roman" w:cs="Times New Roman"/>
          <w:b/>
          <w:iCs/>
          <w:sz w:val="24"/>
          <w:szCs w:val="24"/>
          <w:lang w:val="en-GB"/>
        </w:rPr>
        <w:t>Data</w:t>
      </w:r>
      <w:r w:rsidR="003D49BE" w:rsidRPr="00AE77D4">
        <w:rPr>
          <w:rFonts w:ascii="Times New Roman" w:hAnsi="Times New Roman" w:cs="Times New Roman"/>
          <w:b/>
          <w:iCs/>
          <w:sz w:val="24"/>
          <w:szCs w:val="24"/>
          <w:lang w:val="en-GB"/>
        </w:rPr>
        <w:t xml:space="preserve"> </w:t>
      </w:r>
    </w:p>
    <w:p w14:paraId="32E5E78B" w14:textId="7E6677FC" w:rsidR="009727A2"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We concentrated on all manufacturing companies listed on the Dhaka Stock Exchange (DSE) in Bangladesh, focusing on the years 2014–2021, as they are deemed most responsible for climate degradation. Financial institutions are excluded because of their unique accounting </w:t>
      </w:r>
      <w:r w:rsidRPr="00AE77D4">
        <w:rPr>
          <w:rFonts w:ascii="Times New Roman" w:hAnsi="Times New Roman" w:cs="Times New Roman"/>
          <w:sz w:val="24"/>
          <w:szCs w:val="24"/>
          <w:lang w:val="en-GB"/>
        </w:rPr>
        <w:lastRenderedPageBreak/>
        <w:t>needs, different governance systems, and legal environments (Luo &amp; Tang, 2021; Orazalin, 2020). The sample was further filtered to retain firms with the required data for the entire eight-year period, aligning with previous research standards (Baboukardos, Mangena, and Ishola, 2021). The timespan was divided into two categories: pre-amendment of Corporate Governance (CG) from 2014 to 2017 and post-amendment of CG from 2018 to 2021 (see Panel A of Table 1).</w:t>
      </w:r>
    </w:p>
    <w:p w14:paraId="5CF974FE" w14:textId="3794098B" w:rsidR="009727A2"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Panel B</w:t>
      </w:r>
      <w:r w:rsidR="005779CE" w:rsidRPr="00AE77D4">
        <w:rPr>
          <w:rFonts w:ascii="Times New Roman" w:hAnsi="Times New Roman" w:cs="Times New Roman"/>
          <w:sz w:val="24"/>
          <w:szCs w:val="24"/>
          <w:lang w:val="en-GB"/>
        </w:rPr>
        <w:t xml:space="preserve"> of Table 1 outlines the sample selection process to represent environmentally sensitive firms that are most exposed to climate regulations, </w:t>
      </w:r>
      <w:r w:rsidR="004627E4" w:rsidRPr="00AE77D4">
        <w:rPr>
          <w:rFonts w:ascii="Times New Roman" w:hAnsi="Times New Roman" w:cs="Times New Roman"/>
          <w:sz w:val="24"/>
          <w:szCs w:val="24"/>
          <w:lang w:val="en-GB"/>
        </w:rPr>
        <w:t>guidelines,</w:t>
      </w:r>
      <w:r w:rsidR="005779CE" w:rsidRPr="00AE77D4">
        <w:rPr>
          <w:rFonts w:ascii="Times New Roman" w:hAnsi="Times New Roman" w:cs="Times New Roman"/>
          <w:sz w:val="24"/>
          <w:szCs w:val="24"/>
          <w:lang w:val="en-GB"/>
        </w:rPr>
        <w:t xml:space="preserve"> and public pressure </w:t>
      </w:r>
      <w:r w:rsidR="005779CE" w:rsidRPr="00AE77D4">
        <w:rPr>
          <w:rFonts w:ascii="Times New Roman" w:hAnsi="Times New Roman" w:cs="Times New Roman"/>
          <w:noProof/>
          <w:sz w:val="24"/>
          <w:szCs w:val="24"/>
          <w:lang w:val="en-GB"/>
        </w:rPr>
        <w:t xml:space="preserve">(Al-Shaer </w:t>
      </w:r>
      <w:r w:rsidR="005779CE" w:rsidRPr="00AE77D4">
        <w:rPr>
          <w:rFonts w:ascii="Times New Roman" w:hAnsi="Times New Roman" w:cs="Times New Roman"/>
          <w:sz w:val="24"/>
          <w:szCs w:val="24"/>
          <w:lang w:val="en-GB"/>
        </w:rPr>
        <w:t xml:space="preserve">&amp; </w:t>
      </w:r>
      <w:r w:rsidR="005779CE" w:rsidRPr="00AE77D4">
        <w:rPr>
          <w:rFonts w:ascii="Times New Roman" w:hAnsi="Times New Roman" w:cs="Times New Roman"/>
          <w:noProof/>
          <w:sz w:val="24"/>
          <w:szCs w:val="24"/>
          <w:lang w:val="en-GB"/>
        </w:rPr>
        <w:t>Zaman, 2019)</w:t>
      </w:r>
      <w:r w:rsidR="005779CE" w:rsidRPr="00AE77D4">
        <w:rPr>
          <w:rFonts w:ascii="Times New Roman" w:hAnsi="Times New Roman" w:cs="Times New Roman"/>
          <w:sz w:val="24"/>
          <w:szCs w:val="24"/>
          <w:lang w:val="en-GB"/>
        </w:rPr>
        <w:t xml:space="preserve">, This yielded 800 firm-year observations from 100 firms, representing eight sectors listed in </w:t>
      </w:r>
      <w:r w:rsidRPr="00AE77D4">
        <w:rPr>
          <w:rFonts w:ascii="Times New Roman" w:eastAsia="Calibri" w:hAnsi="Times New Roman" w:cs="Times New Roman"/>
          <w:sz w:val="24"/>
          <w:szCs w:val="24"/>
          <w:lang w:val="en-GB"/>
        </w:rPr>
        <w:t xml:space="preserve">the DSE. Data on internal CG mechanisms and climate disclosures were obtained from </w:t>
      </w:r>
      <w:r w:rsidR="005779CE" w:rsidRPr="00AE77D4">
        <w:rPr>
          <w:rFonts w:ascii="Times New Roman" w:hAnsi="Times New Roman" w:cs="Times New Roman"/>
          <w:sz w:val="24"/>
          <w:szCs w:val="24"/>
          <w:lang w:val="en-GB"/>
        </w:rPr>
        <w:t xml:space="preserve">published annual reports that provide comprehensive, objective, and systematic information on publicly listed companies in Bangladesh </w:t>
      </w:r>
      <w:r w:rsidR="004F5638" w:rsidRPr="00AE77D4">
        <w:rPr>
          <w:rFonts w:ascii="Times New Roman" w:hAnsi="Times New Roman" w:cs="Times New Roman"/>
          <w:sz w:val="24"/>
          <w:szCs w:val="24"/>
          <w:lang w:val="en-GB"/>
        </w:rPr>
        <w:t>(Haque, 2017; Orazalin, 2020).</w:t>
      </w:r>
      <w:r w:rsidR="006B424C" w:rsidRPr="00AE77D4">
        <w:rPr>
          <w:rFonts w:ascii="Times New Roman" w:hAnsi="Times New Roman" w:cs="Times New Roman"/>
          <w:sz w:val="24"/>
          <w:szCs w:val="24"/>
          <w:lang w:val="en-GB"/>
        </w:rPr>
        <w:t xml:space="preserve"> </w:t>
      </w:r>
      <w:r w:rsidR="00D45B19" w:rsidRPr="00AE77D4">
        <w:rPr>
          <w:rFonts w:ascii="Times New Roman" w:hAnsi="Times New Roman" w:cs="Times New Roman"/>
          <w:sz w:val="24"/>
          <w:szCs w:val="24"/>
          <w:lang w:val="en-GB"/>
        </w:rPr>
        <w:t xml:space="preserve">According to earlier investigations, </w:t>
      </w:r>
      <w:r w:rsidR="00BD7B90" w:rsidRPr="00AE77D4">
        <w:rPr>
          <w:rFonts w:ascii="Times New Roman" w:hAnsi="Times New Roman" w:cs="Times New Roman"/>
          <w:sz w:val="24"/>
          <w:szCs w:val="24"/>
          <w:lang w:val="en-GB"/>
        </w:rPr>
        <w:t xml:space="preserve">environmentally sensitive </w:t>
      </w:r>
      <w:r w:rsidR="002C468E" w:rsidRPr="00AE77D4">
        <w:rPr>
          <w:rFonts w:ascii="Times New Roman" w:hAnsi="Times New Roman" w:cs="Times New Roman"/>
          <w:sz w:val="24"/>
          <w:szCs w:val="24"/>
          <w:lang w:val="en-GB"/>
        </w:rPr>
        <w:t>firms</w:t>
      </w:r>
      <w:r w:rsidR="00E22449" w:rsidRPr="00AE77D4">
        <w:rPr>
          <w:rFonts w:ascii="Times New Roman" w:hAnsi="Times New Roman" w:cs="Times New Roman"/>
          <w:sz w:val="24"/>
          <w:szCs w:val="24"/>
          <w:lang w:val="en-GB"/>
        </w:rPr>
        <w:t xml:space="preserve"> </w:t>
      </w:r>
      <w:r w:rsidR="00CE4BAB" w:rsidRPr="00AE77D4">
        <w:rPr>
          <w:rFonts w:ascii="Times New Roman" w:hAnsi="Times New Roman" w:cs="Times New Roman"/>
          <w:sz w:val="24"/>
          <w:szCs w:val="24"/>
          <w:lang w:val="en-GB"/>
        </w:rPr>
        <w:t xml:space="preserve">are </w:t>
      </w:r>
      <w:r w:rsidR="005B366B" w:rsidRPr="00AE77D4">
        <w:rPr>
          <w:rFonts w:ascii="Times New Roman" w:hAnsi="Times New Roman" w:cs="Times New Roman"/>
          <w:sz w:val="24"/>
          <w:szCs w:val="24"/>
          <w:lang w:val="en-GB"/>
        </w:rPr>
        <w:t>more likely to disclose</w:t>
      </w:r>
      <w:r w:rsidR="00E22449" w:rsidRPr="00AE77D4">
        <w:rPr>
          <w:rFonts w:ascii="Times New Roman" w:hAnsi="Times New Roman" w:cs="Times New Roman"/>
          <w:sz w:val="24"/>
          <w:szCs w:val="24"/>
          <w:lang w:val="en-GB"/>
        </w:rPr>
        <w:t xml:space="preserve"> their </w:t>
      </w:r>
      <w:r w:rsidR="001B059F" w:rsidRPr="00AE77D4">
        <w:rPr>
          <w:rFonts w:ascii="Times New Roman" w:hAnsi="Times New Roman" w:cs="Times New Roman"/>
          <w:sz w:val="24"/>
          <w:szCs w:val="24"/>
          <w:lang w:val="en-GB"/>
        </w:rPr>
        <w:t xml:space="preserve">climate </w:t>
      </w:r>
      <w:r w:rsidR="00E22449" w:rsidRPr="00AE77D4">
        <w:rPr>
          <w:rFonts w:ascii="Times New Roman" w:hAnsi="Times New Roman" w:cs="Times New Roman"/>
          <w:sz w:val="24"/>
          <w:szCs w:val="24"/>
          <w:lang w:val="en-GB"/>
        </w:rPr>
        <w:t>actions</w:t>
      </w:r>
      <w:r w:rsidR="00BD7B90" w:rsidRPr="00AE77D4">
        <w:rPr>
          <w:rFonts w:ascii="Times New Roman" w:hAnsi="Times New Roman" w:cs="Times New Roman"/>
          <w:sz w:val="24"/>
          <w:szCs w:val="24"/>
          <w:lang w:val="en-GB"/>
        </w:rPr>
        <w:t xml:space="preserve"> to</w:t>
      </w:r>
      <w:r w:rsidR="00E22449" w:rsidRPr="00AE77D4">
        <w:rPr>
          <w:rFonts w:ascii="Times New Roman" w:hAnsi="Times New Roman" w:cs="Times New Roman"/>
          <w:sz w:val="24"/>
          <w:szCs w:val="24"/>
          <w:lang w:val="en-GB"/>
        </w:rPr>
        <w:t xml:space="preserve"> </w:t>
      </w:r>
      <w:r w:rsidR="006F0F39" w:rsidRPr="00AE77D4">
        <w:rPr>
          <w:rFonts w:ascii="Times New Roman" w:hAnsi="Times New Roman" w:cs="Times New Roman"/>
          <w:sz w:val="24"/>
          <w:szCs w:val="24"/>
          <w:lang w:val="en-GB"/>
        </w:rPr>
        <w:t xml:space="preserve">address </w:t>
      </w:r>
      <w:r w:rsidR="000C4DDC" w:rsidRPr="00AE77D4">
        <w:rPr>
          <w:rFonts w:ascii="Times New Roman" w:hAnsi="Times New Roman" w:cs="Times New Roman"/>
          <w:sz w:val="24"/>
          <w:szCs w:val="24"/>
          <w:lang w:val="en-GB"/>
        </w:rPr>
        <w:t>regulatory</w:t>
      </w:r>
      <w:r w:rsidR="00E22449" w:rsidRPr="00AE77D4">
        <w:rPr>
          <w:rFonts w:ascii="Times New Roman" w:hAnsi="Times New Roman" w:cs="Times New Roman"/>
          <w:sz w:val="24"/>
          <w:szCs w:val="24"/>
          <w:lang w:val="en-GB"/>
        </w:rPr>
        <w:t xml:space="preserve"> threat</w:t>
      </w:r>
      <w:r w:rsidRPr="00AE77D4">
        <w:rPr>
          <w:rFonts w:ascii="Times New Roman" w:eastAsia="Calibri" w:hAnsi="Times New Roman" w:cs="Times New Roman"/>
          <w:sz w:val="24"/>
          <w:szCs w:val="24"/>
          <w:lang w:val="en-GB"/>
        </w:rPr>
        <w:t xml:space="preserve">s </w:t>
      </w:r>
      <w:r w:rsidR="00BD7B90" w:rsidRPr="00AE77D4">
        <w:rPr>
          <w:rFonts w:ascii="Times New Roman" w:hAnsi="Times New Roman" w:cs="Times New Roman"/>
          <w:sz w:val="24"/>
          <w:szCs w:val="24"/>
          <w:lang w:val="en-GB"/>
        </w:rPr>
        <w:t>by managing coercive pressure</w:t>
      </w:r>
      <w:r w:rsidRPr="00AE77D4">
        <w:rPr>
          <w:rFonts w:ascii="Times New Roman" w:eastAsia="Calibri" w:hAnsi="Times New Roman" w:cs="Times New Roman"/>
          <w:sz w:val="24"/>
          <w:szCs w:val="24"/>
          <w:lang w:val="en-GB"/>
        </w:rPr>
        <w:t xml:space="preserve">s </w:t>
      </w:r>
      <w:r w:rsidR="00E22449" w:rsidRPr="00AE77D4">
        <w:rPr>
          <w:rFonts w:ascii="Times New Roman" w:hAnsi="Times New Roman" w:cs="Times New Roman"/>
          <w:sz w:val="24"/>
          <w:szCs w:val="24"/>
          <w:lang w:val="en-GB"/>
        </w:rPr>
        <w:fldChar w:fldCharType="begin" w:fldLock="1"/>
      </w:r>
      <w:r w:rsidR="002543F6" w:rsidRPr="00AE77D4">
        <w:rPr>
          <w:rFonts w:ascii="Times New Roman" w:hAnsi="Times New Roman" w:cs="Times New Roman"/>
          <w:sz w:val="24"/>
          <w:szCs w:val="24"/>
          <w:lang w:val="en-GB"/>
        </w:rPr>
        <w:instrText xml:space="preserve"> ADDIN ZOTERO_ITEM CSL_CITATION {"citationID":"bfqhbDwp","properties":{"formattedCitation":"(Datt et al., 2019)","plainCitation":"(Datt et al., 2019)","noteIndex":0},"citationItems":[{"id":"oS3NVP3l/tUw5v7O5","uris":["http://www.mendeley.com/documents/?uuid=c62c4162-da78-458b-ad9a-d5aca802c464"],"itemData":{"DOI":"10.1108/arj-03-2017-0050","ISSN":"1030-9616","abstract":"Purpose – The purpose of this study is to examine the impact of legitimacy threats on corporate incentive to obtain external carbon assurance. Design/methodology/approach – The sample consists of the largest US companies that disclosed carbon emissions to CDP (formerly the Carbon Disclosure Project) over the period 2010-2013. Based on legitimacy theory, firms are more likely to obtain carbon assurance when they are under greater legitimacy threat. Carbon assurance is measured using CDP data. Three proxies are identified to measure legitimacy threat related to climate change: carbon emissions intensity, firm size and leverage. Findings – This paper finds that firms with higher levels of emissions are more likely to obtain independent assurance, and large firms show the same tendency, as they are probably under pressure from their large group of stakeholders. In sum, the findings suggest that firms with higher carbon emissions face greater threats to their legitimacy, and the adoption of carbon assurance can mitigate risks to legitimacy with enhanced credibility of carbon disclosure in stakeholders’ decision-making. Research limitations/implications – The study has some limitations. The authors have relied on CDP reports for analysis and focus on the largest companies in the US. Caution should be exercised when generalising the results to smaller firms, other countries or voluntary carbon assurance information disclosed in other communications channels. Practical implications – This study provides extra insights into and an improved understanding of determinants and motivation of carbon assurance, which should be useful for policymakers to develop policies and initiatives for carbon assurance. The collective results should be useful for practicing accountants and accounting firms. Originality/value – The paper investigates how legitimacy threats affect firms’ choice of external carbon assurance in the context of US, which has not been documented previously. It contributes to the understanding of legitimacy theory in the context of voluntary carbon assurance. Keywords","author":[{"dropping-particle":"","family":"Datt","given":"Ragini Rina","non-dropping-particle":"","parse-names":false,"suffix":""},{"dropping-particle":"","family":"Luo","given":"Le","non-dropping-particle":"","parse-names":false,"suffix":""},{"dropping-particle":"","family":"Tang","given":"Qingliang","non-dropping-particle":"","parse-names":false,"suffix":""}],"container-title":"Accounting Research Journal","id":"ITEM-1","issue":"2","issued":{"date-parts":[["2019"]]},"page":"00-00","title":"The Impact of Legitimacy Threat on the Choice of External Carbon Assurance: Evidence from the United States","type":"article-journal","volume":"32"}}],"schema":"https://github.com/citation-style-language/schema/raw/master/csl-citation.json"} </w:instrText>
      </w:r>
      <w:r w:rsidR="00E22449" w:rsidRPr="00AE77D4">
        <w:rPr>
          <w:rFonts w:ascii="Times New Roman" w:hAnsi="Times New Roman" w:cs="Times New Roman"/>
          <w:sz w:val="24"/>
          <w:szCs w:val="24"/>
          <w:lang w:val="en-GB"/>
        </w:rPr>
        <w:fldChar w:fldCharType="separate"/>
      </w:r>
      <w:r w:rsidR="002543F6" w:rsidRPr="00AE77D4">
        <w:rPr>
          <w:rFonts w:ascii="Times New Roman" w:hAnsi="Times New Roman" w:cs="Times New Roman"/>
          <w:sz w:val="24"/>
          <w:lang w:val="en-GB"/>
        </w:rPr>
        <w:t>(Datt et al., 2019)</w:t>
      </w:r>
      <w:r w:rsidR="00E22449" w:rsidRPr="00AE77D4">
        <w:rPr>
          <w:rFonts w:ascii="Times New Roman" w:hAnsi="Times New Roman" w:cs="Times New Roman"/>
          <w:sz w:val="24"/>
          <w:szCs w:val="24"/>
          <w:lang w:val="en-GB"/>
        </w:rPr>
        <w:fldChar w:fldCharType="end"/>
      </w:r>
      <w:r w:rsidR="00E22449" w:rsidRPr="00AE77D4">
        <w:rPr>
          <w:rFonts w:ascii="Times New Roman" w:hAnsi="Times New Roman" w:cs="Times New Roman"/>
          <w:sz w:val="24"/>
          <w:szCs w:val="24"/>
          <w:lang w:val="en-GB"/>
        </w:rPr>
        <w:t>.</w:t>
      </w:r>
      <w:r w:rsidR="00BD7B90" w:rsidRPr="00AE77D4">
        <w:rPr>
          <w:rFonts w:ascii="Times New Roman" w:hAnsi="Times New Roman" w:cs="Times New Roman"/>
          <w:sz w:val="24"/>
          <w:szCs w:val="24"/>
          <w:lang w:val="en-GB"/>
        </w:rPr>
        <w:t xml:space="preserve"> </w:t>
      </w:r>
    </w:p>
    <w:p w14:paraId="737CB528" w14:textId="46CD20F6" w:rsidR="00544F53" w:rsidRPr="00AE77D4" w:rsidRDefault="00661A05" w:rsidP="00AE77D4">
      <w:pPr>
        <w:spacing w:line="276" w:lineRule="auto"/>
        <w:jc w:val="both"/>
        <w:rPr>
          <w:rFonts w:ascii="Times New Roman" w:hAnsi="Times New Roman" w:cs="Times New Roman"/>
          <w:b/>
          <w:bCs/>
          <w:sz w:val="24"/>
          <w:szCs w:val="24"/>
          <w:lang w:val="en-GB"/>
        </w:rPr>
      </w:pPr>
      <w:r w:rsidRPr="00AE77D4">
        <w:rPr>
          <w:rFonts w:ascii="Times New Roman" w:hAnsi="Times New Roman" w:cs="Times New Roman"/>
          <w:sz w:val="24"/>
          <w:szCs w:val="24"/>
          <w:lang w:val="en-GB"/>
        </w:rPr>
        <w:t>Panel C in Table 1 presents the sample distribution by sector. Engineering, with 224 observations (28%), was the most represented sector, followed by textile</w:t>
      </w:r>
      <w:r w:rsidRPr="00AE77D4">
        <w:rPr>
          <w:rFonts w:ascii="Times New Roman" w:eastAsia="Calibri" w:hAnsi="Times New Roman" w:cs="Times New Roman"/>
          <w:sz w:val="24"/>
          <w:szCs w:val="24"/>
          <w:lang w:val="en-GB"/>
        </w:rPr>
        <w:t>s with 160 observations (20%), Pharmaceuticals &amp; Chemicals with 152 observations (19%), and Fuel and Power with 144 observations (18%).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AE77D4" w:rsidRPr="00AE77D4" w14:paraId="01448F68" w14:textId="77777777" w:rsidTr="006B424C">
        <w:tc>
          <w:tcPr>
            <w:tcW w:w="9350" w:type="dxa"/>
            <w:tcBorders>
              <w:bottom w:val="single" w:sz="4" w:space="0" w:color="auto"/>
            </w:tcBorders>
          </w:tcPr>
          <w:p w14:paraId="7ACC0E11"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b/>
                <w:bCs/>
                <w:sz w:val="24"/>
                <w:szCs w:val="24"/>
                <w:lang w:val="en-GB"/>
              </w:rPr>
              <w:t xml:space="preserve">Table 1. </w:t>
            </w:r>
            <w:r w:rsidRPr="00AE77D4">
              <w:rPr>
                <w:rFonts w:ascii="Times New Roman" w:hAnsi="Times New Roman" w:cs="Times New Roman"/>
                <w:sz w:val="24"/>
                <w:szCs w:val="24"/>
                <w:lang w:val="en-GB"/>
              </w:rPr>
              <w:t>Time period and Sample selection</w:t>
            </w:r>
          </w:p>
        </w:tc>
      </w:tr>
      <w:tr w:rsidR="00AE77D4" w:rsidRPr="00AE77D4" w14:paraId="140EEF8D" w14:textId="77777777" w:rsidTr="006B424C">
        <w:tc>
          <w:tcPr>
            <w:tcW w:w="9350" w:type="dxa"/>
          </w:tcPr>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6"/>
              <w:gridCol w:w="3047"/>
              <w:gridCol w:w="3116"/>
            </w:tblGrid>
            <w:tr w:rsidR="00AE77D4" w:rsidRPr="00AE77D4" w14:paraId="2BF368C1" w14:textId="77777777" w:rsidTr="00D54D1B">
              <w:trPr>
                <w:trHeight w:val="298"/>
              </w:trPr>
              <w:tc>
                <w:tcPr>
                  <w:tcW w:w="3046" w:type="dxa"/>
                </w:tcPr>
                <w:p w14:paraId="3E3E3D9B" w14:textId="77777777" w:rsidR="00544F53" w:rsidRPr="00AE77D4" w:rsidRDefault="00661A05" w:rsidP="00AE77D4">
                  <w:pPr>
                    <w:spacing w:line="276" w:lineRule="auto"/>
                    <w:rPr>
                      <w:rFonts w:ascii="Times New Roman" w:hAnsi="Times New Roman" w:cs="Times New Roman"/>
                      <w:i/>
                      <w:iCs/>
                      <w:sz w:val="24"/>
                      <w:szCs w:val="24"/>
                      <w:lang w:val="en-GB"/>
                    </w:rPr>
                  </w:pPr>
                  <w:r w:rsidRPr="00AE77D4">
                    <w:rPr>
                      <w:rFonts w:ascii="Times New Roman" w:hAnsi="Times New Roman" w:cs="Times New Roman"/>
                      <w:i/>
                      <w:iCs/>
                      <w:sz w:val="24"/>
                      <w:szCs w:val="24"/>
                      <w:lang w:val="en-GB"/>
                    </w:rPr>
                    <w:t>Panel A Time period</w:t>
                  </w:r>
                </w:p>
              </w:tc>
              <w:tc>
                <w:tcPr>
                  <w:tcW w:w="3047" w:type="dxa"/>
                </w:tcPr>
                <w:p w14:paraId="74CE3F52" w14:textId="77777777" w:rsidR="00544F53" w:rsidRPr="00AE77D4" w:rsidRDefault="00544F53" w:rsidP="00AE77D4">
                  <w:pPr>
                    <w:spacing w:line="276" w:lineRule="auto"/>
                    <w:rPr>
                      <w:rFonts w:ascii="Times New Roman" w:hAnsi="Times New Roman" w:cs="Times New Roman"/>
                      <w:sz w:val="24"/>
                      <w:szCs w:val="24"/>
                      <w:lang w:val="en-GB"/>
                    </w:rPr>
                  </w:pPr>
                </w:p>
              </w:tc>
              <w:tc>
                <w:tcPr>
                  <w:tcW w:w="3116" w:type="dxa"/>
                </w:tcPr>
                <w:p w14:paraId="27601431" w14:textId="77777777" w:rsidR="00544F53" w:rsidRPr="00AE77D4" w:rsidRDefault="00544F53" w:rsidP="00AE77D4">
                  <w:pPr>
                    <w:spacing w:line="276" w:lineRule="auto"/>
                    <w:rPr>
                      <w:rFonts w:ascii="Times New Roman" w:hAnsi="Times New Roman" w:cs="Times New Roman"/>
                      <w:sz w:val="24"/>
                      <w:szCs w:val="24"/>
                      <w:lang w:val="en-GB"/>
                    </w:rPr>
                  </w:pPr>
                </w:p>
              </w:tc>
            </w:tr>
            <w:tr w:rsidR="00AE77D4" w:rsidRPr="00AE77D4" w14:paraId="68DBA21E" w14:textId="77777777" w:rsidTr="00D54D1B">
              <w:trPr>
                <w:trHeight w:val="298"/>
              </w:trPr>
              <w:tc>
                <w:tcPr>
                  <w:tcW w:w="3046" w:type="dxa"/>
                  <w:tcBorders>
                    <w:bottom w:val="single" w:sz="4" w:space="0" w:color="auto"/>
                  </w:tcBorders>
                </w:tcPr>
                <w:p w14:paraId="34067C7F"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Period</w:t>
                  </w:r>
                </w:p>
              </w:tc>
              <w:tc>
                <w:tcPr>
                  <w:tcW w:w="3047" w:type="dxa"/>
                  <w:tcBorders>
                    <w:bottom w:val="single" w:sz="4" w:space="0" w:color="auto"/>
                  </w:tcBorders>
                </w:tcPr>
                <w:p w14:paraId="77E2D971"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Financial Years</w:t>
                  </w:r>
                </w:p>
              </w:tc>
              <w:tc>
                <w:tcPr>
                  <w:tcW w:w="3116" w:type="dxa"/>
                  <w:tcBorders>
                    <w:bottom w:val="single" w:sz="4" w:space="0" w:color="auto"/>
                  </w:tcBorders>
                </w:tcPr>
                <w:p w14:paraId="54BCC4ED"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Period in Relation to the CG</w:t>
                  </w:r>
                </w:p>
              </w:tc>
            </w:tr>
            <w:tr w:rsidR="00AE77D4" w:rsidRPr="00AE77D4" w14:paraId="6103BB56" w14:textId="77777777" w:rsidTr="00D54D1B">
              <w:trPr>
                <w:trHeight w:val="298"/>
              </w:trPr>
              <w:tc>
                <w:tcPr>
                  <w:tcW w:w="3046" w:type="dxa"/>
                  <w:tcBorders>
                    <w:top w:val="single" w:sz="4" w:space="0" w:color="auto"/>
                  </w:tcBorders>
                </w:tcPr>
                <w:p w14:paraId="4CE759ED"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Period 1</w:t>
                  </w:r>
                </w:p>
              </w:tc>
              <w:tc>
                <w:tcPr>
                  <w:tcW w:w="3047" w:type="dxa"/>
                  <w:tcBorders>
                    <w:top w:val="single" w:sz="4" w:space="0" w:color="auto"/>
                  </w:tcBorders>
                </w:tcPr>
                <w:p w14:paraId="6271AAB1"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2014-2017</w:t>
                  </w:r>
                </w:p>
              </w:tc>
              <w:tc>
                <w:tcPr>
                  <w:tcW w:w="3116" w:type="dxa"/>
                  <w:tcBorders>
                    <w:top w:val="single" w:sz="4" w:space="0" w:color="auto"/>
                  </w:tcBorders>
                </w:tcPr>
                <w:p w14:paraId="3DAE4116"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Pre-amendment of CG</w:t>
                  </w:r>
                </w:p>
              </w:tc>
            </w:tr>
            <w:tr w:rsidR="00AE77D4" w:rsidRPr="00AE77D4" w14:paraId="7E15F0B0" w14:textId="77777777" w:rsidTr="00544F53">
              <w:trPr>
                <w:trHeight w:val="315"/>
              </w:trPr>
              <w:tc>
                <w:tcPr>
                  <w:tcW w:w="3046" w:type="dxa"/>
                </w:tcPr>
                <w:p w14:paraId="6736C3FB"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Period 2</w:t>
                  </w:r>
                </w:p>
              </w:tc>
              <w:tc>
                <w:tcPr>
                  <w:tcW w:w="3047" w:type="dxa"/>
                </w:tcPr>
                <w:p w14:paraId="3B096A0C"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2018-2021</w:t>
                  </w:r>
                </w:p>
              </w:tc>
              <w:tc>
                <w:tcPr>
                  <w:tcW w:w="3116" w:type="dxa"/>
                </w:tcPr>
                <w:p w14:paraId="73361D7B"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Post-amendment of CG</w:t>
                  </w:r>
                </w:p>
              </w:tc>
            </w:tr>
          </w:tbl>
          <w:p w14:paraId="2ABF9DA1" w14:textId="77777777" w:rsidR="00544F53" w:rsidRPr="00AE77D4" w:rsidRDefault="00544F53" w:rsidP="00AE77D4">
            <w:pPr>
              <w:spacing w:line="276" w:lineRule="auto"/>
              <w:rPr>
                <w:rFonts w:ascii="Times New Roman" w:hAnsi="Times New Roman" w:cs="Times New Roman"/>
                <w:b/>
                <w:bCs/>
                <w:sz w:val="24"/>
                <w:szCs w:val="24"/>
                <w:lang w:val="en-GB"/>
              </w:rPr>
            </w:pPr>
          </w:p>
        </w:tc>
      </w:tr>
      <w:tr w:rsidR="00AE77D4" w:rsidRPr="00AE77D4" w14:paraId="1221FAB2" w14:textId="77777777" w:rsidTr="006B424C">
        <w:tc>
          <w:tcPr>
            <w:tcW w:w="9350" w:type="dxa"/>
            <w:tcBorders>
              <w:bottom w:val="single" w:sz="4" w:space="0" w:color="auto"/>
            </w:tcBorders>
          </w:tcPr>
          <w:p w14:paraId="1C08A155" w14:textId="77777777" w:rsidR="00544F53" w:rsidRPr="00AE77D4" w:rsidRDefault="00544F53" w:rsidP="00AE77D4">
            <w:pPr>
              <w:spacing w:line="276" w:lineRule="auto"/>
              <w:rPr>
                <w:rFonts w:ascii="Times New Roman" w:hAnsi="Times New Roman" w:cs="Times New Roman"/>
                <w:b/>
                <w:bCs/>
                <w:sz w:val="24"/>
                <w:szCs w:val="24"/>
                <w:lang w:val="en-GB"/>
              </w:rPr>
            </w:pPr>
          </w:p>
        </w:tc>
      </w:tr>
      <w:tr w:rsidR="00AE77D4" w:rsidRPr="00AE77D4" w14:paraId="298EB8DD" w14:textId="77777777" w:rsidTr="006B424C">
        <w:tc>
          <w:tcPr>
            <w:tcW w:w="9350" w:type="dxa"/>
            <w:tcBorders>
              <w:top w:val="single" w:sz="4" w:space="0" w:color="auto"/>
              <w:bottom w:val="single" w:sz="4" w:space="0" w:color="auto"/>
            </w:tcBorders>
          </w:tcPr>
          <w:p w14:paraId="3C9B36B6"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i/>
                <w:iCs/>
                <w:sz w:val="24"/>
                <w:szCs w:val="24"/>
                <w:lang w:val="en-GB"/>
              </w:rPr>
              <w:t>Panel B Sample selection process</w:t>
            </w:r>
          </w:p>
        </w:tc>
      </w:tr>
      <w:tr w:rsidR="00AE77D4" w:rsidRPr="00AE77D4" w14:paraId="3F2AF839" w14:textId="77777777" w:rsidTr="006B424C">
        <w:tc>
          <w:tcPr>
            <w:tcW w:w="9350" w:type="dxa"/>
            <w:tcBorders>
              <w:top w:val="single" w:sz="4" w:space="0" w:color="auto"/>
            </w:tcBorders>
          </w:tcPr>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992"/>
              <w:gridCol w:w="2126"/>
              <w:gridCol w:w="709"/>
            </w:tblGrid>
            <w:tr w:rsidR="00AE77D4" w:rsidRPr="00AE77D4" w14:paraId="405DF72F" w14:textId="77777777" w:rsidTr="00D54D1B">
              <w:trPr>
                <w:trHeight w:val="89"/>
              </w:trPr>
              <w:tc>
                <w:tcPr>
                  <w:tcW w:w="5382" w:type="dxa"/>
                </w:tcPr>
                <w:p w14:paraId="6356BA78" w14:textId="77777777" w:rsidR="00544F53" w:rsidRPr="00AE77D4" w:rsidRDefault="00544F53" w:rsidP="00AE77D4">
                  <w:pPr>
                    <w:spacing w:line="276" w:lineRule="auto"/>
                    <w:jc w:val="right"/>
                    <w:rPr>
                      <w:rFonts w:ascii="Times New Roman" w:hAnsi="Times New Roman" w:cs="Times New Roman"/>
                      <w:sz w:val="24"/>
                      <w:szCs w:val="24"/>
                      <w:lang w:val="en-GB"/>
                    </w:rPr>
                  </w:pPr>
                </w:p>
              </w:tc>
              <w:tc>
                <w:tcPr>
                  <w:tcW w:w="992" w:type="dxa"/>
                  <w:tcBorders>
                    <w:bottom w:val="single" w:sz="4" w:space="0" w:color="auto"/>
                  </w:tcBorders>
                </w:tcPr>
                <w:p w14:paraId="113C72AD"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Firms</w:t>
                  </w:r>
                </w:p>
              </w:tc>
              <w:tc>
                <w:tcPr>
                  <w:tcW w:w="2126" w:type="dxa"/>
                  <w:tcBorders>
                    <w:bottom w:val="single" w:sz="4" w:space="0" w:color="auto"/>
                  </w:tcBorders>
                </w:tcPr>
                <w:p w14:paraId="57080B99"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No. of observations</w:t>
                  </w:r>
                </w:p>
              </w:tc>
              <w:tc>
                <w:tcPr>
                  <w:tcW w:w="709" w:type="dxa"/>
                  <w:tcBorders>
                    <w:bottom w:val="single" w:sz="4" w:space="0" w:color="auto"/>
                  </w:tcBorders>
                </w:tcPr>
                <w:p w14:paraId="6AB1C1A0"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 </w:t>
                  </w:r>
                  <w:r w:rsidRPr="00AE77D4">
                    <w:rPr>
                      <w:rFonts w:ascii="Arial" w:hAnsi="Arial" w:cs="Arial"/>
                      <w:sz w:val="21"/>
                      <w:szCs w:val="21"/>
                      <w:shd w:val="clear" w:color="auto" w:fill="FFFFFF"/>
                      <w:lang w:val="en-GB"/>
                    </w:rPr>
                    <w:t xml:space="preserve"> </w:t>
                  </w:r>
                  <w:r w:rsidRPr="00AE77D4">
                    <w:rPr>
                      <w:rFonts w:ascii="Arial" w:hAnsi="Arial" w:cs="Arial"/>
                      <w:sz w:val="24"/>
                      <w:szCs w:val="21"/>
                      <w:shd w:val="clear" w:color="auto" w:fill="FFFFFF"/>
                      <w:vertAlign w:val="superscript"/>
                      <w:lang w:val="en-GB"/>
                    </w:rPr>
                    <w:t>†</w:t>
                  </w:r>
                </w:p>
              </w:tc>
            </w:tr>
            <w:tr w:rsidR="00AE77D4" w:rsidRPr="00AE77D4" w14:paraId="69531EE8" w14:textId="77777777" w:rsidTr="00D54D1B">
              <w:trPr>
                <w:trHeight w:val="95"/>
              </w:trPr>
              <w:tc>
                <w:tcPr>
                  <w:tcW w:w="5382" w:type="dxa"/>
                </w:tcPr>
                <w:p w14:paraId="6FE09AAA" w14:textId="413C0A21"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All firms and observations</w:t>
                  </w:r>
                </w:p>
              </w:tc>
              <w:tc>
                <w:tcPr>
                  <w:tcW w:w="992" w:type="dxa"/>
                  <w:tcBorders>
                    <w:top w:val="single" w:sz="4" w:space="0" w:color="auto"/>
                  </w:tcBorders>
                </w:tcPr>
                <w:p w14:paraId="169A6EBC"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167</w:t>
                  </w:r>
                </w:p>
              </w:tc>
              <w:tc>
                <w:tcPr>
                  <w:tcW w:w="2126" w:type="dxa"/>
                  <w:tcBorders>
                    <w:top w:val="single" w:sz="4" w:space="0" w:color="auto"/>
                  </w:tcBorders>
                </w:tcPr>
                <w:p w14:paraId="3D96E941"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1336</w:t>
                  </w:r>
                </w:p>
              </w:tc>
              <w:tc>
                <w:tcPr>
                  <w:tcW w:w="709" w:type="dxa"/>
                  <w:tcBorders>
                    <w:top w:val="single" w:sz="4" w:space="0" w:color="auto"/>
                  </w:tcBorders>
                </w:tcPr>
                <w:p w14:paraId="617F3CFA"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100</w:t>
                  </w:r>
                </w:p>
              </w:tc>
            </w:tr>
            <w:tr w:rsidR="00AE77D4" w:rsidRPr="00AE77D4" w14:paraId="483370A8" w14:textId="77777777" w:rsidTr="00544F53">
              <w:trPr>
                <w:trHeight w:val="95"/>
              </w:trPr>
              <w:tc>
                <w:tcPr>
                  <w:tcW w:w="5382" w:type="dxa"/>
                </w:tcPr>
                <w:p w14:paraId="34D58D30" w14:textId="642E027E"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Less: Firms and observations with insufficient data</w:t>
                  </w:r>
                </w:p>
              </w:tc>
              <w:tc>
                <w:tcPr>
                  <w:tcW w:w="992" w:type="dxa"/>
                </w:tcPr>
                <w:p w14:paraId="7F963B48"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67</w:t>
                  </w:r>
                </w:p>
              </w:tc>
              <w:tc>
                <w:tcPr>
                  <w:tcW w:w="2126" w:type="dxa"/>
                </w:tcPr>
                <w:p w14:paraId="416D38FC"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536</w:t>
                  </w:r>
                </w:p>
              </w:tc>
              <w:tc>
                <w:tcPr>
                  <w:tcW w:w="709" w:type="dxa"/>
                </w:tcPr>
                <w:p w14:paraId="162FF0BE"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40</w:t>
                  </w:r>
                </w:p>
              </w:tc>
            </w:tr>
            <w:tr w:rsidR="00AE77D4" w:rsidRPr="00AE77D4" w14:paraId="5F4AE556" w14:textId="77777777" w:rsidTr="00544F53">
              <w:trPr>
                <w:trHeight w:val="95"/>
              </w:trPr>
              <w:tc>
                <w:tcPr>
                  <w:tcW w:w="5382" w:type="dxa"/>
                </w:tcPr>
                <w:p w14:paraId="7875A961"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Final sample</w:t>
                  </w:r>
                </w:p>
              </w:tc>
              <w:tc>
                <w:tcPr>
                  <w:tcW w:w="992" w:type="dxa"/>
                </w:tcPr>
                <w:p w14:paraId="54EFF1F6"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100</w:t>
                  </w:r>
                </w:p>
              </w:tc>
              <w:tc>
                <w:tcPr>
                  <w:tcW w:w="2126" w:type="dxa"/>
                </w:tcPr>
                <w:p w14:paraId="142250A6"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800</w:t>
                  </w:r>
                </w:p>
              </w:tc>
              <w:tc>
                <w:tcPr>
                  <w:tcW w:w="709" w:type="dxa"/>
                </w:tcPr>
                <w:p w14:paraId="037CA176"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60</w:t>
                  </w:r>
                </w:p>
              </w:tc>
            </w:tr>
          </w:tbl>
          <w:p w14:paraId="574CFA4B" w14:textId="77777777" w:rsidR="00544F53" w:rsidRPr="00AE77D4" w:rsidRDefault="00544F53" w:rsidP="00AE77D4">
            <w:pPr>
              <w:spacing w:line="276" w:lineRule="auto"/>
              <w:rPr>
                <w:rFonts w:ascii="Times New Roman" w:hAnsi="Times New Roman" w:cs="Times New Roman"/>
                <w:sz w:val="24"/>
                <w:szCs w:val="24"/>
                <w:lang w:val="en-GB"/>
              </w:rPr>
            </w:pPr>
          </w:p>
        </w:tc>
      </w:tr>
      <w:tr w:rsidR="00AE77D4" w:rsidRPr="00AE77D4" w14:paraId="75945B0F" w14:textId="77777777" w:rsidTr="006B424C">
        <w:tc>
          <w:tcPr>
            <w:tcW w:w="9350" w:type="dxa"/>
            <w:tcBorders>
              <w:bottom w:val="single" w:sz="4" w:space="0" w:color="auto"/>
            </w:tcBorders>
          </w:tcPr>
          <w:p w14:paraId="6E81688A" w14:textId="77777777" w:rsidR="00544F53" w:rsidRPr="00AE77D4" w:rsidRDefault="00544F53" w:rsidP="00AE77D4">
            <w:pPr>
              <w:spacing w:line="276" w:lineRule="auto"/>
              <w:rPr>
                <w:rFonts w:ascii="Times New Roman" w:hAnsi="Times New Roman" w:cs="Times New Roman"/>
                <w:sz w:val="24"/>
                <w:szCs w:val="24"/>
                <w:lang w:val="en-GB"/>
              </w:rPr>
            </w:pPr>
          </w:p>
        </w:tc>
      </w:tr>
      <w:tr w:rsidR="00AE77D4" w:rsidRPr="00AE77D4" w14:paraId="6ED14424" w14:textId="77777777" w:rsidTr="006B424C">
        <w:tc>
          <w:tcPr>
            <w:tcW w:w="9350" w:type="dxa"/>
            <w:tcBorders>
              <w:top w:val="single" w:sz="4" w:space="0" w:color="auto"/>
              <w:bottom w:val="single" w:sz="4" w:space="0" w:color="auto"/>
            </w:tcBorders>
          </w:tcPr>
          <w:p w14:paraId="57764210"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i/>
                <w:iCs/>
                <w:sz w:val="24"/>
                <w:szCs w:val="24"/>
                <w:lang w:val="en-GB"/>
              </w:rPr>
              <w:t>Panel C Sample distribution by sector</w:t>
            </w:r>
          </w:p>
        </w:tc>
      </w:tr>
      <w:tr w:rsidR="00AE77D4" w:rsidRPr="00AE77D4" w14:paraId="13ED18E1" w14:textId="77777777" w:rsidTr="006B424C">
        <w:tc>
          <w:tcPr>
            <w:tcW w:w="9350" w:type="dxa"/>
            <w:tcBorders>
              <w:top w:val="single" w:sz="4" w:space="0" w:color="auto"/>
              <w:bottom w:val="single" w:sz="4" w:space="0" w:color="auto"/>
            </w:tcBorders>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851"/>
              <w:gridCol w:w="708"/>
              <w:gridCol w:w="1418"/>
              <w:gridCol w:w="850"/>
              <w:gridCol w:w="709"/>
              <w:gridCol w:w="1418"/>
              <w:gridCol w:w="1275"/>
            </w:tblGrid>
            <w:tr w:rsidR="00AE77D4" w:rsidRPr="00AE77D4" w14:paraId="3819F967" w14:textId="77777777" w:rsidTr="00F93BAF">
              <w:trPr>
                <w:trHeight w:val="334"/>
              </w:trPr>
              <w:tc>
                <w:tcPr>
                  <w:tcW w:w="1838" w:type="dxa"/>
                </w:tcPr>
                <w:p w14:paraId="6D2FFB3B"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Industries</w:t>
                  </w:r>
                </w:p>
              </w:tc>
              <w:tc>
                <w:tcPr>
                  <w:tcW w:w="2977" w:type="dxa"/>
                  <w:gridSpan w:val="3"/>
                </w:tcPr>
                <w:p w14:paraId="64C604B0"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Population</w:t>
                  </w:r>
                  <w:r w:rsidRPr="00AE77D4">
                    <w:rPr>
                      <w:rFonts w:ascii="Arial" w:hAnsi="Arial" w:cs="Arial"/>
                      <w:sz w:val="21"/>
                      <w:szCs w:val="21"/>
                      <w:shd w:val="clear" w:color="auto" w:fill="FFFFFF"/>
                      <w:lang w:val="en-GB"/>
                    </w:rPr>
                    <w:t xml:space="preserve"> </w:t>
                  </w:r>
                  <w:r w:rsidRPr="00AE77D4">
                    <w:rPr>
                      <w:rFonts w:ascii="Arial" w:hAnsi="Arial" w:cs="Arial"/>
                      <w:sz w:val="24"/>
                      <w:szCs w:val="21"/>
                      <w:shd w:val="clear" w:color="auto" w:fill="FFFFFF"/>
                      <w:vertAlign w:val="superscript"/>
                      <w:lang w:val="en-GB"/>
                    </w:rPr>
                    <w:t>†</w:t>
                  </w:r>
                </w:p>
              </w:tc>
              <w:tc>
                <w:tcPr>
                  <w:tcW w:w="2977" w:type="dxa"/>
                  <w:gridSpan w:val="3"/>
                </w:tcPr>
                <w:p w14:paraId="1BAEB054"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Sample</w:t>
                  </w:r>
                  <w:r w:rsidRPr="00AE77D4">
                    <w:rPr>
                      <w:rFonts w:ascii="Arial" w:hAnsi="Arial" w:cs="Arial"/>
                      <w:sz w:val="21"/>
                      <w:szCs w:val="21"/>
                      <w:shd w:val="clear" w:color="auto" w:fill="FFFFFF"/>
                      <w:lang w:val="en-GB"/>
                    </w:rPr>
                    <w:t xml:space="preserve"> </w:t>
                  </w:r>
                  <w:r w:rsidRPr="00AE77D4">
                    <w:rPr>
                      <w:rFonts w:ascii="Arial" w:hAnsi="Arial" w:cs="Arial"/>
                      <w:sz w:val="24"/>
                      <w:szCs w:val="21"/>
                      <w:shd w:val="clear" w:color="auto" w:fill="FFFFFF"/>
                      <w:vertAlign w:val="superscript"/>
                      <w:lang w:val="en-GB"/>
                    </w:rPr>
                    <w:t>†</w:t>
                  </w:r>
                </w:p>
              </w:tc>
              <w:tc>
                <w:tcPr>
                  <w:tcW w:w="1275" w:type="dxa"/>
                  <w:vMerge w:val="restart"/>
                </w:tcPr>
                <w:p w14:paraId="17AF3892" w14:textId="6C729E7A"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Sample to population percent</w:t>
                  </w:r>
                  <w:r w:rsidR="00F24C1C" w:rsidRPr="00AE77D4">
                    <w:rPr>
                      <w:rFonts w:ascii="Times New Roman" w:hAnsi="Times New Roman" w:cs="Times New Roman"/>
                      <w:sz w:val="24"/>
                      <w:szCs w:val="24"/>
                      <w:lang w:val="en-GB"/>
                    </w:rPr>
                    <w:t>age</w:t>
                  </w:r>
                  <w:r w:rsidR="00AD580A" w:rsidRPr="00AE77D4">
                    <w:rPr>
                      <w:rFonts w:ascii="Times New Roman" w:hAnsi="Times New Roman" w:cs="Times New Roman"/>
                      <w:sz w:val="24"/>
                      <w:szCs w:val="24"/>
                      <w:lang w:val="en-GB"/>
                    </w:rPr>
                    <w:t xml:space="preserve"> </w:t>
                  </w:r>
                  <w:r w:rsidRPr="00AE77D4">
                    <w:rPr>
                      <w:rFonts w:ascii="Times New Roman" w:hAnsi="Times New Roman" w:cs="Times New Roman"/>
                      <w:sz w:val="24"/>
                      <w:szCs w:val="24"/>
                      <w:lang w:val="en-GB"/>
                    </w:rPr>
                    <w:t>(%)</w:t>
                  </w:r>
                  <w:r w:rsidRPr="00AE77D4">
                    <w:rPr>
                      <w:rFonts w:ascii="Arial" w:hAnsi="Arial" w:cs="Arial"/>
                      <w:sz w:val="24"/>
                      <w:szCs w:val="21"/>
                      <w:shd w:val="clear" w:color="auto" w:fill="FFFFFF"/>
                      <w:vertAlign w:val="superscript"/>
                      <w:lang w:val="en-GB"/>
                    </w:rPr>
                    <w:t xml:space="preserve"> †</w:t>
                  </w:r>
                </w:p>
              </w:tc>
            </w:tr>
            <w:tr w:rsidR="00AE77D4" w:rsidRPr="00AE77D4" w14:paraId="3E026F34" w14:textId="77777777" w:rsidTr="00D54D1B">
              <w:trPr>
                <w:trHeight w:val="165"/>
              </w:trPr>
              <w:tc>
                <w:tcPr>
                  <w:tcW w:w="1838" w:type="dxa"/>
                </w:tcPr>
                <w:p w14:paraId="5781BF61" w14:textId="77777777" w:rsidR="00544F53" w:rsidRPr="00AE77D4" w:rsidRDefault="00544F53" w:rsidP="00AE77D4">
                  <w:pPr>
                    <w:spacing w:line="276" w:lineRule="auto"/>
                    <w:rPr>
                      <w:rFonts w:ascii="Times New Roman" w:hAnsi="Times New Roman" w:cs="Times New Roman"/>
                      <w:sz w:val="24"/>
                      <w:szCs w:val="24"/>
                      <w:lang w:val="en-GB"/>
                    </w:rPr>
                  </w:pPr>
                </w:p>
              </w:tc>
              <w:tc>
                <w:tcPr>
                  <w:tcW w:w="851" w:type="dxa"/>
                  <w:tcBorders>
                    <w:bottom w:val="single" w:sz="4" w:space="0" w:color="auto"/>
                  </w:tcBorders>
                </w:tcPr>
                <w:p w14:paraId="2797D9B6"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Firms</w:t>
                  </w:r>
                </w:p>
              </w:tc>
              <w:tc>
                <w:tcPr>
                  <w:tcW w:w="708" w:type="dxa"/>
                  <w:tcBorders>
                    <w:bottom w:val="single" w:sz="4" w:space="0" w:color="auto"/>
                  </w:tcBorders>
                </w:tcPr>
                <w:p w14:paraId="0787DD0F"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Obs.</w:t>
                  </w:r>
                </w:p>
              </w:tc>
              <w:tc>
                <w:tcPr>
                  <w:tcW w:w="1418" w:type="dxa"/>
                  <w:tcBorders>
                    <w:bottom w:val="single" w:sz="4" w:space="0" w:color="auto"/>
                  </w:tcBorders>
                </w:tcPr>
                <w:p w14:paraId="023835EF"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Percent (%)</w:t>
                  </w:r>
                </w:p>
              </w:tc>
              <w:tc>
                <w:tcPr>
                  <w:tcW w:w="850" w:type="dxa"/>
                  <w:tcBorders>
                    <w:bottom w:val="single" w:sz="4" w:space="0" w:color="auto"/>
                  </w:tcBorders>
                </w:tcPr>
                <w:p w14:paraId="4179CF1E"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Firms</w:t>
                  </w:r>
                </w:p>
              </w:tc>
              <w:tc>
                <w:tcPr>
                  <w:tcW w:w="709" w:type="dxa"/>
                  <w:tcBorders>
                    <w:bottom w:val="single" w:sz="4" w:space="0" w:color="auto"/>
                  </w:tcBorders>
                </w:tcPr>
                <w:p w14:paraId="790B7BB4"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Obs.</w:t>
                  </w:r>
                </w:p>
              </w:tc>
              <w:tc>
                <w:tcPr>
                  <w:tcW w:w="1418" w:type="dxa"/>
                  <w:tcBorders>
                    <w:bottom w:val="single" w:sz="4" w:space="0" w:color="auto"/>
                  </w:tcBorders>
                </w:tcPr>
                <w:p w14:paraId="48959603"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Percent (%)</w:t>
                  </w:r>
                </w:p>
              </w:tc>
              <w:tc>
                <w:tcPr>
                  <w:tcW w:w="1275" w:type="dxa"/>
                  <w:vMerge/>
                  <w:tcBorders>
                    <w:bottom w:val="single" w:sz="4" w:space="0" w:color="auto"/>
                  </w:tcBorders>
                </w:tcPr>
                <w:p w14:paraId="2DA8C10A" w14:textId="77777777" w:rsidR="00544F53" w:rsidRPr="00AE77D4" w:rsidRDefault="00544F53" w:rsidP="00AE77D4">
                  <w:pPr>
                    <w:spacing w:line="276" w:lineRule="auto"/>
                    <w:jc w:val="center"/>
                    <w:rPr>
                      <w:rFonts w:ascii="Times New Roman" w:hAnsi="Times New Roman" w:cs="Times New Roman"/>
                      <w:sz w:val="24"/>
                      <w:szCs w:val="24"/>
                      <w:lang w:val="en-GB"/>
                    </w:rPr>
                  </w:pPr>
                </w:p>
              </w:tc>
            </w:tr>
            <w:tr w:rsidR="00AE77D4" w:rsidRPr="00AE77D4" w14:paraId="38548BA5" w14:textId="77777777" w:rsidTr="00D54D1B">
              <w:trPr>
                <w:trHeight w:val="165"/>
              </w:trPr>
              <w:tc>
                <w:tcPr>
                  <w:tcW w:w="1838" w:type="dxa"/>
                </w:tcPr>
                <w:p w14:paraId="7E70FE2C"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Cement</w:t>
                  </w:r>
                </w:p>
              </w:tc>
              <w:tc>
                <w:tcPr>
                  <w:tcW w:w="851" w:type="dxa"/>
                  <w:tcBorders>
                    <w:top w:val="single" w:sz="4" w:space="0" w:color="auto"/>
                  </w:tcBorders>
                </w:tcPr>
                <w:p w14:paraId="4FD3C77C"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7</w:t>
                  </w:r>
                </w:p>
              </w:tc>
              <w:tc>
                <w:tcPr>
                  <w:tcW w:w="708" w:type="dxa"/>
                  <w:tcBorders>
                    <w:top w:val="single" w:sz="4" w:space="0" w:color="auto"/>
                  </w:tcBorders>
                  <w:vAlign w:val="bottom"/>
                </w:tcPr>
                <w:p w14:paraId="0A98B04C"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56</w:t>
                  </w:r>
                </w:p>
              </w:tc>
              <w:tc>
                <w:tcPr>
                  <w:tcW w:w="1418" w:type="dxa"/>
                  <w:tcBorders>
                    <w:top w:val="single" w:sz="4" w:space="0" w:color="auto"/>
                  </w:tcBorders>
                  <w:vAlign w:val="center"/>
                </w:tcPr>
                <w:p w14:paraId="1EB01BB1"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4</w:t>
                  </w:r>
                </w:p>
              </w:tc>
              <w:tc>
                <w:tcPr>
                  <w:tcW w:w="850" w:type="dxa"/>
                  <w:tcBorders>
                    <w:top w:val="single" w:sz="4" w:space="0" w:color="auto"/>
                  </w:tcBorders>
                </w:tcPr>
                <w:p w14:paraId="65232519"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7</w:t>
                  </w:r>
                </w:p>
              </w:tc>
              <w:tc>
                <w:tcPr>
                  <w:tcW w:w="709" w:type="dxa"/>
                  <w:tcBorders>
                    <w:top w:val="single" w:sz="4" w:space="0" w:color="auto"/>
                  </w:tcBorders>
                  <w:vAlign w:val="bottom"/>
                </w:tcPr>
                <w:p w14:paraId="10531B15"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56</w:t>
                  </w:r>
                </w:p>
              </w:tc>
              <w:tc>
                <w:tcPr>
                  <w:tcW w:w="1418" w:type="dxa"/>
                  <w:tcBorders>
                    <w:top w:val="single" w:sz="4" w:space="0" w:color="auto"/>
                  </w:tcBorders>
                  <w:vAlign w:val="center"/>
                </w:tcPr>
                <w:p w14:paraId="5F42B6CA"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7</w:t>
                  </w:r>
                </w:p>
              </w:tc>
              <w:tc>
                <w:tcPr>
                  <w:tcW w:w="1275" w:type="dxa"/>
                  <w:tcBorders>
                    <w:top w:val="single" w:sz="4" w:space="0" w:color="auto"/>
                  </w:tcBorders>
                  <w:vAlign w:val="center"/>
                </w:tcPr>
                <w:p w14:paraId="1D6B4C23"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100</w:t>
                  </w:r>
                </w:p>
              </w:tc>
            </w:tr>
            <w:tr w:rsidR="00AE77D4" w:rsidRPr="00AE77D4" w14:paraId="4A7EB270" w14:textId="77777777" w:rsidTr="00F93BAF">
              <w:trPr>
                <w:trHeight w:val="165"/>
              </w:trPr>
              <w:tc>
                <w:tcPr>
                  <w:tcW w:w="1838" w:type="dxa"/>
                </w:tcPr>
                <w:p w14:paraId="1E7E03DF"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Ceramic</w:t>
                  </w:r>
                </w:p>
              </w:tc>
              <w:tc>
                <w:tcPr>
                  <w:tcW w:w="851" w:type="dxa"/>
                </w:tcPr>
                <w:p w14:paraId="63674E10"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5</w:t>
                  </w:r>
                </w:p>
              </w:tc>
              <w:tc>
                <w:tcPr>
                  <w:tcW w:w="708" w:type="dxa"/>
                  <w:vAlign w:val="bottom"/>
                </w:tcPr>
                <w:p w14:paraId="0D2AA3AB"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40</w:t>
                  </w:r>
                </w:p>
              </w:tc>
              <w:tc>
                <w:tcPr>
                  <w:tcW w:w="1418" w:type="dxa"/>
                  <w:vAlign w:val="center"/>
                </w:tcPr>
                <w:p w14:paraId="37D58128"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3</w:t>
                  </w:r>
                </w:p>
              </w:tc>
              <w:tc>
                <w:tcPr>
                  <w:tcW w:w="850" w:type="dxa"/>
                </w:tcPr>
                <w:p w14:paraId="14C8B18D"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3</w:t>
                  </w:r>
                </w:p>
              </w:tc>
              <w:tc>
                <w:tcPr>
                  <w:tcW w:w="709" w:type="dxa"/>
                  <w:vAlign w:val="bottom"/>
                </w:tcPr>
                <w:p w14:paraId="725035C7"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24</w:t>
                  </w:r>
                </w:p>
              </w:tc>
              <w:tc>
                <w:tcPr>
                  <w:tcW w:w="1418" w:type="dxa"/>
                  <w:vAlign w:val="center"/>
                </w:tcPr>
                <w:p w14:paraId="0A2BFF0B"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3</w:t>
                  </w:r>
                </w:p>
              </w:tc>
              <w:tc>
                <w:tcPr>
                  <w:tcW w:w="1275" w:type="dxa"/>
                  <w:vAlign w:val="center"/>
                </w:tcPr>
                <w:p w14:paraId="54E4041D"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60</w:t>
                  </w:r>
                </w:p>
              </w:tc>
            </w:tr>
            <w:tr w:rsidR="00AE77D4" w:rsidRPr="00AE77D4" w14:paraId="1C1A2A18" w14:textId="77777777" w:rsidTr="00F93BAF">
              <w:trPr>
                <w:trHeight w:val="165"/>
              </w:trPr>
              <w:tc>
                <w:tcPr>
                  <w:tcW w:w="1838" w:type="dxa"/>
                </w:tcPr>
                <w:p w14:paraId="79904DB9"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Engineering </w:t>
                  </w:r>
                </w:p>
              </w:tc>
              <w:tc>
                <w:tcPr>
                  <w:tcW w:w="851" w:type="dxa"/>
                </w:tcPr>
                <w:p w14:paraId="3002A6A6"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39</w:t>
                  </w:r>
                </w:p>
              </w:tc>
              <w:tc>
                <w:tcPr>
                  <w:tcW w:w="708" w:type="dxa"/>
                  <w:vAlign w:val="bottom"/>
                </w:tcPr>
                <w:p w14:paraId="70BFEC1E"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312</w:t>
                  </w:r>
                </w:p>
              </w:tc>
              <w:tc>
                <w:tcPr>
                  <w:tcW w:w="1418" w:type="dxa"/>
                  <w:vAlign w:val="center"/>
                </w:tcPr>
                <w:p w14:paraId="0DD2357C"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23</w:t>
                  </w:r>
                </w:p>
              </w:tc>
              <w:tc>
                <w:tcPr>
                  <w:tcW w:w="850" w:type="dxa"/>
                </w:tcPr>
                <w:p w14:paraId="545A8FD1"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28</w:t>
                  </w:r>
                </w:p>
              </w:tc>
              <w:tc>
                <w:tcPr>
                  <w:tcW w:w="709" w:type="dxa"/>
                  <w:vAlign w:val="bottom"/>
                </w:tcPr>
                <w:p w14:paraId="314C207D"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224</w:t>
                  </w:r>
                </w:p>
              </w:tc>
              <w:tc>
                <w:tcPr>
                  <w:tcW w:w="1418" w:type="dxa"/>
                  <w:vAlign w:val="center"/>
                </w:tcPr>
                <w:p w14:paraId="508733E6"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28</w:t>
                  </w:r>
                </w:p>
              </w:tc>
              <w:tc>
                <w:tcPr>
                  <w:tcW w:w="1275" w:type="dxa"/>
                  <w:vAlign w:val="center"/>
                </w:tcPr>
                <w:p w14:paraId="6DDEEC3F"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72</w:t>
                  </w:r>
                </w:p>
              </w:tc>
            </w:tr>
            <w:tr w:rsidR="00AE77D4" w:rsidRPr="00AE77D4" w14:paraId="4FF0D38F" w14:textId="77777777" w:rsidTr="00F93BAF">
              <w:trPr>
                <w:trHeight w:val="165"/>
              </w:trPr>
              <w:tc>
                <w:tcPr>
                  <w:tcW w:w="1838" w:type="dxa"/>
                </w:tcPr>
                <w:p w14:paraId="32CDA247"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Fuel and Power</w:t>
                  </w:r>
                </w:p>
              </w:tc>
              <w:tc>
                <w:tcPr>
                  <w:tcW w:w="851" w:type="dxa"/>
                </w:tcPr>
                <w:p w14:paraId="15D7432E"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19</w:t>
                  </w:r>
                </w:p>
              </w:tc>
              <w:tc>
                <w:tcPr>
                  <w:tcW w:w="708" w:type="dxa"/>
                  <w:vAlign w:val="bottom"/>
                </w:tcPr>
                <w:p w14:paraId="7E38F6D3"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152</w:t>
                  </w:r>
                </w:p>
              </w:tc>
              <w:tc>
                <w:tcPr>
                  <w:tcW w:w="1418" w:type="dxa"/>
                  <w:vAlign w:val="center"/>
                </w:tcPr>
                <w:p w14:paraId="6A6208EA"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11</w:t>
                  </w:r>
                </w:p>
              </w:tc>
              <w:tc>
                <w:tcPr>
                  <w:tcW w:w="850" w:type="dxa"/>
                </w:tcPr>
                <w:p w14:paraId="4DFCFA69"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18</w:t>
                  </w:r>
                </w:p>
              </w:tc>
              <w:tc>
                <w:tcPr>
                  <w:tcW w:w="709" w:type="dxa"/>
                  <w:vAlign w:val="bottom"/>
                </w:tcPr>
                <w:p w14:paraId="7D1F5C37"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144</w:t>
                  </w:r>
                </w:p>
              </w:tc>
              <w:tc>
                <w:tcPr>
                  <w:tcW w:w="1418" w:type="dxa"/>
                  <w:vAlign w:val="center"/>
                </w:tcPr>
                <w:p w14:paraId="3721B486"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18</w:t>
                  </w:r>
                </w:p>
              </w:tc>
              <w:tc>
                <w:tcPr>
                  <w:tcW w:w="1275" w:type="dxa"/>
                  <w:vAlign w:val="center"/>
                </w:tcPr>
                <w:p w14:paraId="23174CFA"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95</w:t>
                  </w:r>
                </w:p>
              </w:tc>
            </w:tr>
            <w:tr w:rsidR="00AE77D4" w:rsidRPr="00AE77D4" w14:paraId="21A8A7EF" w14:textId="77777777" w:rsidTr="00F93BAF">
              <w:trPr>
                <w:trHeight w:val="165"/>
              </w:trPr>
              <w:tc>
                <w:tcPr>
                  <w:tcW w:w="1838" w:type="dxa"/>
                </w:tcPr>
                <w:p w14:paraId="64F0EC63"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Jute</w:t>
                  </w:r>
                </w:p>
              </w:tc>
              <w:tc>
                <w:tcPr>
                  <w:tcW w:w="851" w:type="dxa"/>
                </w:tcPr>
                <w:p w14:paraId="09A99132"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3</w:t>
                  </w:r>
                </w:p>
              </w:tc>
              <w:tc>
                <w:tcPr>
                  <w:tcW w:w="708" w:type="dxa"/>
                  <w:vAlign w:val="bottom"/>
                </w:tcPr>
                <w:p w14:paraId="4933EEF9"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24</w:t>
                  </w:r>
                </w:p>
              </w:tc>
              <w:tc>
                <w:tcPr>
                  <w:tcW w:w="1418" w:type="dxa"/>
                  <w:vAlign w:val="center"/>
                </w:tcPr>
                <w:p w14:paraId="6863AF0E"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2</w:t>
                  </w:r>
                </w:p>
              </w:tc>
              <w:tc>
                <w:tcPr>
                  <w:tcW w:w="850" w:type="dxa"/>
                </w:tcPr>
                <w:p w14:paraId="533F9BCE"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2</w:t>
                  </w:r>
                </w:p>
              </w:tc>
              <w:tc>
                <w:tcPr>
                  <w:tcW w:w="709" w:type="dxa"/>
                  <w:vAlign w:val="bottom"/>
                </w:tcPr>
                <w:p w14:paraId="4A490102"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16</w:t>
                  </w:r>
                </w:p>
              </w:tc>
              <w:tc>
                <w:tcPr>
                  <w:tcW w:w="1418" w:type="dxa"/>
                  <w:vAlign w:val="center"/>
                </w:tcPr>
                <w:p w14:paraId="6DB87507"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2</w:t>
                  </w:r>
                </w:p>
              </w:tc>
              <w:tc>
                <w:tcPr>
                  <w:tcW w:w="1275" w:type="dxa"/>
                  <w:vAlign w:val="center"/>
                </w:tcPr>
                <w:p w14:paraId="586E7C70"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67</w:t>
                  </w:r>
                </w:p>
              </w:tc>
            </w:tr>
            <w:tr w:rsidR="00AE77D4" w:rsidRPr="00AE77D4" w14:paraId="659A6AC1" w14:textId="77777777" w:rsidTr="00D11237">
              <w:trPr>
                <w:trHeight w:val="70"/>
              </w:trPr>
              <w:tc>
                <w:tcPr>
                  <w:tcW w:w="1838" w:type="dxa"/>
                </w:tcPr>
                <w:p w14:paraId="5E3F4E18"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Pharmaceuticals </w:t>
                  </w:r>
                  <w:r w:rsidRPr="00AE77D4">
                    <w:rPr>
                      <w:rFonts w:ascii="Times New Roman" w:hAnsi="Times New Roman" w:cs="Times New Roman"/>
                      <w:sz w:val="24"/>
                      <w:szCs w:val="24"/>
                      <w:lang w:val="en-GB"/>
                    </w:rPr>
                    <w:lastRenderedPageBreak/>
                    <w:t>&amp; Chemicals</w:t>
                  </w:r>
                </w:p>
              </w:tc>
              <w:tc>
                <w:tcPr>
                  <w:tcW w:w="851" w:type="dxa"/>
                </w:tcPr>
                <w:p w14:paraId="3DA3D97E"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lastRenderedPageBreak/>
                    <w:t>32</w:t>
                  </w:r>
                </w:p>
              </w:tc>
              <w:tc>
                <w:tcPr>
                  <w:tcW w:w="708" w:type="dxa"/>
                </w:tcPr>
                <w:p w14:paraId="51DB8A65"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256</w:t>
                  </w:r>
                </w:p>
              </w:tc>
              <w:tc>
                <w:tcPr>
                  <w:tcW w:w="1418" w:type="dxa"/>
                </w:tcPr>
                <w:p w14:paraId="6E591370"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19</w:t>
                  </w:r>
                </w:p>
              </w:tc>
              <w:tc>
                <w:tcPr>
                  <w:tcW w:w="850" w:type="dxa"/>
                </w:tcPr>
                <w:p w14:paraId="6A4BAC37"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19</w:t>
                  </w:r>
                </w:p>
              </w:tc>
              <w:tc>
                <w:tcPr>
                  <w:tcW w:w="709" w:type="dxa"/>
                </w:tcPr>
                <w:p w14:paraId="741AB5D6"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152</w:t>
                  </w:r>
                </w:p>
              </w:tc>
              <w:tc>
                <w:tcPr>
                  <w:tcW w:w="1418" w:type="dxa"/>
                </w:tcPr>
                <w:p w14:paraId="3FBEB63F"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19</w:t>
                  </w:r>
                </w:p>
              </w:tc>
              <w:tc>
                <w:tcPr>
                  <w:tcW w:w="1275" w:type="dxa"/>
                </w:tcPr>
                <w:p w14:paraId="1262711F"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59</w:t>
                  </w:r>
                </w:p>
              </w:tc>
            </w:tr>
            <w:tr w:rsidR="00AE77D4" w:rsidRPr="00AE77D4" w14:paraId="1B4FBDD1" w14:textId="77777777" w:rsidTr="00F93BAF">
              <w:trPr>
                <w:trHeight w:val="165"/>
              </w:trPr>
              <w:tc>
                <w:tcPr>
                  <w:tcW w:w="1838" w:type="dxa"/>
                </w:tcPr>
                <w:p w14:paraId="6FFE6CAA"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Tannery </w:t>
                  </w:r>
                </w:p>
              </w:tc>
              <w:tc>
                <w:tcPr>
                  <w:tcW w:w="851" w:type="dxa"/>
                </w:tcPr>
                <w:p w14:paraId="0E9BADF2"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6</w:t>
                  </w:r>
                </w:p>
              </w:tc>
              <w:tc>
                <w:tcPr>
                  <w:tcW w:w="708" w:type="dxa"/>
                  <w:vAlign w:val="bottom"/>
                </w:tcPr>
                <w:p w14:paraId="056CDDE1"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48</w:t>
                  </w:r>
                </w:p>
              </w:tc>
              <w:tc>
                <w:tcPr>
                  <w:tcW w:w="1418" w:type="dxa"/>
                  <w:vAlign w:val="center"/>
                </w:tcPr>
                <w:p w14:paraId="3C88C6B9"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4</w:t>
                  </w:r>
                </w:p>
              </w:tc>
              <w:tc>
                <w:tcPr>
                  <w:tcW w:w="850" w:type="dxa"/>
                </w:tcPr>
                <w:p w14:paraId="663C73B5"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3</w:t>
                  </w:r>
                </w:p>
              </w:tc>
              <w:tc>
                <w:tcPr>
                  <w:tcW w:w="709" w:type="dxa"/>
                  <w:vAlign w:val="bottom"/>
                </w:tcPr>
                <w:p w14:paraId="382FD20D"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24</w:t>
                  </w:r>
                </w:p>
              </w:tc>
              <w:tc>
                <w:tcPr>
                  <w:tcW w:w="1418" w:type="dxa"/>
                  <w:vAlign w:val="center"/>
                </w:tcPr>
                <w:p w14:paraId="1D9A1AC3"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3</w:t>
                  </w:r>
                </w:p>
              </w:tc>
              <w:tc>
                <w:tcPr>
                  <w:tcW w:w="1275" w:type="dxa"/>
                  <w:vAlign w:val="center"/>
                </w:tcPr>
                <w:p w14:paraId="3C015CBE"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50</w:t>
                  </w:r>
                </w:p>
              </w:tc>
            </w:tr>
            <w:tr w:rsidR="00AE77D4" w:rsidRPr="00AE77D4" w14:paraId="759B9001" w14:textId="77777777" w:rsidTr="00F93BAF">
              <w:trPr>
                <w:trHeight w:val="165"/>
              </w:trPr>
              <w:tc>
                <w:tcPr>
                  <w:tcW w:w="1838" w:type="dxa"/>
                </w:tcPr>
                <w:p w14:paraId="5D31B7C4"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Textile</w:t>
                  </w:r>
                </w:p>
              </w:tc>
              <w:tc>
                <w:tcPr>
                  <w:tcW w:w="851" w:type="dxa"/>
                </w:tcPr>
                <w:p w14:paraId="5763C6EC"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56</w:t>
                  </w:r>
                </w:p>
              </w:tc>
              <w:tc>
                <w:tcPr>
                  <w:tcW w:w="708" w:type="dxa"/>
                  <w:vAlign w:val="bottom"/>
                </w:tcPr>
                <w:p w14:paraId="29D33B14"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448</w:t>
                  </w:r>
                </w:p>
              </w:tc>
              <w:tc>
                <w:tcPr>
                  <w:tcW w:w="1418" w:type="dxa"/>
                  <w:vAlign w:val="center"/>
                </w:tcPr>
                <w:p w14:paraId="278E44F6"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34</w:t>
                  </w:r>
                </w:p>
              </w:tc>
              <w:tc>
                <w:tcPr>
                  <w:tcW w:w="850" w:type="dxa"/>
                </w:tcPr>
                <w:p w14:paraId="17F84AEA"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20</w:t>
                  </w:r>
                </w:p>
              </w:tc>
              <w:tc>
                <w:tcPr>
                  <w:tcW w:w="709" w:type="dxa"/>
                  <w:vAlign w:val="bottom"/>
                </w:tcPr>
                <w:p w14:paraId="2B5EB9AB"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160</w:t>
                  </w:r>
                </w:p>
              </w:tc>
              <w:tc>
                <w:tcPr>
                  <w:tcW w:w="1418" w:type="dxa"/>
                  <w:vAlign w:val="center"/>
                </w:tcPr>
                <w:p w14:paraId="6C05939C"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20</w:t>
                  </w:r>
                </w:p>
              </w:tc>
              <w:tc>
                <w:tcPr>
                  <w:tcW w:w="1275" w:type="dxa"/>
                  <w:vAlign w:val="center"/>
                </w:tcPr>
                <w:p w14:paraId="2CFCB43F"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36</w:t>
                  </w:r>
                </w:p>
              </w:tc>
            </w:tr>
            <w:tr w:rsidR="00AE77D4" w:rsidRPr="00AE77D4" w14:paraId="57D49DA3" w14:textId="77777777" w:rsidTr="00F93BAF">
              <w:trPr>
                <w:trHeight w:val="165"/>
              </w:trPr>
              <w:tc>
                <w:tcPr>
                  <w:tcW w:w="1838" w:type="dxa"/>
                </w:tcPr>
                <w:p w14:paraId="6BF05C43" w14:textId="77777777" w:rsidR="00544F53"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Total </w:t>
                  </w:r>
                </w:p>
              </w:tc>
              <w:tc>
                <w:tcPr>
                  <w:tcW w:w="851" w:type="dxa"/>
                </w:tcPr>
                <w:p w14:paraId="7F1077BD"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167</w:t>
                  </w:r>
                </w:p>
              </w:tc>
              <w:tc>
                <w:tcPr>
                  <w:tcW w:w="708" w:type="dxa"/>
                  <w:vAlign w:val="bottom"/>
                </w:tcPr>
                <w:p w14:paraId="35CE822D"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1336</w:t>
                  </w:r>
                </w:p>
              </w:tc>
              <w:tc>
                <w:tcPr>
                  <w:tcW w:w="1418" w:type="dxa"/>
                  <w:vAlign w:val="center"/>
                </w:tcPr>
                <w:p w14:paraId="4E64BD35"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100</w:t>
                  </w:r>
                </w:p>
              </w:tc>
              <w:tc>
                <w:tcPr>
                  <w:tcW w:w="850" w:type="dxa"/>
                </w:tcPr>
                <w:p w14:paraId="09BB7153" w14:textId="77777777" w:rsidR="00544F53" w:rsidRPr="00AE77D4" w:rsidRDefault="00661A05" w:rsidP="00AE77D4">
                  <w:pPr>
                    <w:spacing w:line="276" w:lineRule="auto"/>
                    <w:jc w:val="center"/>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100</w:t>
                  </w:r>
                </w:p>
              </w:tc>
              <w:tc>
                <w:tcPr>
                  <w:tcW w:w="709" w:type="dxa"/>
                  <w:vAlign w:val="bottom"/>
                </w:tcPr>
                <w:p w14:paraId="76F7332C"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eastAsia="Times New Roman" w:hAnsi="Times New Roman" w:cs="Times New Roman"/>
                      <w:sz w:val="24"/>
                      <w:szCs w:val="24"/>
                      <w:lang w:val="en-GB" w:bidi="bn-BD"/>
                    </w:rPr>
                    <w:t>800</w:t>
                  </w:r>
                </w:p>
              </w:tc>
              <w:tc>
                <w:tcPr>
                  <w:tcW w:w="1418" w:type="dxa"/>
                  <w:vAlign w:val="center"/>
                </w:tcPr>
                <w:p w14:paraId="04731DC4"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100</w:t>
                  </w:r>
                </w:p>
              </w:tc>
              <w:tc>
                <w:tcPr>
                  <w:tcW w:w="1275" w:type="dxa"/>
                  <w:vAlign w:val="center"/>
                </w:tcPr>
                <w:p w14:paraId="4F49A891" w14:textId="77777777" w:rsidR="00544F53" w:rsidRPr="00AE77D4" w:rsidRDefault="00661A05" w:rsidP="00AE77D4">
                  <w:pPr>
                    <w:spacing w:line="276" w:lineRule="auto"/>
                    <w:jc w:val="center"/>
                    <w:rPr>
                      <w:rFonts w:ascii="Times New Roman" w:hAnsi="Times New Roman" w:cs="Times New Roman"/>
                      <w:sz w:val="24"/>
                      <w:szCs w:val="24"/>
                      <w:lang w:val="en-GB"/>
                    </w:rPr>
                  </w:pPr>
                  <w:r w:rsidRPr="00AE77D4">
                    <w:rPr>
                      <w:rFonts w:ascii="Times New Roman" w:hAnsi="Times New Roman" w:cs="Times New Roman"/>
                      <w:sz w:val="24"/>
                      <w:szCs w:val="24"/>
                      <w:lang w:val="en-GB"/>
                    </w:rPr>
                    <w:t>60</w:t>
                  </w:r>
                </w:p>
              </w:tc>
            </w:tr>
          </w:tbl>
          <w:p w14:paraId="12B063B0" w14:textId="77777777" w:rsidR="00544F53" w:rsidRPr="00AE77D4" w:rsidRDefault="00544F53" w:rsidP="00AE77D4">
            <w:pPr>
              <w:spacing w:line="276" w:lineRule="auto"/>
              <w:rPr>
                <w:rFonts w:ascii="Times New Roman" w:hAnsi="Times New Roman" w:cs="Times New Roman"/>
                <w:sz w:val="24"/>
                <w:szCs w:val="24"/>
                <w:lang w:val="en-GB"/>
              </w:rPr>
            </w:pPr>
          </w:p>
        </w:tc>
      </w:tr>
      <w:tr w:rsidR="00AE77D4" w:rsidRPr="00AE77D4" w14:paraId="75CDD0FF" w14:textId="77777777" w:rsidTr="006B424C">
        <w:tc>
          <w:tcPr>
            <w:tcW w:w="9350" w:type="dxa"/>
            <w:tcBorders>
              <w:top w:val="single" w:sz="4" w:space="0" w:color="auto"/>
            </w:tcBorders>
          </w:tcPr>
          <w:p w14:paraId="09E01D39" w14:textId="77777777" w:rsidR="00544F53"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lastRenderedPageBreak/>
              <w:t>Source: Dhaka Stock Exchange during the period 2014-2021</w:t>
            </w:r>
          </w:p>
        </w:tc>
      </w:tr>
      <w:tr w:rsidR="00AB775B" w:rsidRPr="00AE77D4" w14:paraId="358CD387" w14:textId="77777777" w:rsidTr="00544F53">
        <w:tc>
          <w:tcPr>
            <w:tcW w:w="9350" w:type="dxa"/>
            <w:tcBorders>
              <w:bottom w:val="single" w:sz="4" w:space="0" w:color="auto"/>
            </w:tcBorders>
          </w:tcPr>
          <w:p w14:paraId="73D7B6CD" w14:textId="77777777" w:rsidR="00544F53" w:rsidRPr="00AE77D4" w:rsidRDefault="00661A05" w:rsidP="00AE77D4">
            <w:pPr>
              <w:spacing w:line="276" w:lineRule="auto"/>
              <w:rPr>
                <w:rFonts w:ascii="Times New Roman" w:hAnsi="Times New Roman" w:cs="Times New Roman"/>
                <w:sz w:val="20"/>
                <w:szCs w:val="20"/>
                <w:lang w:val="en-GB"/>
              </w:rPr>
            </w:pPr>
            <w:r w:rsidRPr="00AE77D4">
              <w:rPr>
                <w:rFonts w:ascii="Arial" w:hAnsi="Arial" w:cs="Arial"/>
                <w:sz w:val="20"/>
                <w:szCs w:val="20"/>
                <w:shd w:val="clear" w:color="auto" w:fill="FFFFFF"/>
                <w:vertAlign w:val="superscript"/>
                <w:lang w:val="en-GB"/>
              </w:rPr>
              <w:t>†</w:t>
            </w:r>
            <w:r w:rsidRPr="00AE77D4">
              <w:rPr>
                <w:rFonts w:ascii="Times New Roman" w:hAnsi="Times New Roman" w:cs="Times New Roman"/>
                <w:sz w:val="20"/>
                <w:szCs w:val="20"/>
                <w:lang w:val="en-GB"/>
              </w:rPr>
              <w:t xml:space="preserve"> % is rounded up</w:t>
            </w:r>
          </w:p>
        </w:tc>
      </w:tr>
    </w:tbl>
    <w:p w14:paraId="48EF90BE" w14:textId="77777777" w:rsidR="00B33DEC" w:rsidRPr="00AE77D4" w:rsidRDefault="00B33DEC" w:rsidP="00AE77D4">
      <w:pPr>
        <w:spacing w:after="0" w:line="276" w:lineRule="auto"/>
        <w:jc w:val="both"/>
        <w:rPr>
          <w:rFonts w:ascii="Times New Roman" w:hAnsi="Times New Roman" w:cs="Times New Roman"/>
          <w:sz w:val="24"/>
          <w:szCs w:val="24"/>
          <w:lang w:val="en-GB"/>
        </w:rPr>
      </w:pPr>
    </w:p>
    <w:p w14:paraId="0FBDC2A1" w14:textId="46890C14" w:rsidR="009727A2" w:rsidRPr="00AE77D4" w:rsidRDefault="00661A05" w:rsidP="00AE77D4">
      <w:pPr>
        <w:spacing w:line="276" w:lineRule="auto"/>
        <w:jc w:val="both"/>
        <w:rPr>
          <w:rFonts w:ascii="Times New Roman" w:eastAsiaTheme="minorEastAsia" w:hAnsi="Times New Roman" w:cs="Times New Roman"/>
          <w:sz w:val="24"/>
          <w:szCs w:val="24"/>
          <w:lang w:val="en-GB"/>
        </w:rPr>
      </w:pPr>
      <w:r w:rsidRPr="00AE77D4">
        <w:rPr>
          <w:rFonts w:ascii="Times New Roman" w:eastAsiaTheme="minorEastAsia" w:hAnsi="Times New Roman" w:cs="Times New Roman"/>
          <w:sz w:val="24"/>
          <w:szCs w:val="24"/>
          <w:lang w:val="en-GB"/>
        </w:rPr>
        <w:t>The sample provides a unique setting for investigation due to the introduction of national CG guideline</w:t>
      </w:r>
      <w:r w:rsidRPr="00AE77D4">
        <w:rPr>
          <w:rFonts w:ascii="Times New Roman" w:eastAsia="SimSun" w:hAnsi="Times New Roman" w:cs="Times New Roman"/>
          <w:sz w:val="24"/>
          <w:szCs w:val="24"/>
          <w:lang w:val="en-GB"/>
        </w:rPr>
        <w:t>s during the study period and the selection of environmentally sensitive industries that allow</w:t>
      </w:r>
      <w:r w:rsidRPr="00AE77D4">
        <w:rPr>
          <w:rFonts w:ascii="Times New Roman" w:eastAsiaTheme="minorEastAsia" w:hAnsi="Times New Roman" w:cs="Times New Roman"/>
          <w:sz w:val="24"/>
          <w:szCs w:val="24"/>
          <w:lang w:val="en-GB"/>
        </w:rPr>
        <w:t xml:space="preserve"> examining the extent of Climate Change Disclosures (CCD) in response to policy guidance and regulations.</w:t>
      </w:r>
    </w:p>
    <w:p w14:paraId="1474D473" w14:textId="4FDBECE3" w:rsidR="009727A2" w:rsidRPr="00AE77D4" w:rsidRDefault="00661A05" w:rsidP="00AE77D4">
      <w:pPr>
        <w:spacing w:line="276" w:lineRule="auto"/>
        <w:jc w:val="both"/>
        <w:rPr>
          <w:rFonts w:ascii="Times New Roman" w:eastAsiaTheme="minorEastAsia" w:hAnsi="Times New Roman" w:cs="Times New Roman"/>
          <w:sz w:val="24"/>
          <w:szCs w:val="24"/>
          <w:lang w:val="en-GB"/>
        </w:rPr>
      </w:pPr>
      <w:r w:rsidRPr="00AE77D4">
        <w:rPr>
          <w:rFonts w:ascii="Times New Roman" w:eastAsiaTheme="minorEastAsia" w:hAnsi="Times New Roman" w:cs="Times New Roman"/>
          <w:sz w:val="24"/>
          <w:szCs w:val="24"/>
          <w:lang w:val="en-GB"/>
        </w:rPr>
        <w:t xml:space="preserve">Content analysis, following Cui et al. (2020), was applied, involving a careful reading of various sections of annual reports, including climate change disclosures, corporate governance disclosures, directors' reports, chairman's statements, and notes to the financial statements (Larrán et al., 2018; Saha, 2019), to capture CCD. Annual reports are considered the most reliable source of CCD information and </w:t>
      </w:r>
      <w:r w:rsidRPr="00AE77D4">
        <w:rPr>
          <w:rFonts w:ascii="Times New Roman" w:eastAsia="SimSun" w:hAnsi="Times New Roman" w:cs="Times New Roman"/>
          <w:sz w:val="24"/>
          <w:szCs w:val="24"/>
          <w:lang w:val="en-GB"/>
        </w:rPr>
        <w:t xml:space="preserve">are essential for communicating organizational </w:t>
      </w:r>
      <w:r w:rsidRPr="00AE77D4">
        <w:rPr>
          <w:rFonts w:ascii="Times New Roman" w:eastAsiaTheme="minorEastAsia" w:hAnsi="Times New Roman" w:cs="Times New Roman"/>
          <w:sz w:val="24"/>
          <w:szCs w:val="24"/>
          <w:lang w:val="en-GB"/>
        </w:rPr>
        <w:t>information to stakeholders (Saha et al., 2020). Especially in this instance, annual reports were downloaded from the firm’s website and verified where necessary (Saha et al., 2019).</w:t>
      </w:r>
    </w:p>
    <w:p w14:paraId="30888472" w14:textId="73EADEDE" w:rsidR="00C166AE" w:rsidRPr="00AE77D4" w:rsidRDefault="00661A05" w:rsidP="00AE77D4">
      <w:pPr>
        <w:spacing w:line="276" w:lineRule="auto"/>
        <w:jc w:val="both"/>
        <w:rPr>
          <w:rFonts w:ascii="Times New Roman" w:hAnsi="Times New Roman" w:cs="Times New Roman"/>
          <w:b/>
          <w:iCs/>
          <w:sz w:val="24"/>
          <w:szCs w:val="24"/>
          <w:lang w:val="en-GB"/>
        </w:rPr>
      </w:pPr>
      <w:r w:rsidRPr="00AE77D4">
        <w:rPr>
          <w:rFonts w:ascii="Times New Roman" w:hAnsi="Times New Roman" w:cs="Times New Roman"/>
          <w:b/>
          <w:iCs/>
          <w:sz w:val="24"/>
          <w:szCs w:val="24"/>
          <w:lang w:val="en-GB"/>
        </w:rPr>
        <w:t xml:space="preserve">5.2 </w:t>
      </w:r>
      <w:r w:rsidR="00B710E4" w:rsidRPr="00AE77D4">
        <w:rPr>
          <w:rFonts w:ascii="Times New Roman" w:hAnsi="Times New Roman" w:cs="Times New Roman"/>
          <w:b/>
          <w:iCs/>
          <w:sz w:val="24"/>
          <w:szCs w:val="24"/>
          <w:lang w:val="en-GB"/>
        </w:rPr>
        <w:t>Variable definition</w:t>
      </w:r>
    </w:p>
    <w:p w14:paraId="0E0D6799" w14:textId="3BE07FE7" w:rsidR="003B09D8"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Table 2 presents the variables used to test the research hypotheses. Climate Change Disclosures (CCD) </w:t>
      </w:r>
      <w:r w:rsidRPr="00AE77D4">
        <w:rPr>
          <w:rFonts w:ascii="Times New Roman" w:eastAsia="Calibri" w:hAnsi="Times New Roman" w:cs="Times New Roman"/>
          <w:sz w:val="24"/>
          <w:szCs w:val="24"/>
          <w:lang w:val="en-GB"/>
        </w:rPr>
        <w:t>were quantified using content analysis (Ntim et al., 2013). Two independent coders initially coded CCD for the sample of firms. Any confusion during coding was resolved through discussions between independent coders, and cross-checks were performed to identify duplications and eliminate inconsistenc</w:t>
      </w:r>
      <w:r w:rsidRPr="00AE77D4">
        <w:rPr>
          <w:rFonts w:ascii="Times New Roman" w:hAnsi="Times New Roman" w:cs="Times New Roman"/>
          <w:sz w:val="24"/>
          <w:szCs w:val="24"/>
          <w:lang w:val="en-GB"/>
        </w:rPr>
        <w:t>ies. Subsequent scrutiny by a coder revealed no discrepancies, thus confirming the validity and reliability of the coding process.</w:t>
      </w:r>
    </w:p>
    <w:p w14:paraId="059482DA" w14:textId="65A2F1D4" w:rsidR="003B09D8"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We focus on the Global Reporting Initiative (GRI) framework to determine 12 disclosure items, aligned with Clarkson et al. (2008) and GRI guidelines (GRI, 2021). The 12 dimensions outlined in Appendix A include disclosures about waste management, renewable energy, energy efficiency, climate and carbon management policy, awards for climate initiatives, a separate department for Corporate Social Responsibility (CSR) and climate management, green policy and enactment, tree plantations, climate education and training programs, and global warming (Khan et al., 2013; Saha &amp; Akter, 2013).</w:t>
      </w:r>
    </w:p>
    <w:p w14:paraId="065B6A29" w14:textId="51EDD104" w:rsidR="00C07BAA" w:rsidRPr="00AE77D4" w:rsidRDefault="00661A05" w:rsidP="00AE77D4">
      <w:pPr>
        <w:spacing w:line="276" w:lineRule="auto"/>
        <w:jc w:val="both"/>
        <w:rPr>
          <w:rFonts w:ascii="Times New Roman" w:hAnsi="Times New Roman" w:cs="Times New Roman"/>
          <w:b/>
          <w:bCs/>
          <w:sz w:val="24"/>
          <w:szCs w:val="24"/>
          <w:lang w:val="en-GB"/>
        </w:rPr>
      </w:pPr>
      <w:r w:rsidRPr="00AE77D4">
        <w:rPr>
          <w:rFonts w:ascii="Times New Roman" w:hAnsi="Times New Roman" w:cs="Times New Roman"/>
          <w:sz w:val="24"/>
          <w:szCs w:val="24"/>
          <w:lang w:val="en-GB"/>
        </w:rPr>
        <w:t xml:space="preserve">Firms are assigned a score of one if an item from our checklist is disclosed in the annual </w:t>
      </w:r>
      <w:r w:rsidR="006572CE" w:rsidRPr="00AE77D4">
        <w:rPr>
          <w:rFonts w:ascii="Times New Roman" w:hAnsi="Times New Roman" w:cs="Times New Roman"/>
          <w:sz w:val="24"/>
          <w:szCs w:val="24"/>
          <w:lang w:val="en-GB"/>
        </w:rPr>
        <w:t>report;</w:t>
      </w:r>
      <w:r w:rsidRPr="00AE77D4">
        <w:rPr>
          <w:rFonts w:ascii="Times New Roman" w:hAnsi="Times New Roman" w:cs="Times New Roman"/>
          <w:sz w:val="24"/>
          <w:szCs w:val="24"/>
          <w:lang w:val="en-GB"/>
        </w:rPr>
        <w:t xml:space="preserve"> otherwise, they receive a score of zero. Consequently, the CCD index was calculated by determining the ratio of the actual scores allocated to each firm's maximum score (12).</w:t>
      </w: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260"/>
        <w:gridCol w:w="1552"/>
        <w:gridCol w:w="4648"/>
      </w:tblGrid>
      <w:tr w:rsidR="00AE77D4" w:rsidRPr="00AE77D4" w14:paraId="07C2F2F9" w14:textId="77777777" w:rsidTr="00D667E4">
        <w:trPr>
          <w:jc w:val="center"/>
        </w:trPr>
        <w:tc>
          <w:tcPr>
            <w:tcW w:w="9350" w:type="dxa"/>
            <w:gridSpan w:val="4"/>
            <w:tcBorders>
              <w:bottom w:val="single" w:sz="4" w:space="0" w:color="auto"/>
            </w:tcBorders>
          </w:tcPr>
          <w:p w14:paraId="6DC05D29"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b/>
                <w:sz w:val="24"/>
                <w:szCs w:val="24"/>
                <w:lang w:val="en-GB"/>
              </w:rPr>
              <w:t>Table 2.</w:t>
            </w:r>
            <w:r w:rsidRPr="00AE77D4">
              <w:rPr>
                <w:rFonts w:ascii="Times New Roman" w:hAnsi="Times New Roman" w:cs="Times New Roman"/>
                <w:sz w:val="24"/>
                <w:szCs w:val="24"/>
                <w:lang w:val="en-GB"/>
              </w:rPr>
              <w:t xml:space="preserve">  Definition and </w:t>
            </w:r>
            <w:r w:rsidRPr="00AE77D4">
              <w:rPr>
                <w:rFonts w:ascii="Times New Roman" w:hAnsi="Times New Roman" w:cs="Times New Roman"/>
                <w:sz w:val="24"/>
                <w:szCs w:val="24"/>
                <w:lang w:val="en-GB" w:bidi="bn-BD"/>
              </w:rPr>
              <w:t>measurement of variables</w:t>
            </w:r>
          </w:p>
        </w:tc>
      </w:tr>
      <w:tr w:rsidR="00AE77D4" w:rsidRPr="00AE77D4" w14:paraId="43A49AF0" w14:textId="77777777" w:rsidTr="00D667E4">
        <w:trPr>
          <w:jc w:val="center"/>
        </w:trPr>
        <w:tc>
          <w:tcPr>
            <w:tcW w:w="1890" w:type="dxa"/>
            <w:tcBorders>
              <w:top w:val="single" w:sz="4" w:space="0" w:color="auto"/>
              <w:bottom w:val="single" w:sz="4" w:space="0" w:color="auto"/>
            </w:tcBorders>
          </w:tcPr>
          <w:p w14:paraId="5CEFDE59"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Variables</w:t>
            </w:r>
          </w:p>
        </w:tc>
        <w:tc>
          <w:tcPr>
            <w:tcW w:w="1260" w:type="dxa"/>
            <w:tcBorders>
              <w:top w:val="single" w:sz="4" w:space="0" w:color="auto"/>
              <w:bottom w:val="single" w:sz="4" w:space="0" w:color="auto"/>
            </w:tcBorders>
          </w:tcPr>
          <w:p w14:paraId="7931D665" w14:textId="77777777" w:rsidR="00AD580A" w:rsidRPr="00AE77D4" w:rsidRDefault="00661A05" w:rsidP="00AE77D4">
            <w:pPr>
              <w:spacing w:line="276" w:lineRule="auto"/>
              <w:ind w:left="-105"/>
              <w:rPr>
                <w:rFonts w:ascii="Times New Roman" w:hAnsi="Times New Roman" w:cs="Times New Roman"/>
                <w:sz w:val="24"/>
                <w:szCs w:val="24"/>
                <w:lang w:val="en-GB"/>
              </w:rPr>
            </w:pPr>
            <w:r w:rsidRPr="00AE77D4">
              <w:rPr>
                <w:rFonts w:ascii="Times New Roman" w:hAnsi="Times New Roman" w:cs="Times New Roman"/>
                <w:sz w:val="24"/>
                <w:szCs w:val="24"/>
                <w:lang w:val="en-GB" w:bidi="bn-BD"/>
              </w:rPr>
              <w:t>Symbols</w:t>
            </w:r>
          </w:p>
        </w:tc>
        <w:tc>
          <w:tcPr>
            <w:tcW w:w="1552" w:type="dxa"/>
            <w:tcBorders>
              <w:top w:val="single" w:sz="4" w:space="0" w:color="auto"/>
              <w:bottom w:val="single" w:sz="4" w:space="0" w:color="auto"/>
            </w:tcBorders>
          </w:tcPr>
          <w:p w14:paraId="07FAC746"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Variable types</w:t>
            </w:r>
          </w:p>
        </w:tc>
        <w:tc>
          <w:tcPr>
            <w:tcW w:w="4648" w:type="dxa"/>
            <w:tcBorders>
              <w:top w:val="single" w:sz="4" w:space="0" w:color="auto"/>
              <w:bottom w:val="single" w:sz="4" w:space="0" w:color="auto"/>
            </w:tcBorders>
          </w:tcPr>
          <w:p w14:paraId="3ABB6F2B"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Operationalization</w:t>
            </w:r>
          </w:p>
        </w:tc>
      </w:tr>
      <w:tr w:rsidR="00AE77D4" w:rsidRPr="00AE77D4" w14:paraId="408F07A5" w14:textId="77777777" w:rsidTr="00D667E4">
        <w:trPr>
          <w:jc w:val="center"/>
        </w:trPr>
        <w:tc>
          <w:tcPr>
            <w:tcW w:w="1890" w:type="dxa"/>
            <w:tcBorders>
              <w:top w:val="single" w:sz="4" w:space="0" w:color="auto"/>
            </w:tcBorders>
          </w:tcPr>
          <w:p w14:paraId="1CD8CC9F"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Climate change </w:t>
            </w:r>
            <w:r w:rsidRPr="00AE77D4">
              <w:rPr>
                <w:rFonts w:ascii="Times New Roman" w:hAnsi="Times New Roman" w:cs="Times New Roman"/>
                <w:sz w:val="24"/>
                <w:szCs w:val="24"/>
                <w:lang w:val="en-GB"/>
              </w:rPr>
              <w:lastRenderedPageBreak/>
              <w:t>disclosure</w:t>
            </w:r>
          </w:p>
        </w:tc>
        <w:tc>
          <w:tcPr>
            <w:tcW w:w="1260" w:type="dxa"/>
            <w:tcBorders>
              <w:top w:val="single" w:sz="4" w:space="0" w:color="auto"/>
            </w:tcBorders>
          </w:tcPr>
          <w:p w14:paraId="442EA4A9"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noProof/>
                <w:sz w:val="24"/>
                <w:szCs w:val="24"/>
                <w:lang w:val="en-GB"/>
              </w:rPr>
              <w:lastRenderedPageBreak/>
              <w:t>CCD</w:t>
            </w:r>
          </w:p>
        </w:tc>
        <w:tc>
          <w:tcPr>
            <w:tcW w:w="1552" w:type="dxa"/>
            <w:tcBorders>
              <w:top w:val="single" w:sz="4" w:space="0" w:color="auto"/>
            </w:tcBorders>
          </w:tcPr>
          <w:p w14:paraId="4C6FCA60"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Dependent</w:t>
            </w:r>
          </w:p>
        </w:tc>
        <w:tc>
          <w:tcPr>
            <w:tcW w:w="4648" w:type="dxa"/>
            <w:tcBorders>
              <w:top w:val="single" w:sz="4" w:space="0" w:color="auto"/>
            </w:tcBorders>
          </w:tcPr>
          <w:p w14:paraId="77B39CB0"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Total disclosure score. Here, climate change </w:t>
            </w:r>
            <w:r w:rsidRPr="00AE77D4">
              <w:rPr>
                <w:rFonts w:ascii="Times New Roman" w:hAnsi="Times New Roman" w:cs="Times New Roman"/>
                <w:sz w:val="24"/>
                <w:szCs w:val="24"/>
                <w:lang w:val="en-GB"/>
              </w:rPr>
              <w:lastRenderedPageBreak/>
              <w:t>disclosure is calculated on 1 or 0 scales [1= if an item from our checklist is disclosed in the annual report, else 0].</w:t>
            </w:r>
          </w:p>
        </w:tc>
      </w:tr>
      <w:tr w:rsidR="00AE77D4" w:rsidRPr="00AE77D4" w14:paraId="050861B7" w14:textId="77777777" w:rsidTr="00D667E4">
        <w:trPr>
          <w:trHeight w:val="70"/>
          <w:jc w:val="center"/>
        </w:trPr>
        <w:tc>
          <w:tcPr>
            <w:tcW w:w="1890" w:type="dxa"/>
          </w:tcPr>
          <w:p w14:paraId="21E5B167"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lastRenderedPageBreak/>
              <w:t>Board Size</w:t>
            </w:r>
          </w:p>
        </w:tc>
        <w:tc>
          <w:tcPr>
            <w:tcW w:w="1260" w:type="dxa"/>
          </w:tcPr>
          <w:p w14:paraId="03D38122"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BSIZE</w:t>
            </w:r>
          </w:p>
        </w:tc>
        <w:tc>
          <w:tcPr>
            <w:tcW w:w="1552" w:type="dxa"/>
          </w:tcPr>
          <w:p w14:paraId="640D981E"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Independent</w:t>
            </w:r>
          </w:p>
        </w:tc>
        <w:tc>
          <w:tcPr>
            <w:tcW w:w="4648" w:type="dxa"/>
          </w:tcPr>
          <w:p w14:paraId="78919B86" w14:textId="60554A99"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Natural log of the total number of directors on the board of a company.</w:t>
            </w:r>
          </w:p>
        </w:tc>
      </w:tr>
      <w:tr w:rsidR="00AE77D4" w:rsidRPr="00AE77D4" w14:paraId="4183B0D1" w14:textId="77777777" w:rsidTr="00D667E4">
        <w:trPr>
          <w:jc w:val="center"/>
        </w:trPr>
        <w:tc>
          <w:tcPr>
            <w:tcW w:w="1890" w:type="dxa"/>
          </w:tcPr>
          <w:p w14:paraId="2D994A86"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Board Independence</w:t>
            </w:r>
          </w:p>
        </w:tc>
        <w:tc>
          <w:tcPr>
            <w:tcW w:w="1260" w:type="dxa"/>
          </w:tcPr>
          <w:p w14:paraId="6CCCD47D"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INDIR</w:t>
            </w:r>
          </w:p>
        </w:tc>
        <w:tc>
          <w:tcPr>
            <w:tcW w:w="1552" w:type="dxa"/>
          </w:tcPr>
          <w:p w14:paraId="0900A923"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Independent</w:t>
            </w:r>
          </w:p>
        </w:tc>
        <w:tc>
          <w:tcPr>
            <w:tcW w:w="4648" w:type="dxa"/>
          </w:tcPr>
          <w:p w14:paraId="79656294"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The percentage of independent directors on the board.</w:t>
            </w:r>
          </w:p>
        </w:tc>
      </w:tr>
      <w:tr w:rsidR="00AE77D4" w:rsidRPr="00AE77D4" w14:paraId="4A5A5361" w14:textId="77777777" w:rsidTr="00D667E4">
        <w:trPr>
          <w:jc w:val="center"/>
        </w:trPr>
        <w:tc>
          <w:tcPr>
            <w:tcW w:w="1890" w:type="dxa"/>
          </w:tcPr>
          <w:p w14:paraId="74230EB9"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Foreigners on Board</w:t>
            </w:r>
          </w:p>
        </w:tc>
        <w:tc>
          <w:tcPr>
            <w:tcW w:w="1260" w:type="dxa"/>
          </w:tcPr>
          <w:p w14:paraId="7FF8D660"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FORDIR</w:t>
            </w:r>
          </w:p>
        </w:tc>
        <w:tc>
          <w:tcPr>
            <w:tcW w:w="1552" w:type="dxa"/>
          </w:tcPr>
          <w:p w14:paraId="084514CB"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Independent</w:t>
            </w:r>
          </w:p>
        </w:tc>
        <w:tc>
          <w:tcPr>
            <w:tcW w:w="4648" w:type="dxa"/>
          </w:tcPr>
          <w:p w14:paraId="5D3B6338" w14:textId="1972CC90"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The percentage of foreign directors on the board.</w:t>
            </w:r>
          </w:p>
        </w:tc>
      </w:tr>
      <w:tr w:rsidR="00AE77D4" w:rsidRPr="00AE77D4" w14:paraId="7FDB1FBD" w14:textId="77777777" w:rsidTr="00D667E4">
        <w:trPr>
          <w:jc w:val="center"/>
        </w:trPr>
        <w:tc>
          <w:tcPr>
            <w:tcW w:w="1890" w:type="dxa"/>
          </w:tcPr>
          <w:p w14:paraId="063D89A2"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Board Gender Diversity</w:t>
            </w:r>
          </w:p>
        </w:tc>
        <w:tc>
          <w:tcPr>
            <w:tcW w:w="1260" w:type="dxa"/>
          </w:tcPr>
          <w:p w14:paraId="01D5B3B8"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GENDER</w:t>
            </w:r>
          </w:p>
        </w:tc>
        <w:tc>
          <w:tcPr>
            <w:tcW w:w="1552" w:type="dxa"/>
          </w:tcPr>
          <w:p w14:paraId="7E5C3F3B"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Independent</w:t>
            </w:r>
          </w:p>
        </w:tc>
        <w:tc>
          <w:tcPr>
            <w:tcW w:w="4648" w:type="dxa"/>
          </w:tcPr>
          <w:p w14:paraId="33F2ACC7" w14:textId="710A5520"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Percentage of male and female to the total number of directors on the board of a company.</w:t>
            </w:r>
          </w:p>
        </w:tc>
      </w:tr>
      <w:tr w:rsidR="00AE77D4" w:rsidRPr="00AE77D4" w14:paraId="6917CEF5" w14:textId="77777777" w:rsidTr="00D667E4">
        <w:trPr>
          <w:jc w:val="center"/>
        </w:trPr>
        <w:tc>
          <w:tcPr>
            <w:tcW w:w="1890" w:type="dxa"/>
          </w:tcPr>
          <w:p w14:paraId="145D8083"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Board Meeting</w:t>
            </w:r>
          </w:p>
        </w:tc>
        <w:tc>
          <w:tcPr>
            <w:tcW w:w="1260" w:type="dxa"/>
          </w:tcPr>
          <w:p w14:paraId="6217D5D0"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BOMEET</w:t>
            </w:r>
          </w:p>
        </w:tc>
        <w:tc>
          <w:tcPr>
            <w:tcW w:w="1552" w:type="dxa"/>
          </w:tcPr>
          <w:p w14:paraId="47727D8E"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Independent</w:t>
            </w:r>
          </w:p>
        </w:tc>
        <w:tc>
          <w:tcPr>
            <w:tcW w:w="4648" w:type="dxa"/>
          </w:tcPr>
          <w:p w14:paraId="0E478722"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Natural log of number of board meetings held in a year.</w:t>
            </w:r>
          </w:p>
        </w:tc>
      </w:tr>
      <w:tr w:rsidR="00AE77D4" w:rsidRPr="00AE77D4" w14:paraId="50581618" w14:textId="77777777" w:rsidTr="00D667E4">
        <w:trPr>
          <w:jc w:val="center"/>
        </w:trPr>
        <w:tc>
          <w:tcPr>
            <w:tcW w:w="1890" w:type="dxa"/>
          </w:tcPr>
          <w:p w14:paraId="516B8244"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CEO Duality</w:t>
            </w:r>
          </w:p>
        </w:tc>
        <w:tc>
          <w:tcPr>
            <w:tcW w:w="1260" w:type="dxa"/>
          </w:tcPr>
          <w:p w14:paraId="24714ECF"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Cs w:val="24"/>
                <w:lang w:val="en-GB"/>
              </w:rPr>
              <w:t>DUALITY</w:t>
            </w:r>
          </w:p>
        </w:tc>
        <w:tc>
          <w:tcPr>
            <w:tcW w:w="1552" w:type="dxa"/>
          </w:tcPr>
          <w:p w14:paraId="29E92874"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Independent</w:t>
            </w:r>
          </w:p>
        </w:tc>
        <w:tc>
          <w:tcPr>
            <w:tcW w:w="4648" w:type="dxa"/>
          </w:tcPr>
          <w:p w14:paraId="70C1A807" w14:textId="77777777" w:rsidR="00AD580A" w:rsidRPr="00AE77D4" w:rsidRDefault="00661A05" w:rsidP="00AE77D4">
            <w:pPr>
              <w:autoSpaceDE w:val="0"/>
              <w:autoSpaceDN w:val="0"/>
              <w:adjustRightInd w:val="0"/>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Same person holds the positions of chairman and CEO in a firm. Here, duality is calculated on 1 or 0 scales [1= if the same person holds both positions, else 0].</w:t>
            </w:r>
          </w:p>
        </w:tc>
      </w:tr>
      <w:tr w:rsidR="00AE77D4" w:rsidRPr="00AE77D4" w14:paraId="24C6F984" w14:textId="77777777" w:rsidTr="00D667E4">
        <w:trPr>
          <w:jc w:val="center"/>
        </w:trPr>
        <w:tc>
          <w:tcPr>
            <w:tcW w:w="1890" w:type="dxa"/>
          </w:tcPr>
          <w:p w14:paraId="5E5472CE"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Audit Committee</w:t>
            </w:r>
          </w:p>
        </w:tc>
        <w:tc>
          <w:tcPr>
            <w:tcW w:w="1260" w:type="dxa"/>
          </w:tcPr>
          <w:p w14:paraId="68C52BBD"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ADCOM</w:t>
            </w:r>
          </w:p>
        </w:tc>
        <w:tc>
          <w:tcPr>
            <w:tcW w:w="1552" w:type="dxa"/>
          </w:tcPr>
          <w:p w14:paraId="6F2BE8DE"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Independent</w:t>
            </w:r>
          </w:p>
        </w:tc>
        <w:tc>
          <w:tcPr>
            <w:tcW w:w="4648" w:type="dxa"/>
          </w:tcPr>
          <w:p w14:paraId="02918C7B" w14:textId="77777777" w:rsidR="00AD580A" w:rsidRPr="00AE77D4" w:rsidRDefault="00661A05" w:rsidP="00AE77D4">
            <w:pPr>
              <w:autoSpaceDE w:val="0"/>
              <w:autoSpaceDN w:val="0"/>
              <w:adjustRightInd w:val="0"/>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Natural log of number of audit committee members.</w:t>
            </w:r>
          </w:p>
        </w:tc>
      </w:tr>
      <w:tr w:rsidR="00AE77D4" w:rsidRPr="00AE77D4" w14:paraId="23013E2F" w14:textId="77777777" w:rsidTr="00D667E4">
        <w:trPr>
          <w:jc w:val="center"/>
        </w:trPr>
        <w:tc>
          <w:tcPr>
            <w:tcW w:w="1890" w:type="dxa"/>
          </w:tcPr>
          <w:p w14:paraId="005F0497"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Firm Size</w:t>
            </w:r>
          </w:p>
        </w:tc>
        <w:tc>
          <w:tcPr>
            <w:tcW w:w="1260" w:type="dxa"/>
          </w:tcPr>
          <w:p w14:paraId="583FD1D9"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SIZE</w:t>
            </w:r>
          </w:p>
        </w:tc>
        <w:tc>
          <w:tcPr>
            <w:tcW w:w="1552" w:type="dxa"/>
          </w:tcPr>
          <w:p w14:paraId="23624621"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Control</w:t>
            </w:r>
          </w:p>
        </w:tc>
        <w:tc>
          <w:tcPr>
            <w:tcW w:w="4648" w:type="dxa"/>
          </w:tcPr>
          <w:p w14:paraId="0C292F1E"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Natural log of net asset value per share.</w:t>
            </w:r>
          </w:p>
        </w:tc>
      </w:tr>
      <w:tr w:rsidR="00AE77D4" w:rsidRPr="00AE77D4" w14:paraId="18D4B426" w14:textId="77777777" w:rsidTr="00D667E4">
        <w:trPr>
          <w:jc w:val="center"/>
        </w:trPr>
        <w:tc>
          <w:tcPr>
            <w:tcW w:w="1890" w:type="dxa"/>
          </w:tcPr>
          <w:p w14:paraId="01BB51F7"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Profitability</w:t>
            </w:r>
          </w:p>
        </w:tc>
        <w:tc>
          <w:tcPr>
            <w:tcW w:w="1260" w:type="dxa"/>
          </w:tcPr>
          <w:p w14:paraId="0A442FC0"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ROA</w:t>
            </w:r>
          </w:p>
        </w:tc>
        <w:tc>
          <w:tcPr>
            <w:tcW w:w="1552" w:type="dxa"/>
          </w:tcPr>
          <w:p w14:paraId="74E88302"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Control</w:t>
            </w:r>
          </w:p>
        </w:tc>
        <w:tc>
          <w:tcPr>
            <w:tcW w:w="4648" w:type="dxa"/>
          </w:tcPr>
          <w:p w14:paraId="16F6E5A5"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Earnings before interest and taxes/total assets.</w:t>
            </w:r>
          </w:p>
        </w:tc>
      </w:tr>
      <w:tr w:rsidR="00AE77D4" w:rsidRPr="00AE77D4" w14:paraId="5A1B13EF" w14:textId="77777777" w:rsidTr="00D667E4">
        <w:trPr>
          <w:jc w:val="center"/>
        </w:trPr>
        <w:tc>
          <w:tcPr>
            <w:tcW w:w="1890" w:type="dxa"/>
          </w:tcPr>
          <w:p w14:paraId="330FDB0A"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Leverage</w:t>
            </w:r>
          </w:p>
        </w:tc>
        <w:tc>
          <w:tcPr>
            <w:tcW w:w="1260" w:type="dxa"/>
          </w:tcPr>
          <w:p w14:paraId="0252E22F"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LEV</w:t>
            </w:r>
          </w:p>
        </w:tc>
        <w:tc>
          <w:tcPr>
            <w:tcW w:w="1552" w:type="dxa"/>
          </w:tcPr>
          <w:p w14:paraId="40BBC67E"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bidi="bn-BD"/>
              </w:rPr>
              <w:t>Control</w:t>
            </w:r>
          </w:p>
        </w:tc>
        <w:tc>
          <w:tcPr>
            <w:tcW w:w="4648" w:type="dxa"/>
          </w:tcPr>
          <w:p w14:paraId="7EBAAA10"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Total debt</w:t>
            </w:r>
            <w:r w:rsidRPr="00AE77D4">
              <w:rPr>
                <w:lang w:val="en-GB"/>
              </w:rPr>
              <w:t xml:space="preserve"> </w:t>
            </w:r>
            <w:r w:rsidRPr="00AE77D4">
              <w:rPr>
                <w:rFonts w:ascii="Times New Roman" w:hAnsi="Times New Roman" w:cs="Times New Roman"/>
                <w:sz w:val="24"/>
                <w:szCs w:val="24"/>
                <w:lang w:val="en-GB"/>
              </w:rPr>
              <w:t>divided by total assets.</w:t>
            </w:r>
          </w:p>
        </w:tc>
      </w:tr>
      <w:tr w:rsidR="00AE77D4" w:rsidRPr="00AE77D4" w14:paraId="2C2DBD27" w14:textId="77777777" w:rsidTr="00D667E4">
        <w:trPr>
          <w:jc w:val="center"/>
        </w:trPr>
        <w:tc>
          <w:tcPr>
            <w:tcW w:w="1890" w:type="dxa"/>
          </w:tcPr>
          <w:p w14:paraId="5BD895DC"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Industry</w:t>
            </w:r>
          </w:p>
        </w:tc>
        <w:tc>
          <w:tcPr>
            <w:tcW w:w="1260" w:type="dxa"/>
          </w:tcPr>
          <w:p w14:paraId="1EF9F131"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INDUS</w:t>
            </w:r>
          </w:p>
        </w:tc>
        <w:tc>
          <w:tcPr>
            <w:tcW w:w="1552" w:type="dxa"/>
          </w:tcPr>
          <w:p w14:paraId="75A69739" w14:textId="77777777" w:rsidR="00AD580A" w:rsidRPr="00AE77D4" w:rsidRDefault="00661A05" w:rsidP="00AE77D4">
            <w:pPr>
              <w:spacing w:line="276" w:lineRule="auto"/>
              <w:rPr>
                <w:rFonts w:ascii="Times New Roman" w:hAnsi="Times New Roman" w:cs="Times New Roman"/>
                <w:sz w:val="24"/>
                <w:szCs w:val="24"/>
                <w:lang w:val="en-GB" w:bidi="bn-BD"/>
              </w:rPr>
            </w:pPr>
            <w:r w:rsidRPr="00AE77D4">
              <w:rPr>
                <w:rFonts w:ascii="Times New Roman" w:hAnsi="Times New Roman" w:cs="Times New Roman"/>
                <w:sz w:val="24"/>
                <w:szCs w:val="24"/>
                <w:lang w:val="en-GB" w:bidi="bn-BD"/>
              </w:rPr>
              <w:t>Control</w:t>
            </w:r>
          </w:p>
        </w:tc>
        <w:tc>
          <w:tcPr>
            <w:tcW w:w="4648" w:type="dxa"/>
          </w:tcPr>
          <w:p w14:paraId="13046F47"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Industry belongingness. Dummy variable.</w:t>
            </w:r>
          </w:p>
        </w:tc>
      </w:tr>
      <w:tr w:rsidR="00AB775B" w:rsidRPr="00AE77D4" w14:paraId="3F838933" w14:textId="77777777" w:rsidTr="00D667E4">
        <w:trPr>
          <w:jc w:val="center"/>
        </w:trPr>
        <w:tc>
          <w:tcPr>
            <w:tcW w:w="1890" w:type="dxa"/>
            <w:tcBorders>
              <w:bottom w:val="single" w:sz="4" w:space="0" w:color="auto"/>
            </w:tcBorders>
          </w:tcPr>
          <w:p w14:paraId="71BE4A25"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Year</w:t>
            </w:r>
          </w:p>
        </w:tc>
        <w:tc>
          <w:tcPr>
            <w:tcW w:w="1260" w:type="dxa"/>
            <w:tcBorders>
              <w:bottom w:val="single" w:sz="4" w:space="0" w:color="auto"/>
            </w:tcBorders>
          </w:tcPr>
          <w:p w14:paraId="2C2F6A80"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YEAR</w:t>
            </w:r>
          </w:p>
        </w:tc>
        <w:tc>
          <w:tcPr>
            <w:tcW w:w="1552" w:type="dxa"/>
            <w:tcBorders>
              <w:bottom w:val="single" w:sz="4" w:space="0" w:color="auto"/>
            </w:tcBorders>
          </w:tcPr>
          <w:p w14:paraId="32156A1F" w14:textId="77777777" w:rsidR="00AD580A" w:rsidRPr="00AE77D4" w:rsidRDefault="00661A05" w:rsidP="00AE77D4">
            <w:pPr>
              <w:spacing w:line="276" w:lineRule="auto"/>
              <w:rPr>
                <w:rFonts w:ascii="Times New Roman" w:hAnsi="Times New Roman" w:cs="Times New Roman"/>
                <w:sz w:val="24"/>
                <w:szCs w:val="24"/>
                <w:lang w:val="en-GB" w:bidi="bn-BD"/>
              </w:rPr>
            </w:pPr>
            <w:r w:rsidRPr="00AE77D4">
              <w:rPr>
                <w:rFonts w:ascii="Times New Roman" w:hAnsi="Times New Roman" w:cs="Times New Roman"/>
                <w:sz w:val="24"/>
                <w:szCs w:val="24"/>
                <w:lang w:val="en-GB" w:bidi="bn-BD"/>
              </w:rPr>
              <w:t>Control</w:t>
            </w:r>
          </w:p>
        </w:tc>
        <w:tc>
          <w:tcPr>
            <w:tcW w:w="4648" w:type="dxa"/>
            <w:tcBorders>
              <w:bottom w:val="single" w:sz="4" w:space="0" w:color="auto"/>
            </w:tcBorders>
          </w:tcPr>
          <w:p w14:paraId="7A94F4E2" w14:textId="77777777" w:rsidR="00AD580A"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Sample year. Dummy variable.</w:t>
            </w:r>
          </w:p>
        </w:tc>
      </w:tr>
    </w:tbl>
    <w:p w14:paraId="437F902A" w14:textId="77777777" w:rsidR="003356C6" w:rsidRPr="00AE77D4" w:rsidRDefault="003356C6" w:rsidP="00AE77D4">
      <w:pPr>
        <w:spacing w:line="276" w:lineRule="auto"/>
        <w:jc w:val="both"/>
        <w:rPr>
          <w:rFonts w:ascii="Times New Roman" w:hAnsi="Times New Roman" w:cs="Times New Roman"/>
          <w:sz w:val="24"/>
          <w:szCs w:val="24"/>
          <w:lang w:val="en-GB"/>
        </w:rPr>
      </w:pPr>
    </w:p>
    <w:p w14:paraId="28918F1F" w14:textId="2655F0B4" w:rsidR="00B710E4" w:rsidRPr="00AE77D4" w:rsidRDefault="00661A05" w:rsidP="00AE77D4">
      <w:pPr>
        <w:spacing w:line="276" w:lineRule="auto"/>
        <w:jc w:val="both"/>
        <w:rPr>
          <w:rFonts w:ascii="Times New Roman" w:hAnsi="Times New Roman" w:cs="Times New Roman"/>
          <w:b/>
          <w:iCs/>
          <w:sz w:val="24"/>
          <w:szCs w:val="24"/>
          <w:lang w:val="en-GB"/>
        </w:rPr>
      </w:pPr>
      <w:r w:rsidRPr="00AE77D4">
        <w:rPr>
          <w:rFonts w:ascii="Times New Roman" w:hAnsi="Times New Roman" w:cs="Times New Roman"/>
          <w:b/>
          <w:iCs/>
          <w:sz w:val="24"/>
          <w:szCs w:val="24"/>
          <w:lang w:val="en-GB"/>
        </w:rPr>
        <w:t xml:space="preserve">5.3 Model specification </w:t>
      </w:r>
    </w:p>
    <w:p w14:paraId="721DE79A" w14:textId="04394F95" w:rsidR="004D47CE"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The models were developed to investigate the association between the corporate governance nexus and climate disclosures</w:t>
      </w:r>
      <w:r w:rsidR="00D624CC" w:rsidRPr="00AE77D4">
        <w:rPr>
          <w:rFonts w:ascii="Times New Roman" w:hAnsi="Times New Roman" w:cs="Times New Roman"/>
          <w:sz w:val="24"/>
          <w:szCs w:val="24"/>
          <w:lang w:val="en-GB"/>
        </w:rPr>
        <w:t xml:space="preserve">. </w:t>
      </w:r>
      <w:r w:rsidR="00BA535F" w:rsidRPr="00AE77D4">
        <w:rPr>
          <w:rFonts w:ascii="Times New Roman" w:hAnsi="Times New Roman" w:cs="Times New Roman"/>
          <w:sz w:val="24"/>
          <w:szCs w:val="24"/>
          <w:lang w:val="en-GB"/>
        </w:rPr>
        <w:t xml:space="preserve">First, we suggest our initial model </w:t>
      </w:r>
      <w:r w:rsidR="00D624CC" w:rsidRPr="00AE77D4">
        <w:rPr>
          <w:rFonts w:ascii="Times New Roman" w:hAnsi="Times New Roman" w:cs="Times New Roman"/>
          <w:sz w:val="24"/>
          <w:szCs w:val="24"/>
          <w:lang w:val="en-GB"/>
        </w:rPr>
        <w:t>(1), in which we regress the seven corporate governance mechanisms (</w:t>
      </w:r>
      <w:r w:rsidR="00D624CC" w:rsidRPr="00AE77D4">
        <w:rPr>
          <w:rFonts w:ascii="Times New Roman" w:hAnsi="Times New Roman" w:cs="Times New Roman"/>
          <w:sz w:val="24"/>
          <w:szCs w:val="24"/>
          <w:lang w:val="en-GB" w:bidi="bn-BD"/>
        </w:rPr>
        <w:t>board size,</w:t>
      </w:r>
      <w:r w:rsidR="00D624CC" w:rsidRPr="00AE77D4">
        <w:rPr>
          <w:rFonts w:ascii="Times New Roman" w:hAnsi="Times New Roman" w:cs="Times New Roman"/>
          <w:sz w:val="24"/>
          <w:szCs w:val="24"/>
          <w:lang w:val="en-GB"/>
        </w:rPr>
        <w:t xml:space="preserve"> board independence, </w:t>
      </w:r>
      <w:r w:rsidR="00E90487" w:rsidRPr="00AE77D4">
        <w:rPr>
          <w:rFonts w:ascii="Times New Roman" w:hAnsi="Times New Roman" w:cs="Times New Roman"/>
          <w:sz w:val="24"/>
          <w:szCs w:val="24"/>
          <w:lang w:val="en-GB"/>
        </w:rPr>
        <w:t>foreigners on b</w:t>
      </w:r>
      <w:r w:rsidR="00D624CC" w:rsidRPr="00AE77D4">
        <w:rPr>
          <w:rFonts w:ascii="Times New Roman" w:hAnsi="Times New Roman" w:cs="Times New Roman"/>
          <w:sz w:val="24"/>
          <w:szCs w:val="24"/>
          <w:lang w:val="en-GB"/>
        </w:rPr>
        <w:t xml:space="preserve">oard, board diversity, </w:t>
      </w:r>
      <w:r w:rsidR="00D624CC" w:rsidRPr="00AE77D4">
        <w:rPr>
          <w:rFonts w:ascii="Times New Roman" w:hAnsi="Times New Roman" w:cs="Times New Roman"/>
          <w:sz w:val="24"/>
          <w:szCs w:val="24"/>
          <w:lang w:val="en-GB" w:bidi="bn-BD"/>
        </w:rPr>
        <w:t>board meeting</w:t>
      </w:r>
      <w:r w:rsidRPr="00AE77D4">
        <w:rPr>
          <w:rFonts w:ascii="Times New Roman" w:eastAsia="Calibri" w:hAnsi="Times New Roman" w:cs="Times New Roman"/>
          <w:sz w:val="24"/>
          <w:szCs w:val="24"/>
          <w:lang w:val="en-GB"/>
        </w:rPr>
        <w:t>s, CEO duality,</w:t>
      </w:r>
      <w:r w:rsidR="00D624CC" w:rsidRPr="00AE77D4">
        <w:rPr>
          <w:rFonts w:ascii="Times New Roman" w:hAnsi="Times New Roman" w:cs="Times New Roman"/>
          <w:sz w:val="24"/>
          <w:szCs w:val="24"/>
          <w:lang w:val="en-GB"/>
        </w:rPr>
        <w:t xml:space="preserve"> and audit committee)</w:t>
      </w:r>
      <w:r w:rsidRPr="00AE77D4">
        <w:rPr>
          <w:rFonts w:ascii="Times New Roman" w:eastAsia="Calibri" w:hAnsi="Times New Roman" w:cs="Times New Roman"/>
          <w:sz w:val="24"/>
          <w:szCs w:val="24"/>
          <w:lang w:val="en-GB"/>
        </w:rPr>
        <w:t>,</w:t>
      </w:r>
      <w:r w:rsidR="00E710E0" w:rsidRPr="00AE77D4">
        <w:rPr>
          <w:rFonts w:ascii="Times New Roman" w:hAnsi="Times New Roman" w:cs="Times New Roman"/>
          <w:sz w:val="24"/>
          <w:szCs w:val="24"/>
          <w:lang w:val="en-GB"/>
        </w:rPr>
        <w:t xml:space="preserve"> as well as the control variables on climate change disclosures.</w:t>
      </w:r>
      <w:r w:rsidR="00DE6D65" w:rsidRPr="00AE77D4">
        <w:rPr>
          <w:rFonts w:ascii="Times New Roman" w:hAnsi="Times New Roman" w:cs="Times New Roman"/>
          <w:sz w:val="24"/>
          <w:szCs w:val="24"/>
          <w:lang w:val="en-GB"/>
        </w:rPr>
        <w:t xml:space="preserve"> </w:t>
      </w:r>
      <w:r w:rsidR="00FC66A3" w:rsidRPr="00AE77D4">
        <w:rPr>
          <w:rFonts w:ascii="Times New Roman" w:hAnsi="Times New Roman" w:cs="Times New Roman"/>
          <w:sz w:val="24"/>
          <w:szCs w:val="24"/>
          <w:lang w:val="en-GB"/>
        </w:rPr>
        <w:t xml:space="preserve">Therefore, </w:t>
      </w:r>
      <w:r w:rsidR="003340D0" w:rsidRPr="00AE77D4">
        <w:rPr>
          <w:rFonts w:ascii="Times New Roman" w:hAnsi="Times New Roman" w:cs="Times New Roman"/>
          <w:sz w:val="24"/>
          <w:szCs w:val="24"/>
          <w:lang w:val="en-GB"/>
        </w:rPr>
        <w:t>we apply model</w:t>
      </w:r>
      <w:r w:rsidR="00DE6D65" w:rsidRPr="00AE77D4">
        <w:rPr>
          <w:rFonts w:ascii="Times New Roman" w:hAnsi="Times New Roman" w:cs="Times New Roman"/>
          <w:sz w:val="24"/>
          <w:szCs w:val="24"/>
          <w:lang w:val="en-GB"/>
        </w:rPr>
        <w:t xml:space="preserve"> </w:t>
      </w:r>
      <w:r w:rsidR="00FD3940" w:rsidRPr="00AE77D4">
        <w:rPr>
          <w:rFonts w:ascii="Times New Roman" w:hAnsi="Times New Roman" w:cs="Times New Roman"/>
          <w:sz w:val="24"/>
          <w:szCs w:val="24"/>
          <w:lang w:val="en-GB"/>
        </w:rPr>
        <w:t xml:space="preserve">(1) </w:t>
      </w:r>
      <w:r w:rsidR="00DE6D65" w:rsidRPr="00AE77D4">
        <w:rPr>
          <w:rFonts w:ascii="Times New Roman" w:hAnsi="Times New Roman" w:cs="Times New Roman"/>
          <w:sz w:val="24"/>
          <w:szCs w:val="24"/>
          <w:lang w:val="en-GB"/>
        </w:rPr>
        <w:t>to examine our proposed research hypotheses</w:t>
      </w:r>
      <w:r w:rsidR="00F35234" w:rsidRPr="00AE77D4">
        <w:rPr>
          <w:rFonts w:ascii="Times New Roman" w:hAnsi="Times New Roman" w:cs="Times New Roman"/>
          <w:sz w:val="24"/>
          <w:szCs w:val="24"/>
          <w:lang w:val="en-GB"/>
        </w:rPr>
        <w:t xml:space="preserve"> 1 to 7</w:t>
      </w:r>
      <w:r w:rsidR="003340D0" w:rsidRPr="00AE77D4">
        <w:rPr>
          <w:rFonts w:ascii="Times New Roman" w:hAnsi="Times New Roman" w:cs="Times New Roman"/>
          <w:sz w:val="24"/>
          <w:szCs w:val="24"/>
          <w:lang w:val="en-GB"/>
        </w:rPr>
        <w:t>:</w:t>
      </w:r>
      <m:oMath>
        <m:r>
          <m:rPr>
            <m:sty m:val="p"/>
          </m:rPr>
          <w:rPr>
            <w:rFonts w:ascii="Cambria Math" w:hAnsi="Cambria Math" w:cs="Times New Roman"/>
            <w:sz w:val="24"/>
            <w:szCs w:val="24"/>
            <w:lang w:val="en-GB"/>
          </w:rPr>
          <m:t xml:space="preserve"> </m:t>
        </m:r>
      </m:oMath>
    </w:p>
    <w:p w14:paraId="620FED62" w14:textId="451902BC" w:rsidR="003D42EB" w:rsidRPr="00AE77D4" w:rsidRDefault="00661A05" w:rsidP="00AE77D4">
      <w:pPr>
        <w:spacing w:line="276" w:lineRule="auto"/>
        <w:jc w:val="both"/>
        <w:rPr>
          <w:rFonts w:ascii="Times New Roman" w:hAnsi="Times New Roman" w:cs="Times New Roman"/>
          <w:i/>
          <w:sz w:val="24"/>
          <w:szCs w:val="24"/>
          <w:vertAlign w:val="subscript"/>
          <w:lang w:val="en-GB"/>
        </w:rPr>
      </w:pPr>
      <m:oMath>
        <m:r>
          <m:rPr>
            <m:sty m:val="p"/>
          </m:rPr>
          <w:rPr>
            <w:rFonts w:ascii="Cambria Math" w:hAnsi="Cambria Math" w:cs="Times New Roman"/>
            <w:sz w:val="24"/>
            <w:szCs w:val="24"/>
            <w:lang w:val="en-GB"/>
          </w:rPr>
          <m:t>CCD</m:t>
        </m:r>
      </m:oMath>
      <w:r w:rsidR="004D45EB" w:rsidRPr="00AE77D4">
        <w:rPr>
          <w:rFonts w:ascii="Times New Roman" w:hAnsi="Times New Roman" w:cs="Times New Roman"/>
          <w:i/>
          <w:sz w:val="24"/>
          <w:szCs w:val="24"/>
          <w:vertAlign w:val="subscript"/>
          <w:lang w:val="en-GB"/>
        </w:rPr>
        <w:t xml:space="preserve">i,t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 β</m:t>
            </m:r>
          </m:e>
          <m:sub>
            <m:r>
              <w:rPr>
                <w:rFonts w:ascii="Cambria Math" w:hAnsi="Cambria Math" w:cs="Times New Roman"/>
                <w:sz w:val="24"/>
                <w:szCs w:val="24"/>
                <w:lang w:val="en-GB"/>
              </w:rPr>
              <m:t>0</m:t>
            </m:r>
          </m:sub>
        </m:sSub>
        <m:r>
          <w:rPr>
            <w:rFonts w:ascii="Cambria Math" w:hAnsi="Cambria Math" w:cs="Times New Roman"/>
            <w:sz w:val="24"/>
            <w:szCs w:val="24"/>
            <w:lang w:val="en-GB"/>
          </w:rPr>
          <m:t xml:space="preserve"> +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r>
          <m:rPr>
            <m:sty m:val="p"/>
          </m:rPr>
          <w:rPr>
            <w:rFonts w:ascii="Cambria Math" w:hAnsi="Cambria Math" w:cs="Times New Roman"/>
            <w:sz w:val="24"/>
            <w:szCs w:val="24"/>
            <w:lang w:val="en-GB"/>
          </w:rPr>
          <m:t xml:space="preserve"> BSIZE </m:t>
        </m:r>
      </m:oMath>
      <w:r w:rsidR="004D45EB" w:rsidRPr="00AE77D4">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2</m:t>
            </m:r>
          </m:sub>
        </m:sSub>
        <m:r>
          <m:rPr>
            <m:sty m:val="p"/>
          </m:rPr>
          <w:rPr>
            <w:rFonts w:ascii="Cambria Math" w:hAnsi="Cambria Math" w:cs="Times New Roman"/>
            <w:sz w:val="24"/>
            <w:szCs w:val="24"/>
            <w:lang w:val="en-GB"/>
          </w:rPr>
          <m:t xml:space="preserve"> INDIR </m:t>
        </m:r>
      </m:oMath>
      <w:r w:rsidR="004D45EB" w:rsidRPr="00AE77D4">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3</m:t>
            </m:r>
          </m:sub>
        </m:sSub>
        <m:r>
          <m:rPr>
            <m:sty m:val="p"/>
          </m:rPr>
          <w:rPr>
            <w:rFonts w:ascii="Cambria Math" w:hAnsi="Cambria Math" w:cs="Times New Roman"/>
            <w:sz w:val="24"/>
            <w:szCs w:val="24"/>
            <w:lang w:val="en-GB"/>
          </w:rPr>
          <m:t xml:space="preserve"> FORDIR </m:t>
        </m:r>
      </m:oMath>
      <w:r w:rsidR="004D45EB" w:rsidRPr="00AE77D4">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4</m:t>
            </m:r>
          </m:sub>
        </m:sSub>
        <m:r>
          <m:rPr>
            <m:sty m:val="p"/>
          </m:rPr>
          <w:rPr>
            <w:rFonts w:ascii="Cambria Math" w:hAnsi="Cambria Math" w:cs="Times New Roman"/>
            <w:sz w:val="24"/>
            <w:szCs w:val="24"/>
            <w:lang w:val="en-GB"/>
          </w:rPr>
          <m:t xml:space="preserve"> GENDER </m:t>
        </m:r>
      </m:oMath>
      <w:r w:rsidR="004D45EB" w:rsidRPr="00AE77D4">
        <w:rPr>
          <w:rFonts w:ascii="Times New Roman" w:hAnsi="Times New Roman" w:cs="Times New Roman"/>
          <w:i/>
          <w:sz w:val="24"/>
          <w:szCs w:val="24"/>
          <w:vertAlign w:val="subscript"/>
          <w:lang w:val="en-GB"/>
        </w:rPr>
        <w:t>i,t</w:t>
      </w:r>
      <m:oMath>
        <m:r>
          <w:rPr>
            <w:rFonts w:ascii="Cambria Math" w:hAnsi="Cambria Math" w:cs="Times New Roman"/>
            <w:sz w:val="24"/>
            <w:szCs w:val="24"/>
            <w:vertAlign w:val="subscript"/>
            <w:lang w:val="en-GB"/>
          </w:rPr>
          <m:t xml:space="preserve"> </m:t>
        </m:r>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5</m:t>
            </m:r>
          </m:sub>
        </m:sSub>
        <m:r>
          <m:rPr>
            <m:sty m:val="p"/>
          </m:rPr>
          <w:rPr>
            <w:rFonts w:ascii="Cambria Math" w:hAnsi="Cambria Math" w:cs="Times New Roman"/>
            <w:sz w:val="24"/>
            <w:szCs w:val="24"/>
            <w:lang w:val="en-GB"/>
          </w:rPr>
          <m:t xml:space="preserve"> BOMEET </m:t>
        </m:r>
      </m:oMath>
      <w:r w:rsidR="004D45EB" w:rsidRPr="00AE77D4">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6</m:t>
            </m:r>
          </m:sub>
        </m:sSub>
        <m:r>
          <m:rPr>
            <m:sty m:val="p"/>
          </m:rPr>
          <w:rPr>
            <w:rFonts w:ascii="Cambria Math" w:hAnsi="Cambria Math" w:cs="Times New Roman"/>
            <w:sz w:val="24"/>
            <w:szCs w:val="24"/>
            <w:lang w:val="en-GB"/>
          </w:rPr>
          <m:t xml:space="preserve"> DUALITY</m:t>
        </m:r>
      </m:oMath>
      <w:r w:rsidR="004D45EB" w:rsidRPr="00AE77D4">
        <w:rPr>
          <w:rFonts w:ascii="Times New Roman" w:hAnsi="Times New Roman" w:cs="Times New Roman"/>
          <w:i/>
          <w:sz w:val="24"/>
          <w:szCs w:val="24"/>
          <w:vertAlign w:val="subscript"/>
          <w:lang w:val="en-GB"/>
        </w:rPr>
        <w:t xml:space="preserve">i,t </w:t>
      </w:r>
      <m:oMath>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7</m:t>
            </m:r>
          </m:sub>
        </m:sSub>
        <m:r>
          <m:rPr>
            <m:sty m:val="p"/>
          </m:rPr>
          <w:rPr>
            <w:rFonts w:ascii="Cambria Math" w:hAnsi="Cambria Math" w:cs="Times New Roman"/>
            <w:sz w:val="24"/>
            <w:szCs w:val="24"/>
            <w:lang w:val="en-GB"/>
          </w:rPr>
          <m:t xml:space="preserve"> ADCOM</m:t>
        </m:r>
      </m:oMath>
      <w:r w:rsidR="004D45EB" w:rsidRPr="00AE77D4">
        <w:rPr>
          <w:rFonts w:ascii="Times New Roman" w:hAnsi="Times New Roman" w:cs="Times New Roman"/>
          <w:i/>
          <w:sz w:val="24"/>
          <w:szCs w:val="24"/>
          <w:vertAlign w:val="subscript"/>
          <w:lang w:val="en-GB"/>
        </w:rPr>
        <w:t xml:space="preserve">i,t </w:t>
      </w:r>
      <m:oMath>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 ∑Controls +∑Year+</m:t>
        </m:r>
      </m:oMath>
      <w:r w:rsidR="004D45EB" w:rsidRPr="00AE77D4">
        <w:rPr>
          <w:rFonts w:ascii="Times New Roman" w:eastAsiaTheme="minorEastAsia" w:hAnsi="Times New Roman" w:cs="Times New Roman"/>
          <w:i/>
          <w:sz w:val="24"/>
          <w:szCs w:val="24"/>
          <w:lang w:val="en-GB"/>
        </w:rPr>
        <w:t xml:space="preserve">∑Industry </w:t>
      </w:r>
      <m:oMath>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i,t</m:t>
            </m:r>
          </m:sub>
        </m:sSub>
      </m:oMath>
      <w:r w:rsidRPr="00AE77D4">
        <w:rPr>
          <w:rFonts w:ascii="Times New Roman" w:hAnsi="Times New Roman" w:cs="Times New Roman"/>
          <w:i/>
          <w:sz w:val="24"/>
          <w:szCs w:val="24"/>
          <w:lang w:val="en-GB"/>
        </w:rPr>
        <w:t xml:space="preserve">  </w:t>
      </w:r>
      <w:r w:rsidR="004D45EB" w:rsidRPr="00AE77D4">
        <w:rPr>
          <w:rFonts w:ascii="Times New Roman" w:hAnsi="Times New Roman" w:cs="Times New Roman"/>
          <w:i/>
          <w:sz w:val="24"/>
          <w:szCs w:val="24"/>
          <w:lang w:val="en-GB"/>
        </w:rPr>
        <w:tab/>
      </w:r>
      <w:r w:rsidRPr="00AE77D4">
        <w:rPr>
          <w:rFonts w:ascii="Times New Roman" w:hAnsi="Times New Roman" w:cs="Times New Roman"/>
          <w:i/>
          <w:sz w:val="24"/>
          <w:szCs w:val="24"/>
          <w:lang w:val="en-GB"/>
        </w:rPr>
        <w:t>…  (1)</w:t>
      </w:r>
    </w:p>
    <w:p w14:paraId="42FE4B79" w14:textId="04A5AB40" w:rsidR="004A10FE" w:rsidRPr="00AE77D4" w:rsidRDefault="00661A05" w:rsidP="00AE77D4">
      <w:pPr>
        <w:spacing w:before="240"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where i and t stand for the firm and the time period, respectively</w:t>
      </w:r>
      <w:r w:rsidR="006C5EEE" w:rsidRPr="00AE77D4">
        <w:rPr>
          <w:rFonts w:ascii="Times New Roman" w:hAnsi="Times New Roman" w:cs="Times New Roman"/>
          <w:sz w:val="24"/>
          <w:szCs w:val="24"/>
          <w:lang w:val="en-GB"/>
        </w:rPr>
        <w:t>;</w:t>
      </w:r>
      <w:r w:rsidR="006C5EEE" w:rsidRPr="00AE77D4">
        <w:rPr>
          <w:rFonts w:ascii="Times New Roman" w:hAnsi="Times New Roman" w:cs="Times New Roman"/>
          <w:iCs/>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0</m:t>
            </m:r>
          </m:sub>
        </m:sSub>
      </m:oMath>
      <w:r w:rsidR="006C5EEE" w:rsidRPr="00AE77D4">
        <w:rPr>
          <w:rFonts w:ascii="Times New Roman" w:eastAsiaTheme="minorEastAsia" w:hAnsi="Times New Roman" w:cs="Times New Roman"/>
          <w:i/>
          <w:sz w:val="24"/>
          <w:szCs w:val="24"/>
          <w:lang w:val="en-GB"/>
        </w:rPr>
        <w:t xml:space="preserve"> =</w:t>
      </w:r>
      <w:r w:rsidR="006C5EEE" w:rsidRPr="00AE77D4">
        <w:rPr>
          <w:rFonts w:ascii="Times New Roman" w:hAnsi="Times New Roman" w:cs="Times New Roman"/>
          <w:sz w:val="24"/>
          <w:szCs w:val="24"/>
          <w:lang w:val="en-GB"/>
        </w:rPr>
        <w:t xml:space="preserve"> intercept;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r>
          <w:rPr>
            <w:rFonts w:ascii="Cambria Math" w:hAnsi="Cambria Math" w:cs="Times New Roman"/>
            <w:sz w:val="24"/>
            <w:szCs w:val="24"/>
            <w:lang w:val="en-GB"/>
          </w:rPr>
          <m:t xml:space="preserve"> and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7</m:t>
            </m:r>
          </m:sub>
        </m:sSub>
      </m:oMath>
      <w:r w:rsidR="006C5EEE" w:rsidRPr="00AE77D4">
        <w:rPr>
          <w:rFonts w:ascii="Times New Roman" w:eastAsiaTheme="minorEastAsia" w:hAnsi="Times New Roman" w:cs="Times New Roman"/>
          <w:i/>
          <w:sz w:val="24"/>
          <w:szCs w:val="24"/>
          <w:lang w:val="en-GB"/>
        </w:rPr>
        <w:t xml:space="preserve"> = Coefficient of slope parameters, and  </w:t>
      </w:r>
      <m:oMath>
        <m:r>
          <w:rPr>
            <w:rFonts w:ascii="Cambria Math" w:hAnsi="Cambria Math" w:cs="Times New Roman"/>
            <w:sz w:val="24"/>
            <w:szCs w:val="24"/>
            <w:lang w:val="en-GB"/>
          </w:rPr>
          <m:t>ε</m:t>
        </m:r>
      </m:oMath>
      <w:r w:rsidR="006C5EEE" w:rsidRPr="00AE77D4">
        <w:rPr>
          <w:rFonts w:ascii="Times New Roman" w:hAnsi="Times New Roman" w:cs="Times New Roman"/>
          <w:sz w:val="24"/>
          <w:szCs w:val="24"/>
          <w:lang w:val="en-GB"/>
        </w:rPr>
        <w:t xml:space="preserve"> = error term. </w:t>
      </w:r>
      <w:r w:rsidR="0042655A" w:rsidRPr="00AE77D4">
        <w:rPr>
          <w:rFonts w:ascii="Times New Roman" w:hAnsi="Times New Roman" w:cs="Times New Roman"/>
          <w:iCs/>
          <w:sz w:val="24"/>
          <w:szCs w:val="24"/>
          <w:lang w:val="en-GB"/>
        </w:rPr>
        <w:t>CCD</w:t>
      </w:r>
      <w:r w:rsidR="006C5EEE" w:rsidRPr="00AE77D4">
        <w:rPr>
          <w:rFonts w:ascii="Times New Roman" w:hAnsi="Times New Roman" w:cs="Times New Roman"/>
          <w:iCs/>
          <w:sz w:val="24"/>
          <w:szCs w:val="24"/>
          <w:lang w:val="en-GB"/>
        </w:rPr>
        <w:t xml:space="preserve"> </w:t>
      </w:r>
      <w:r w:rsidR="00532F25" w:rsidRPr="00AE77D4">
        <w:rPr>
          <w:rFonts w:ascii="Times New Roman" w:hAnsi="Times New Roman" w:cs="Times New Roman"/>
          <w:iCs/>
          <w:sz w:val="24"/>
          <w:szCs w:val="24"/>
          <w:lang w:val="en-GB"/>
        </w:rPr>
        <w:t>indicates</w:t>
      </w:r>
      <w:r w:rsidR="006C5EEE" w:rsidRPr="00AE77D4">
        <w:rPr>
          <w:rFonts w:ascii="Times New Roman" w:hAnsi="Times New Roman" w:cs="Times New Roman"/>
          <w:iCs/>
          <w:sz w:val="24"/>
          <w:szCs w:val="24"/>
          <w:lang w:val="en-GB"/>
        </w:rPr>
        <w:t xml:space="preserve"> whether a </w:t>
      </w:r>
      <w:r w:rsidR="0042655A" w:rsidRPr="00AE77D4">
        <w:rPr>
          <w:rFonts w:ascii="Times New Roman" w:hAnsi="Times New Roman" w:cs="Times New Roman"/>
          <w:iCs/>
          <w:sz w:val="24"/>
          <w:szCs w:val="24"/>
          <w:lang w:val="en-GB"/>
        </w:rPr>
        <w:t xml:space="preserve">firm </w:t>
      </w:r>
      <w:r w:rsidR="004627E4" w:rsidRPr="00AE77D4">
        <w:rPr>
          <w:rFonts w:ascii="Times New Roman" w:hAnsi="Times New Roman" w:cs="Times New Roman"/>
          <w:iCs/>
          <w:sz w:val="24"/>
          <w:szCs w:val="24"/>
          <w:lang w:val="en-GB"/>
        </w:rPr>
        <w:t>disclose</w:t>
      </w:r>
      <w:r w:rsidRPr="00AE77D4">
        <w:rPr>
          <w:rFonts w:ascii="Times New Roman" w:eastAsia="Calibri" w:hAnsi="Times New Roman" w:cs="Times New Roman"/>
          <w:iCs/>
          <w:sz w:val="24"/>
          <w:szCs w:val="24"/>
          <w:lang w:val="en-GB"/>
        </w:rPr>
        <w:t>s</w:t>
      </w:r>
      <w:r w:rsidR="0042655A" w:rsidRPr="00AE77D4">
        <w:rPr>
          <w:rFonts w:ascii="Times New Roman" w:hAnsi="Times New Roman" w:cs="Times New Roman"/>
          <w:iCs/>
          <w:sz w:val="24"/>
          <w:szCs w:val="24"/>
          <w:lang w:val="en-GB"/>
        </w:rPr>
        <w:t xml:space="preserve"> climate change</w:t>
      </w:r>
      <w:r w:rsidR="006C5EEE" w:rsidRPr="00AE77D4">
        <w:rPr>
          <w:rFonts w:ascii="Times New Roman" w:hAnsi="Times New Roman" w:cs="Times New Roman"/>
          <w:iCs/>
          <w:sz w:val="24"/>
          <w:szCs w:val="24"/>
          <w:lang w:val="en-GB"/>
        </w:rPr>
        <w:t xml:space="preserve"> information. </w:t>
      </w:r>
      <w:r w:rsidR="005B0A8E" w:rsidRPr="00AE77D4">
        <w:rPr>
          <w:rFonts w:ascii="Times New Roman" w:hAnsi="Times New Roman" w:cs="Times New Roman"/>
          <w:sz w:val="24"/>
          <w:szCs w:val="24"/>
          <w:lang w:val="en-GB"/>
        </w:rPr>
        <w:t xml:space="preserve">In earlier studies, this metric was commonly applied </w:t>
      </w:r>
      <w:r w:rsidR="0042655A" w:rsidRPr="00AE77D4">
        <w:rPr>
          <w:rFonts w:ascii="Times New Roman" w:hAnsi="Times New Roman" w:cs="Times New Roman"/>
          <w:sz w:val="24"/>
          <w:szCs w:val="24"/>
          <w:lang w:val="en-GB"/>
        </w:rPr>
        <w:t>(Simnett</w:t>
      </w:r>
      <w:r w:rsidR="00E00515" w:rsidRPr="00AE77D4">
        <w:rPr>
          <w:rFonts w:ascii="Times New Roman" w:hAnsi="Times New Roman" w:cs="Times New Roman"/>
          <w:sz w:val="24"/>
          <w:szCs w:val="24"/>
          <w:lang w:val="en-GB"/>
        </w:rPr>
        <w:t xml:space="preserve"> </w:t>
      </w:r>
      <w:r w:rsidR="00E00515" w:rsidRPr="00AE77D4">
        <w:rPr>
          <w:rFonts w:ascii="Times New Roman" w:hAnsi="Times New Roman" w:cs="Times New Roman"/>
          <w:sz w:val="24"/>
          <w:szCs w:val="24"/>
          <w:lang w:val="en-GB" w:bidi="bn-BD"/>
        </w:rPr>
        <w:t>et al.,</w:t>
      </w:r>
      <w:r w:rsidR="0042655A" w:rsidRPr="00AE77D4">
        <w:rPr>
          <w:rFonts w:ascii="Times New Roman" w:hAnsi="Times New Roman" w:cs="Times New Roman"/>
          <w:sz w:val="24"/>
          <w:szCs w:val="24"/>
          <w:lang w:val="en-GB"/>
        </w:rPr>
        <w:t xml:space="preserve"> 2009).</w:t>
      </w:r>
      <w:r w:rsidR="003C5869" w:rsidRPr="00AE77D4">
        <w:rPr>
          <w:rFonts w:ascii="Times New Roman" w:hAnsi="Times New Roman" w:cs="Times New Roman"/>
          <w:sz w:val="24"/>
          <w:szCs w:val="24"/>
          <w:lang w:val="en-GB"/>
        </w:rPr>
        <w:t xml:space="preserve"> </w:t>
      </w:r>
      <w:r w:rsidR="001038E7" w:rsidRPr="00AE77D4">
        <w:rPr>
          <w:rFonts w:ascii="Times New Roman" w:hAnsi="Times New Roman" w:cs="Times New Roman"/>
          <w:sz w:val="24"/>
          <w:szCs w:val="24"/>
          <w:lang w:val="en-GB"/>
        </w:rPr>
        <w:t xml:space="preserve">All </w:t>
      </w:r>
      <w:r w:rsidRPr="00AE77D4">
        <w:rPr>
          <w:rFonts w:ascii="Times New Roman" w:eastAsia="Calibri" w:hAnsi="Times New Roman" w:cs="Times New Roman"/>
          <w:sz w:val="24"/>
          <w:szCs w:val="24"/>
          <w:lang w:val="en-GB"/>
        </w:rPr>
        <w:t>the variables are defined and measured in</w:t>
      </w:r>
      <w:r w:rsidR="001038E7" w:rsidRPr="00AE77D4">
        <w:rPr>
          <w:rFonts w:ascii="Times New Roman" w:hAnsi="Times New Roman" w:cs="Times New Roman"/>
          <w:sz w:val="24"/>
          <w:szCs w:val="24"/>
          <w:lang w:val="en-GB"/>
        </w:rPr>
        <w:t xml:space="preserve"> </w:t>
      </w:r>
      <w:r w:rsidRPr="00AE77D4">
        <w:rPr>
          <w:rFonts w:ascii="Times New Roman" w:hAnsi="Times New Roman" w:cs="Times New Roman"/>
          <w:sz w:val="24"/>
          <w:szCs w:val="24"/>
          <w:lang w:val="en-GB"/>
        </w:rPr>
        <w:t>Table 2</w:t>
      </w:r>
      <w:r w:rsidR="001038E7" w:rsidRPr="00AE77D4">
        <w:rPr>
          <w:rFonts w:ascii="Times New Roman" w:hAnsi="Times New Roman" w:cs="Times New Roman"/>
          <w:sz w:val="24"/>
          <w:szCs w:val="24"/>
          <w:lang w:val="en-GB"/>
        </w:rPr>
        <w:t>.</w:t>
      </w:r>
    </w:p>
    <w:p w14:paraId="365F986D" w14:textId="284E5485" w:rsidR="000B0F8A"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 xml:space="preserve">6 </w:t>
      </w:r>
      <w:r w:rsidR="00C166AE" w:rsidRPr="00AE77D4">
        <w:rPr>
          <w:rFonts w:ascii="Times New Roman" w:hAnsi="Times New Roman" w:cs="Times New Roman"/>
          <w:b/>
          <w:sz w:val="24"/>
          <w:szCs w:val="24"/>
          <w:lang w:val="en-GB"/>
        </w:rPr>
        <w:t xml:space="preserve">| </w:t>
      </w:r>
      <w:r w:rsidRPr="00AE77D4">
        <w:rPr>
          <w:rFonts w:ascii="Times New Roman" w:hAnsi="Times New Roman" w:cs="Times New Roman"/>
          <w:b/>
          <w:sz w:val="24"/>
          <w:szCs w:val="24"/>
          <w:lang w:val="en-GB"/>
        </w:rPr>
        <w:t>Results</w:t>
      </w:r>
    </w:p>
    <w:p w14:paraId="6ECB5C1C" w14:textId="648FA4F3" w:rsidR="009E5B72"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lastRenderedPageBreak/>
        <w:t>6.1 | Descriptive Analysis</w:t>
      </w:r>
    </w:p>
    <w:p w14:paraId="3856707C" w14:textId="552F6157" w:rsidR="001F1295"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Table 3 presents </w:t>
      </w:r>
      <w:r w:rsidR="00AD371F" w:rsidRPr="00AE77D4">
        <w:rPr>
          <w:rFonts w:ascii="Times New Roman" w:hAnsi="Times New Roman" w:cs="Times New Roman"/>
          <w:sz w:val="24"/>
          <w:szCs w:val="24"/>
          <w:lang w:val="en-GB"/>
        </w:rPr>
        <w:t xml:space="preserve">detailed </w:t>
      </w:r>
      <w:r w:rsidR="00031461" w:rsidRPr="00AE77D4">
        <w:rPr>
          <w:rFonts w:ascii="Times New Roman" w:hAnsi="Times New Roman" w:cs="Times New Roman"/>
          <w:sz w:val="24"/>
          <w:szCs w:val="24"/>
          <w:lang w:val="en-GB"/>
        </w:rPr>
        <w:t xml:space="preserve">descriptive statistics </w:t>
      </w:r>
      <w:r w:rsidR="0039714B" w:rsidRPr="00AE77D4">
        <w:rPr>
          <w:rFonts w:ascii="Times New Roman" w:hAnsi="Times New Roman" w:cs="Times New Roman"/>
          <w:sz w:val="24"/>
          <w:szCs w:val="24"/>
          <w:lang w:val="en-GB"/>
        </w:rPr>
        <w:t>related to</w:t>
      </w:r>
      <w:r w:rsidR="001D6115" w:rsidRPr="00AE77D4">
        <w:rPr>
          <w:rFonts w:ascii="Times New Roman" w:hAnsi="Times New Roman" w:cs="Times New Roman"/>
          <w:sz w:val="24"/>
          <w:szCs w:val="24"/>
          <w:lang w:val="en-GB"/>
        </w:rPr>
        <w:t xml:space="preserve"> </w:t>
      </w:r>
      <w:r w:rsidR="008444AA" w:rsidRPr="00AE77D4">
        <w:rPr>
          <w:rFonts w:ascii="Times New Roman" w:hAnsi="Times New Roman" w:cs="Times New Roman"/>
          <w:sz w:val="24"/>
          <w:szCs w:val="24"/>
          <w:lang w:val="en-GB"/>
        </w:rPr>
        <w:t>the sample firms' CCD, board matrix</w:t>
      </w:r>
      <w:r w:rsidRPr="00AE77D4">
        <w:rPr>
          <w:rFonts w:ascii="Times New Roman" w:eastAsia="Calibri" w:hAnsi="Times New Roman" w:cs="Times New Roman"/>
          <w:sz w:val="24"/>
          <w:szCs w:val="24"/>
          <w:lang w:val="en-GB"/>
        </w:rPr>
        <w:t>, and control variable</w:t>
      </w:r>
      <w:r w:rsidR="00CF1145" w:rsidRPr="00AE77D4">
        <w:rPr>
          <w:rFonts w:ascii="Times New Roman" w:hAnsi="Times New Roman" w:cs="Times New Roman"/>
          <w:sz w:val="24"/>
          <w:szCs w:val="24"/>
          <w:lang w:val="en-GB"/>
        </w:rPr>
        <w:t>s</w:t>
      </w:r>
      <w:r w:rsidRPr="00AE77D4">
        <w:rPr>
          <w:rFonts w:ascii="Times New Roman" w:hAnsi="Times New Roman" w:cs="Times New Roman"/>
          <w:sz w:val="24"/>
          <w:szCs w:val="24"/>
          <w:lang w:val="en-GB"/>
        </w:rPr>
        <w:t>.</w:t>
      </w:r>
      <w:r w:rsidR="005A3307" w:rsidRPr="00AE77D4">
        <w:rPr>
          <w:rFonts w:ascii="Times New Roman" w:hAnsi="Times New Roman" w:cs="Times New Roman"/>
          <w:sz w:val="24"/>
          <w:szCs w:val="24"/>
          <w:lang w:val="en-GB"/>
        </w:rPr>
        <w:t xml:space="preserve"> </w:t>
      </w:r>
      <w:r w:rsidR="00587A4F" w:rsidRPr="00AE77D4">
        <w:rPr>
          <w:rFonts w:ascii="Times New Roman" w:hAnsi="Times New Roman" w:cs="Times New Roman"/>
          <w:sz w:val="24"/>
          <w:szCs w:val="24"/>
          <w:lang w:val="en-GB"/>
        </w:rPr>
        <w:t xml:space="preserve">According to </w:t>
      </w:r>
      <w:r w:rsidR="005956A9" w:rsidRPr="00AE77D4">
        <w:rPr>
          <w:rFonts w:ascii="Times New Roman" w:hAnsi="Times New Roman" w:cs="Times New Roman"/>
          <w:sz w:val="24"/>
          <w:szCs w:val="24"/>
          <w:lang w:val="en-GB"/>
        </w:rPr>
        <w:t>Panel A</w:t>
      </w:r>
      <w:r w:rsidR="00721789" w:rsidRPr="00AE77D4">
        <w:rPr>
          <w:rFonts w:ascii="Times New Roman" w:hAnsi="Times New Roman" w:cs="Times New Roman"/>
          <w:sz w:val="24"/>
          <w:szCs w:val="24"/>
          <w:lang w:val="en-GB"/>
        </w:rPr>
        <w:t xml:space="preserve"> of</w:t>
      </w:r>
      <w:r w:rsidR="00CF1145" w:rsidRPr="00AE77D4">
        <w:rPr>
          <w:rFonts w:ascii="Times New Roman" w:hAnsi="Times New Roman" w:cs="Times New Roman"/>
          <w:sz w:val="24"/>
          <w:szCs w:val="24"/>
          <w:lang w:val="en-GB"/>
        </w:rPr>
        <w:t xml:space="preserve"> Table 3</w:t>
      </w:r>
      <w:r w:rsidR="00587A4F" w:rsidRPr="00AE77D4">
        <w:rPr>
          <w:rFonts w:ascii="Times New Roman" w:hAnsi="Times New Roman" w:cs="Times New Roman"/>
          <w:sz w:val="24"/>
          <w:szCs w:val="24"/>
          <w:lang w:val="en-GB"/>
        </w:rPr>
        <w:t>, t</w:t>
      </w:r>
      <w:r w:rsidR="00B56A3F" w:rsidRPr="00AE77D4">
        <w:rPr>
          <w:rFonts w:ascii="Times New Roman" w:hAnsi="Times New Roman" w:cs="Times New Roman"/>
          <w:sz w:val="24"/>
          <w:szCs w:val="24"/>
          <w:lang w:val="en-GB"/>
        </w:rPr>
        <w:t xml:space="preserve">he average value of </w:t>
      </w:r>
      <w:r w:rsidR="00B44D27" w:rsidRPr="00AE77D4">
        <w:rPr>
          <w:rFonts w:ascii="Times New Roman" w:hAnsi="Times New Roman" w:cs="Times New Roman"/>
          <w:noProof/>
          <w:sz w:val="24"/>
          <w:szCs w:val="24"/>
          <w:lang w:val="en-GB"/>
        </w:rPr>
        <w:t xml:space="preserve">CCD </w:t>
      </w:r>
      <w:r w:rsidR="004604C6" w:rsidRPr="00AE77D4">
        <w:rPr>
          <w:rFonts w:ascii="Times New Roman" w:hAnsi="Times New Roman" w:cs="Times New Roman"/>
          <w:noProof/>
          <w:sz w:val="24"/>
          <w:szCs w:val="24"/>
          <w:lang w:val="en-GB"/>
        </w:rPr>
        <w:t xml:space="preserve">during </w:t>
      </w:r>
      <w:r w:rsidR="004604C6" w:rsidRPr="00AE77D4">
        <w:rPr>
          <w:rFonts w:ascii="Times New Roman" w:hAnsi="Times New Roman" w:cs="Times New Roman"/>
          <w:sz w:val="24"/>
          <w:szCs w:val="24"/>
          <w:lang w:val="en-GB"/>
        </w:rPr>
        <w:t>pre-amended of CG and post-amended of CG are 45.62% and 46% respectively</w:t>
      </w:r>
      <w:r w:rsidR="008444AA" w:rsidRPr="00AE77D4">
        <w:rPr>
          <w:rFonts w:ascii="Times New Roman" w:hAnsi="Times New Roman" w:cs="Times New Roman"/>
          <w:sz w:val="24"/>
          <w:szCs w:val="24"/>
          <w:lang w:val="en-GB"/>
        </w:rPr>
        <w:t>,</w:t>
      </w:r>
      <w:r w:rsidR="0031300F" w:rsidRPr="00AE77D4">
        <w:rPr>
          <w:rFonts w:ascii="Times New Roman" w:hAnsi="Times New Roman" w:cs="Times New Roman"/>
          <w:sz w:val="24"/>
          <w:szCs w:val="24"/>
          <w:lang w:val="en-GB"/>
        </w:rPr>
        <w:t xml:space="preserve"> with a minimum value of 0</w:t>
      </w:r>
      <w:r w:rsidR="00B53B19" w:rsidRPr="00AE77D4">
        <w:rPr>
          <w:rFonts w:ascii="Times New Roman" w:hAnsi="Times New Roman" w:cs="Times New Roman"/>
          <w:sz w:val="24"/>
          <w:szCs w:val="24"/>
          <w:lang w:val="en-GB"/>
        </w:rPr>
        <w:t>%</w:t>
      </w:r>
      <w:r w:rsidR="0031300F" w:rsidRPr="00AE77D4">
        <w:rPr>
          <w:rFonts w:ascii="Times New Roman" w:hAnsi="Times New Roman" w:cs="Times New Roman"/>
          <w:sz w:val="24"/>
          <w:szCs w:val="24"/>
          <w:lang w:val="en-GB"/>
        </w:rPr>
        <w:t xml:space="preserve"> and a maximum value</w:t>
      </w:r>
      <w:r w:rsidR="00CB0E8D" w:rsidRPr="00AE77D4">
        <w:rPr>
          <w:rFonts w:ascii="Times New Roman" w:hAnsi="Times New Roman" w:cs="Times New Roman"/>
          <w:sz w:val="24"/>
          <w:szCs w:val="24"/>
          <w:lang w:val="en-GB"/>
        </w:rPr>
        <w:t xml:space="preserve"> </w:t>
      </w:r>
      <w:r w:rsidR="008444AA" w:rsidRPr="00AE77D4">
        <w:rPr>
          <w:rFonts w:ascii="Times New Roman" w:hAnsi="Times New Roman" w:cs="Times New Roman"/>
          <w:sz w:val="24"/>
          <w:szCs w:val="24"/>
          <w:lang w:val="en-GB"/>
        </w:rPr>
        <w:t xml:space="preserve">of </w:t>
      </w:r>
      <w:r w:rsidR="0031300F" w:rsidRPr="00AE77D4">
        <w:rPr>
          <w:rFonts w:ascii="Times New Roman" w:hAnsi="Times New Roman" w:cs="Times New Roman"/>
          <w:sz w:val="24"/>
          <w:szCs w:val="24"/>
          <w:lang w:val="en-GB"/>
        </w:rPr>
        <w:t>1</w:t>
      </w:r>
      <w:r w:rsidR="00B53B19" w:rsidRPr="00AE77D4">
        <w:rPr>
          <w:rFonts w:ascii="Times New Roman" w:hAnsi="Times New Roman" w:cs="Times New Roman"/>
          <w:sz w:val="24"/>
          <w:szCs w:val="24"/>
          <w:lang w:val="en-GB"/>
        </w:rPr>
        <w:t>00%</w:t>
      </w:r>
      <w:r w:rsidR="008444AA" w:rsidRPr="00AE77D4">
        <w:rPr>
          <w:rFonts w:ascii="Times New Roman" w:hAnsi="Times New Roman" w:cs="Times New Roman"/>
          <w:sz w:val="24"/>
          <w:szCs w:val="24"/>
          <w:lang w:val="en-GB"/>
        </w:rPr>
        <w:t>,</w:t>
      </w:r>
      <w:r w:rsidR="00CB0E8D" w:rsidRPr="00AE77D4">
        <w:rPr>
          <w:rFonts w:ascii="Times New Roman" w:hAnsi="Times New Roman" w:cs="Times New Roman"/>
          <w:sz w:val="24"/>
          <w:szCs w:val="24"/>
          <w:lang w:val="en-GB"/>
        </w:rPr>
        <w:t xml:space="preserve"> </w:t>
      </w:r>
      <w:r w:rsidR="00721789" w:rsidRPr="00AE77D4">
        <w:rPr>
          <w:rFonts w:ascii="Times New Roman" w:hAnsi="Times New Roman" w:cs="Times New Roman"/>
          <w:sz w:val="24"/>
          <w:szCs w:val="24"/>
          <w:lang w:val="en-GB"/>
        </w:rPr>
        <w:t>w</w:t>
      </w:r>
      <w:r w:rsidR="005D7321" w:rsidRPr="00AE77D4">
        <w:rPr>
          <w:rFonts w:ascii="Times New Roman" w:hAnsi="Times New Roman" w:cs="Times New Roman"/>
          <w:sz w:val="24"/>
          <w:szCs w:val="24"/>
          <w:lang w:val="en-GB"/>
        </w:rPr>
        <w:t xml:space="preserve">hich is higher than </w:t>
      </w:r>
      <w:r w:rsidR="009D7B04" w:rsidRPr="00AE77D4">
        <w:rPr>
          <w:rFonts w:ascii="Times New Roman" w:hAnsi="Times New Roman" w:cs="Times New Roman"/>
          <w:sz w:val="24"/>
          <w:szCs w:val="24"/>
          <w:lang w:val="en-GB"/>
        </w:rPr>
        <w:t>that of</w:t>
      </w:r>
      <w:r w:rsidR="008444AA" w:rsidRPr="00AE77D4">
        <w:rPr>
          <w:rFonts w:ascii="Times New Roman" w:hAnsi="Times New Roman" w:cs="Times New Roman"/>
          <w:sz w:val="24"/>
          <w:szCs w:val="24"/>
          <w:lang w:val="en-GB"/>
        </w:rPr>
        <w:t xml:space="preserve"> </w:t>
      </w:r>
      <w:r w:rsidR="005D7321" w:rsidRPr="00AE77D4">
        <w:rPr>
          <w:rFonts w:ascii="Times New Roman" w:hAnsi="Times New Roman" w:cs="Times New Roman"/>
          <w:sz w:val="24"/>
          <w:szCs w:val="24"/>
          <w:lang w:val="en-GB"/>
        </w:rPr>
        <w:t>previous study</w:t>
      </w:r>
      <w:r w:rsidR="00C52CEB" w:rsidRPr="00AE77D4">
        <w:rPr>
          <w:rFonts w:ascii="Times New Roman" w:hAnsi="Times New Roman" w:cs="Times New Roman"/>
          <w:sz w:val="24"/>
          <w:szCs w:val="24"/>
          <w:lang w:val="en-GB"/>
        </w:rPr>
        <w:t xml:space="preserve"> </w:t>
      </w:r>
      <w:r w:rsidR="005D7321" w:rsidRPr="00AE77D4">
        <w:rPr>
          <w:rFonts w:ascii="Times New Roman" w:hAnsi="Times New Roman" w:cs="Times New Roman"/>
          <w:sz w:val="24"/>
          <w:szCs w:val="24"/>
          <w:lang w:val="en-GB"/>
        </w:rPr>
        <w:t>(</w:t>
      </w:r>
      <w:r w:rsidR="005D37F6" w:rsidRPr="00AE77D4">
        <w:rPr>
          <w:rFonts w:ascii="Times New Roman" w:hAnsi="Times New Roman" w:cs="Times New Roman"/>
          <w:sz w:val="24"/>
          <w:szCs w:val="24"/>
          <w:lang w:val="en-GB" w:bidi="bn-BD"/>
        </w:rPr>
        <w:t xml:space="preserve">Muttakin et al., </w:t>
      </w:r>
      <w:r w:rsidR="001D5967" w:rsidRPr="00AE77D4">
        <w:rPr>
          <w:rFonts w:ascii="Times New Roman" w:hAnsi="Times New Roman" w:cs="Times New Roman"/>
          <w:sz w:val="24"/>
          <w:szCs w:val="24"/>
          <w:lang w:val="en-GB" w:bidi="bn-BD"/>
        </w:rPr>
        <w:t>2015)</w:t>
      </w:r>
      <w:r w:rsidR="009D7B04" w:rsidRPr="00AE77D4">
        <w:rPr>
          <w:rFonts w:ascii="Times New Roman" w:hAnsi="Times New Roman" w:cs="Times New Roman"/>
          <w:sz w:val="24"/>
          <w:szCs w:val="24"/>
          <w:lang w:val="en-GB" w:bidi="bn-BD"/>
        </w:rPr>
        <w:t xml:space="preserve"> and denoting</w:t>
      </w:r>
      <w:r w:rsidR="00AE3ED7" w:rsidRPr="00AE77D4">
        <w:rPr>
          <w:rFonts w:ascii="Times New Roman" w:hAnsi="Times New Roman" w:cs="Times New Roman"/>
          <w:sz w:val="24"/>
          <w:szCs w:val="24"/>
          <w:lang w:val="en-GB" w:bidi="bn-BD"/>
        </w:rPr>
        <w:t xml:space="preserve"> </w:t>
      </w:r>
      <w:r w:rsidR="00AE3ED7" w:rsidRPr="00AE77D4">
        <w:rPr>
          <w:rFonts w:ascii="Times New Roman" w:hAnsi="Times New Roman" w:cs="Times New Roman"/>
          <w:sz w:val="24"/>
          <w:szCs w:val="24"/>
          <w:lang w:val="en-GB"/>
        </w:rPr>
        <w:t xml:space="preserve">CCD </w:t>
      </w:r>
      <w:r w:rsidR="00CF1145" w:rsidRPr="00AE77D4">
        <w:rPr>
          <w:rFonts w:ascii="Times New Roman" w:hAnsi="Times New Roman" w:cs="Times New Roman"/>
          <w:sz w:val="24"/>
          <w:szCs w:val="24"/>
          <w:lang w:val="en-GB"/>
        </w:rPr>
        <w:t xml:space="preserve">has </w:t>
      </w:r>
      <w:r w:rsidR="00E5409E" w:rsidRPr="00AE77D4">
        <w:rPr>
          <w:rFonts w:ascii="Times New Roman" w:hAnsi="Times New Roman" w:cs="Times New Roman"/>
          <w:sz w:val="24"/>
          <w:szCs w:val="24"/>
          <w:lang w:val="en-GB"/>
        </w:rPr>
        <w:t xml:space="preserve">minor </w:t>
      </w:r>
      <w:r w:rsidR="00CF1145" w:rsidRPr="00AE77D4">
        <w:rPr>
          <w:rFonts w:ascii="Times New Roman" w:hAnsi="Times New Roman" w:cs="Times New Roman"/>
          <w:sz w:val="24"/>
          <w:szCs w:val="24"/>
          <w:lang w:val="en-GB"/>
        </w:rPr>
        <w:t xml:space="preserve">increased </w:t>
      </w:r>
      <w:r w:rsidR="00AE3ED7" w:rsidRPr="00AE77D4">
        <w:rPr>
          <w:rFonts w:ascii="Times New Roman" w:hAnsi="Times New Roman" w:cs="Times New Roman"/>
          <w:sz w:val="24"/>
          <w:szCs w:val="24"/>
          <w:lang w:val="en-GB"/>
        </w:rPr>
        <w:t>over time</w:t>
      </w:r>
      <w:r w:rsidR="008E4BAF" w:rsidRPr="00AE77D4">
        <w:rPr>
          <w:rFonts w:ascii="Times New Roman" w:hAnsi="Times New Roman" w:cs="Times New Roman"/>
          <w:sz w:val="24"/>
          <w:szCs w:val="24"/>
          <w:lang w:val="en-GB"/>
        </w:rPr>
        <w:t>.</w:t>
      </w:r>
      <w:r w:rsidR="00242B43" w:rsidRPr="00AE77D4">
        <w:rPr>
          <w:rFonts w:ascii="Times New Roman" w:hAnsi="Times New Roman" w:cs="Times New Roman"/>
          <w:sz w:val="24"/>
          <w:szCs w:val="24"/>
          <w:lang w:val="en-GB"/>
        </w:rPr>
        <w:t xml:space="preserve"> </w:t>
      </w:r>
      <w:r w:rsidR="008444AA" w:rsidRPr="00AE77D4">
        <w:rPr>
          <w:rFonts w:ascii="Times New Roman" w:hAnsi="Times New Roman" w:cs="Times New Roman"/>
          <w:sz w:val="24"/>
          <w:szCs w:val="24"/>
          <w:lang w:val="en-GB"/>
        </w:rPr>
        <w:t>Moreover</w:t>
      </w:r>
      <w:r w:rsidR="00A66623"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 xml:space="preserve">in the </w:t>
      </w:r>
      <w:r w:rsidR="00B0311C" w:rsidRPr="00AE77D4">
        <w:rPr>
          <w:rFonts w:ascii="Times New Roman" w:hAnsi="Times New Roman" w:cs="Times New Roman"/>
          <w:sz w:val="24"/>
          <w:szCs w:val="24"/>
          <w:lang w:val="en-GB"/>
        </w:rPr>
        <w:t>pre-amended period</w:t>
      </w:r>
      <w:r w:rsidRPr="00AE77D4">
        <w:rPr>
          <w:rFonts w:ascii="Times New Roman" w:eastAsia="Calibri" w:hAnsi="Times New Roman" w:cs="Times New Roman"/>
          <w:sz w:val="24"/>
          <w:szCs w:val="24"/>
          <w:lang w:val="en-GB"/>
        </w:rPr>
        <w:t xml:space="preserve">, </w:t>
      </w:r>
      <w:r w:rsidR="008444AA" w:rsidRPr="00AE77D4">
        <w:rPr>
          <w:rFonts w:ascii="Times New Roman" w:hAnsi="Times New Roman" w:cs="Times New Roman"/>
          <w:sz w:val="24"/>
          <w:szCs w:val="24"/>
          <w:lang w:val="en-GB"/>
        </w:rPr>
        <w:t xml:space="preserve">the </w:t>
      </w:r>
      <w:r w:rsidR="00D27F42" w:rsidRPr="00AE77D4">
        <w:rPr>
          <w:rFonts w:ascii="Times New Roman" w:hAnsi="Times New Roman" w:cs="Times New Roman"/>
          <w:sz w:val="24"/>
          <w:szCs w:val="24"/>
          <w:lang w:val="en-GB"/>
        </w:rPr>
        <w:t>average board size is 7.71</w:t>
      </w:r>
      <w:r w:rsidR="008444AA" w:rsidRPr="00AE77D4">
        <w:rPr>
          <w:rFonts w:ascii="Times New Roman" w:hAnsi="Times New Roman" w:cs="Times New Roman"/>
          <w:sz w:val="24"/>
          <w:szCs w:val="24"/>
          <w:lang w:val="en-GB"/>
        </w:rPr>
        <w:t>,</w:t>
      </w:r>
      <w:r w:rsidR="00D27F42" w:rsidRPr="00AE77D4">
        <w:rPr>
          <w:rFonts w:ascii="Times New Roman" w:hAnsi="Times New Roman" w:cs="Times New Roman"/>
          <w:sz w:val="24"/>
          <w:szCs w:val="24"/>
          <w:lang w:val="en-GB"/>
        </w:rPr>
        <w:t xml:space="preserve"> </w:t>
      </w:r>
      <w:r w:rsidR="002E736B" w:rsidRPr="00AE77D4">
        <w:rPr>
          <w:rFonts w:ascii="Times New Roman" w:hAnsi="Times New Roman" w:cs="Times New Roman"/>
          <w:sz w:val="24"/>
          <w:szCs w:val="24"/>
          <w:lang w:val="en-GB"/>
        </w:rPr>
        <w:t xml:space="preserve">ranging from </w:t>
      </w:r>
      <w:r w:rsidRPr="00AE77D4">
        <w:rPr>
          <w:rFonts w:ascii="Times New Roman" w:eastAsia="Calibri" w:hAnsi="Times New Roman" w:cs="Times New Roman"/>
          <w:sz w:val="24"/>
          <w:szCs w:val="24"/>
          <w:lang w:val="en-GB"/>
        </w:rPr>
        <w:t>a minimum of 5 to 20</w:t>
      </w:r>
      <w:r w:rsidR="00D27F42" w:rsidRPr="00AE77D4">
        <w:rPr>
          <w:rFonts w:ascii="Times New Roman" w:hAnsi="Times New Roman" w:cs="Times New Roman"/>
          <w:sz w:val="24"/>
          <w:szCs w:val="24"/>
          <w:lang w:val="en-GB"/>
        </w:rPr>
        <w:t xml:space="preserve">, </w:t>
      </w:r>
      <w:r w:rsidR="00127948" w:rsidRPr="00AE77D4">
        <w:rPr>
          <w:rFonts w:ascii="Times New Roman" w:hAnsi="Times New Roman" w:cs="Times New Roman"/>
          <w:sz w:val="24"/>
          <w:szCs w:val="24"/>
          <w:lang w:val="en-GB"/>
        </w:rPr>
        <w:t>indicating</w:t>
      </w:r>
      <w:r w:rsidR="00D27F42" w:rsidRPr="00AE77D4">
        <w:rPr>
          <w:rFonts w:ascii="Times New Roman" w:hAnsi="Times New Roman" w:cs="Times New Roman"/>
          <w:sz w:val="24"/>
          <w:szCs w:val="24"/>
          <w:lang w:val="en-GB"/>
        </w:rPr>
        <w:t xml:space="preserve"> that </w:t>
      </w:r>
      <w:r w:rsidR="008444AA" w:rsidRPr="00AE77D4">
        <w:rPr>
          <w:rFonts w:ascii="Times New Roman" w:hAnsi="Times New Roman" w:cs="Times New Roman"/>
          <w:sz w:val="24"/>
          <w:szCs w:val="24"/>
          <w:lang w:val="en-GB"/>
        </w:rPr>
        <w:t xml:space="preserve">the </w:t>
      </w:r>
      <w:r w:rsidR="00D27F42" w:rsidRPr="00AE77D4">
        <w:rPr>
          <w:rFonts w:ascii="Times New Roman" w:hAnsi="Times New Roman" w:cs="Times New Roman"/>
          <w:sz w:val="24"/>
          <w:szCs w:val="24"/>
          <w:lang w:val="en-GB"/>
        </w:rPr>
        <w:t xml:space="preserve">board of directors </w:t>
      </w:r>
      <w:r w:rsidR="008444AA" w:rsidRPr="00AE77D4">
        <w:rPr>
          <w:rFonts w:ascii="Times New Roman" w:hAnsi="Times New Roman" w:cs="Times New Roman"/>
          <w:sz w:val="24"/>
          <w:szCs w:val="24"/>
          <w:lang w:val="en-GB"/>
        </w:rPr>
        <w:t>is mostly</w:t>
      </w:r>
      <w:r w:rsidR="00BA0BCC" w:rsidRPr="00AE77D4">
        <w:rPr>
          <w:rFonts w:ascii="Times New Roman" w:hAnsi="Times New Roman" w:cs="Times New Roman"/>
          <w:sz w:val="24"/>
          <w:szCs w:val="24"/>
          <w:lang w:val="en-GB"/>
        </w:rPr>
        <w:t xml:space="preserve"> </w:t>
      </w:r>
      <w:r w:rsidR="00D27F42" w:rsidRPr="00AE77D4">
        <w:rPr>
          <w:rFonts w:ascii="Times New Roman" w:hAnsi="Times New Roman" w:cs="Times New Roman"/>
          <w:sz w:val="24"/>
          <w:szCs w:val="24"/>
          <w:lang w:val="en-GB"/>
        </w:rPr>
        <w:t>in line with CG guideline</w:t>
      </w:r>
      <w:r w:rsidRPr="00AE77D4">
        <w:rPr>
          <w:rFonts w:ascii="Times New Roman" w:eastAsia="Calibri" w:hAnsi="Times New Roman" w:cs="Times New Roman"/>
          <w:sz w:val="24"/>
          <w:szCs w:val="24"/>
          <w:lang w:val="en-GB"/>
        </w:rPr>
        <w:t>s (</w:t>
      </w:r>
      <w:r w:rsidR="00E0118E" w:rsidRPr="00AE77D4">
        <w:rPr>
          <w:rFonts w:ascii="Times New Roman" w:hAnsi="Times New Roman" w:cs="Times New Roman"/>
          <w:sz w:val="24"/>
          <w:szCs w:val="24"/>
          <w:lang w:val="en-GB"/>
        </w:rPr>
        <w:t>Securities and Exchange Commission</w:t>
      </w:r>
      <w:r w:rsidR="00D27F42" w:rsidRPr="00AE77D4">
        <w:rPr>
          <w:rFonts w:ascii="Times New Roman" w:hAnsi="Times New Roman" w:cs="Times New Roman"/>
          <w:sz w:val="24"/>
          <w:szCs w:val="24"/>
          <w:lang w:val="en-GB"/>
        </w:rPr>
        <w:t>, 2012</w:t>
      </w:r>
      <w:r w:rsidR="00AB6800" w:rsidRPr="00AE77D4">
        <w:rPr>
          <w:rFonts w:ascii="Times New Roman" w:hAnsi="Times New Roman" w:cs="Times New Roman"/>
          <w:sz w:val="24"/>
          <w:szCs w:val="24"/>
          <w:lang w:val="en-GB"/>
        </w:rPr>
        <w:t xml:space="preserve">; </w:t>
      </w:r>
      <w:r w:rsidR="00E0118E" w:rsidRPr="00AE77D4">
        <w:rPr>
          <w:rFonts w:ascii="Times New Roman" w:hAnsi="Times New Roman" w:cs="Times New Roman"/>
          <w:sz w:val="24"/>
          <w:szCs w:val="24"/>
          <w:lang w:val="en-GB"/>
        </w:rPr>
        <w:t>Bangladesh Securities and Exchange Commission</w:t>
      </w:r>
      <w:r w:rsidR="00AB6800" w:rsidRPr="00AE77D4">
        <w:rPr>
          <w:rFonts w:ascii="Times New Roman" w:hAnsi="Times New Roman" w:cs="Times New Roman"/>
          <w:sz w:val="24"/>
          <w:szCs w:val="24"/>
          <w:lang w:val="en-GB"/>
        </w:rPr>
        <w:t>, 2018</w:t>
      </w:r>
      <w:r w:rsidR="00D27F42" w:rsidRPr="00AE77D4">
        <w:rPr>
          <w:rFonts w:ascii="Times New Roman" w:hAnsi="Times New Roman" w:cs="Times New Roman"/>
          <w:sz w:val="24"/>
          <w:szCs w:val="24"/>
          <w:lang w:val="en-GB"/>
        </w:rPr>
        <w:t>)</w:t>
      </w:r>
      <w:r w:rsidRPr="00AE77D4">
        <w:rPr>
          <w:rFonts w:ascii="Times New Roman" w:eastAsia="Calibri" w:hAnsi="Times New Roman" w:cs="Times New Roman"/>
          <w:sz w:val="24"/>
          <w:szCs w:val="24"/>
          <w:lang w:val="en-GB"/>
        </w:rPr>
        <w:t>,</w:t>
      </w:r>
      <w:r w:rsidR="009256D9" w:rsidRPr="00AE77D4">
        <w:rPr>
          <w:rFonts w:ascii="Times New Roman" w:hAnsi="Times New Roman" w:cs="Times New Roman"/>
          <w:sz w:val="24"/>
          <w:szCs w:val="24"/>
          <w:lang w:val="en-GB"/>
        </w:rPr>
        <w:t xml:space="preserve"> while in the post-amended </w:t>
      </w:r>
      <w:r w:rsidRPr="00AE77D4">
        <w:rPr>
          <w:rFonts w:ascii="Times New Roman" w:eastAsia="Calibri" w:hAnsi="Times New Roman" w:cs="Times New Roman"/>
          <w:sz w:val="24"/>
          <w:szCs w:val="24"/>
          <w:lang w:val="en-GB"/>
        </w:rPr>
        <w:t>period, the average board size is 7.71, with a minimum of 4 to a maximum of 19,</w:t>
      </w:r>
      <w:r w:rsidR="00B42BA0" w:rsidRPr="00AE77D4">
        <w:rPr>
          <w:rFonts w:ascii="Times New Roman" w:hAnsi="Times New Roman" w:cs="Times New Roman"/>
          <w:sz w:val="24"/>
          <w:szCs w:val="24"/>
          <w:lang w:val="en-GB"/>
        </w:rPr>
        <w:t xml:space="preserve"> which is inconsistent with CG (</w:t>
      </w:r>
      <w:r w:rsidR="00E0118E" w:rsidRPr="00AE77D4">
        <w:rPr>
          <w:rFonts w:ascii="Times New Roman" w:hAnsi="Times New Roman" w:cs="Times New Roman"/>
          <w:sz w:val="24"/>
          <w:szCs w:val="24"/>
          <w:lang w:val="en-GB"/>
        </w:rPr>
        <w:t>Bangladesh Securities and Exchange Commission</w:t>
      </w:r>
      <w:r w:rsidR="00B42BA0" w:rsidRPr="00AE77D4">
        <w:rPr>
          <w:rFonts w:ascii="Times New Roman" w:hAnsi="Times New Roman" w:cs="Times New Roman"/>
          <w:sz w:val="24"/>
          <w:szCs w:val="24"/>
          <w:lang w:val="en-GB"/>
        </w:rPr>
        <w:t>, 2018)</w:t>
      </w:r>
      <w:r w:rsidR="0073553C" w:rsidRPr="00AE77D4">
        <w:rPr>
          <w:rFonts w:ascii="Times New Roman" w:hAnsi="Times New Roman" w:cs="Times New Roman"/>
          <w:sz w:val="24"/>
          <w:szCs w:val="24"/>
          <w:lang w:val="en-GB"/>
        </w:rPr>
        <w:t>.</w:t>
      </w:r>
      <w:r w:rsidR="005F0470" w:rsidRPr="00AE77D4">
        <w:rPr>
          <w:rFonts w:ascii="Times New Roman" w:hAnsi="Times New Roman" w:cs="Times New Roman"/>
          <w:sz w:val="24"/>
          <w:szCs w:val="24"/>
          <w:lang w:val="en-GB"/>
        </w:rPr>
        <w:t xml:space="preserve"> </w:t>
      </w:r>
      <w:r w:rsidR="000C3172" w:rsidRPr="00AE77D4">
        <w:rPr>
          <w:rFonts w:ascii="Times New Roman" w:hAnsi="Times New Roman" w:cs="Times New Roman"/>
          <w:sz w:val="24"/>
          <w:szCs w:val="24"/>
          <w:lang w:val="en-GB"/>
        </w:rPr>
        <w:t>Additionally, companies nominate independent directors at a rate ranging from 0% to 50%, with an average of 25% during the pre-amended period and a greater rate during the post-amended period</w:t>
      </w:r>
      <w:r w:rsidR="00AB112B" w:rsidRPr="00AE77D4">
        <w:rPr>
          <w:rFonts w:ascii="Times New Roman" w:hAnsi="Times New Roman" w:cs="Times New Roman"/>
          <w:sz w:val="24"/>
          <w:szCs w:val="24"/>
          <w:lang w:val="en-GB"/>
        </w:rPr>
        <w:t xml:space="preserve">. This is </w:t>
      </w:r>
      <w:r w:rsidR="00127948" w:rsidRPr="00AE77D4">
        <w:rPr>
          <w:rFonts w:ascii="Times New Roman" w:hAnsi="Times New Roman" w:cs="Times New Roman"/>
          <w:sz w:val="24"/>
          <w:szCs w:val="24"/>
          <w:lang w:val="en-GB"/>
        </w:rPr>
        <w:t xml:space="preserve">also </w:t>
      </w:r>
      <w:r w:rsidR="00AB112B" w:rsidRPr="00AE77D4">
        <w:rPr>
          <w:rFonts w:ascii="Times New Roman" w:hAnsi="Times New Roman" w:cs="Times New Roman"/>
          <w:sz w:val="24"/>
          <w:szCs w:val="24"/>
          <w:lang w:val="en-GB"/>
        </w:rPr>
        <w:t xml:space="preserve">consistent with CG </w:t>
      </w:r>
      <w:r w:rsidR="004D2CA9" w:rsidRPr="00AE77D4">
        <w:rPr>
          <w:rFonts w:ascii="Times New Roman" w:hAnsi="Times New Roman" w:cs="Times New Roman"/>
          <w:sz w:val="24"/>
          <w:szCs w:val="24"/>
          <w:lang w:val="en-GB"/>
        </w:rPr>
        <w:t>guidelines</w:t>
      </w:r>
      <w:r w:rsidRPr="00AE77D4">
        <w:rPr>
          <w:rFonts w:ascii="Times New Roman" w:eastAsia="Calibri" w:hAnsi="Times New Roman" w:cs="Times New Roman"/>
          <w:sz w:val="24"/>
          <w:szCs w:val="24"/>
          <w:lang w:val="en-GB"/>
        </w:rPr>
        <w:t xml:space="preserve">, </w:t>
      </w:r>
      <w:r w:rsidR="00AB112B" w:rsidRPr="00AE77D4">
        <w:rPr>
          <w:rFonts w:ascii="Times New Roman" w:hAnsi="Times New Roman" w:cs="Times New Roman"/>
          <w:sz w:val="24"/>
          <w:szCs w:val="24"/>
          <w:lang w:val="en-GB"/>
        </w:rPr>
        <w:t xml:space="preserve">where the minimum number of independent directors is </w:t>
      </w:r>
      <w:r w:rsidR="008444AA" w:rsidRPr="00AE77D4">
        <w:rPr>
          <w:rFonts w:ascii="Times New Roman" w:hAnsi="Times New Roman" w:cs="Times New Roman"/>
          <w:sz w:val="24"/>
          <w:szCs w:val="24"/>
          <w:lang w:val="en-GB"/>
        </w:rPr>
        <w:t>20%</w:t>
      </w:r>
      <w:r w:rsidR="00AB112B" w:rsidRPr="00AE77D4">
        <w:rPr>
          <w:rFonts w:ascii="Times New Roman" w:hAnsi="Times New Roman" w:cs="Times New Roman"/>
          <w:sz w:val="24"/>
          <w:szCs w:val="24"/>
          <w:lang w:val="en-GB"/>
        </w:rPr>
        <w:t xml:space="preserve"> of </w:t>
      </w:r>
      <w:r w:rsidRPr="00AE77D4">
        <w:rPr>
          <w:rFonts w:ascii="Times New Roman" w:eastAsia="Calibri" w:hAnsi="Times New Roman" w:cs="Times New Roman"/>
          <w:sz w:val="24"/>
          <w:szCs w:val="24"/>
          <w:lang w:val="en-GB"/>
        </w:rPr>
        <w:t xml:space="preserve">the total </w:t>
      </w:r>
      <w:r w:rsidR="008444AA" w:rsidRPr="00AE77D4">
        <w:rPr>
          <w:rFonts w:ascii="Times New Roman" w:hAnsi="Times New Roman" w:cs="Times New Roman"/>
          <w:sz w:val="24"/>
          <w:szCs w:val="24"/>
          <w:lang w:val="en-GB"/>
        </w:rPr>
        <w:t>board members</w:t>
      </w:r>
      <w:r w:rsidR="00C72A35" w:rsidRPr="00AE77D4">
        <w:rPr>
          <w:rFonts w:ascii="Times New Roman" w:hAnsi="Times New Roman" w:cs="Times New Roman"/>
          <w:sz w:val="24"/>
          <w:szCs w:val="24"/>
          <w:lang w:val="en-GB"/>
        </w:rPr>
        <w:t xml:space="preserve"> (</w:t>
      </w:r>
      <w:r w:rsidR="00E0118E" w:rsidRPr="00AE77D4">
        <w:rPr>
          <w:rFonts w:ascii="Times New Roman" w:hAnsi="Times New Roman" w:cs="Times New Roman"/>
          <w:sz w:val="24"/>
          <w:szCs w:val="24"/>
          <w:lang w:val="en-GB"/>
        </w:rPr>
        <w:t>Bangladesh Securities and Exchange Commission</w:t>
      </w:r>
      <w:r w:rsidR="00C72A35" w:rsidRPr="00AE77D4">
        <w:rPr>
          <w:rFonts w:ascii="Times New Roman" w:hAnsi="Times New Roman" w:cs="Times New Roman"/>
          <w:sz w:val="24"/>
          <w:szCs w:val="24"/>
          <w:lang w:val="en-GB"/>
        </w:rPr>
        <w:t>, 2018</w:t>
      </w:r>
      <w:r w:rsidR="00AB112B" w:rsidRPr="00AE77D4">
        <w:rPr>
          <w:rFonts w:ascii="Times New Roman" w:hAnsi="Times New Roman" w:cs="Times New Roman"/>
          <w:sz w:val="24"/>
          <w:szCs w:val="24"/>
          <w:lang w:val="en-GB"/>
        </w:rPr>
        <w:t>).</w:t>
      </w:r>
      <w:r w:rsidR="00664375" w:rsidRPr="00AE77D4">
        <w:rPr>
          <w:rFonts w:ascii="Times New Roman" w:hAnsi="Times New Roman" w:cs="Times New Roman"/>
          <w:sz w:val="24"/>
          <w:szCs w:val="24"/>
          <w:lang w:val="en-GB"/>
        </w:rPr>
        <w:t xml:space="preserve"> </w:t>
      </w:r>
      <w:r w:rsidR="00FE7F83" w:rsidRPr="00AE77D4">
        <w:rPr>
          <w:rFonts w:ascii="Times New Roman" w:hAnsi="Times New Roman" w:cs="Times New Roman"/>
          <w:sz w:val="24"/>
          <w:szCs w:val="24"/>
          <w:lang w:val="en-GB"/>
        </w:rPr>
        <w:t xml:space="preserve">In </w:t>
      </w:r>
      <w:r w:rsidR="00462C35" w:rsidRPr="00AE77D4">
        <w:rPr>
          <w:rFonts w:ascii="Times New Roman" w:hAnsi="Times New Roman" w:cs="Times New Roman"/>
          <w:sz w:val="24"/>
          <w:szCs w:val="24"/>
          <w:lang w:val="en-GB"/>
        </w:rPr>
        <w:t>addition,</w:t>
      </w:r>
      <w:r w:rsidR="00FE7F83" w:rsidRPr="00AE77D4">
        <w:rPr>
          <w:rFonts w:ascii="Times New Roman" w:hAnsi="Times New Roman" w:cs="Times New Roman"/>
          <w:sz w:val="24"/>
          <w:szCs w:val="24"/>
          <w:lang w:val="en-GB"/>
        </w:rPr>
        <w:t xml:space="preserve"> </w:t>
      </w:r>
      <w:r w:rsidR="00D1612E" w:rsidRPr="00AE77D4">
        <w:rPr>
          <w:rFonts w:ascii="Times New Roman" w:hAnsi="Times New Roman" w:cs="Times New Roman"/>
          <w:sz w:val="24"/>
          <w:szCs w:val="24"/>
          <w:lang w:val="en-GB"/>
        </w:rPr>
        <w:t xml:space="preserve">during </w:t>
      </w:r>
      <w:r w:rsidRPr="00AE77D4">
        <w:rPr>
          <w:rFonts w:ascii="Times New Roman" w:eastAsia="Calibri" w:hAnsi="Times New Roman" w:cs="Times New Roman"/>
          <w:sz w:val="24"/>
          <w:szCs w:val="24"/>
          <w:lang w:val="en-GB"/>
        </w:rPr>
        <w:t xml:space="preserve">the pre-amended period and post-amended period, </w:t>
      </w:r>
      <w:r w:rsidR="00664375" w:rsidRPr="00AE77D4">
        <w:rPr>
          <w:rFonts w:ascii="Times New Roman" w:hAnsi="Times New Roman" w:cs="Times New Roman"/>
          <w:sz w:val="24"/>
          <w:szCs w:val="24"/>
          <w:lang w:val="en-GB"/>
        </w:rPr>
        <w:t xml:space="preserve">firms </w:t>
      </w:r>
      <w:r w:rsidR="00D9286A" w:rsidRPr="00AE77D4">
        <w:rPr>
          <w:rFonts w:ascii="Times New Roman" w:hAnsi="Times New Roman" w:cs="Times New Roman"/>
          <w:sz w:val="24"/>
          <w:szCs w:val="24"/>
          <w:lang w:val="en-GB"/>
        </w:rPr>
        <w:t>constitute audit committee</w:t>
      </w:r>
      <w:r w:rsidR="008444AA" w:rsidRPr="00AE77D4">
        <w:rPr>
          <w:rFonts w:ascii="Times New Roman" w:hAnsi="Times New Roman" w:cs="Times New Roman"/>
          <w:sz w:val="24"/>
          <w:szCs w:val="24"/>
          <w:lang w:val="en-GB"/>
        </w:rPr>
        <w:t>s</w:t>
      </w:r>
      <w:r w:rsidR="00D9286A" w:rsidRPr="00AE77D4">
        <w:rPr>
          <w:rFonts w:ascii="Times New Roman" w:hAnsi="Times New Roman" w:cs="Times New Roman"/>
          <w:sz w:val="24"/>
          <w:szCs w:val="24"/>
          <w:lang w:val="en-GB"/>
        </w:rPr>
        <w:t xml:space="preserve"> with an average </w:t>
      </w:r>
      <w:r w:rsidR="008444AA" w:rsidRPr="00AE77D4">
        <w:rPr>
          <w:rFonts w:ascii="Times New Roman" w:hAnsi="Times New Roman" w:cs="Times New Roman"/>
          <w:sz w:val="24"/>
          <w:szCs w:val="24"/>
          <w:lang w:val="en-GB"/>
        </w:rPr>
        <w:t>size of</w:t>
      </w:r>
      <w:r w:rsidR="00557BEB" w:rsidRPr="00AE77D4">
        <w:rPr>
          <w:rFonts w:ascii="Times New Roman" w:hAnsi="Times New Roman" w:cs="Times New Roman"/>
          <w:sz w:val="24"/>
          <w:szCs w:val="24"/>
          <w:lang w:val="en-GB"/>
        </w:rPr>
        <w:t xml:space="preserve"> </w:t>
      </w:r>
      <w:r w:rsidR="00D9286A" w:rsidRPr="00AE77D4">
        <w:rPr>
          <w:rFonts w:ascii="Times New Roman" w:hAnsi="Times New Roman" w:cs="Times New Roman"/>
          <w:sz w:val="24"/>
          <w:szCs w:val="24"/>
          <w:lang w:val="en-GB"/>
        </w:rPr>
        <w:t>3.</w:t>
      </w:r>
      <w:r w:rsidR="00FB15EC" w:rsidRPr="00AE77D4">
        <w:rPr>
          <w:rFonts w:ascii="Times New Roman" w:hAnsi="Times New Roman" w:cs="Times New Roman"/>
          <w:sz w:val="24"/>
          <w:szCs w:val="24"/>
          <w:lang w:val="en-GB"/>
        </w:rPr>
        <w:t>8</w:t>
      </w:r>
      <w:r w:rsidR="00D1612E" w:rsidRPr="00AE77D4">
        <w:rPr>
          <w:rFonts w:ascii="Times New Roman" w:hAnsi="Times New Roman" w:cs="Times New Roman"/>
          <w:sz w:val="24"/>
          <w:szCs w:val="24"/>
          <w:lang w:val="en-GB"/>
        </w:rPr>
        <w:t>1</w:t>
      </w:r>
      <w:r w:rsidR="00BB2086" w:rsidRPr="00AE77D4">
        <w:rPr>
          <w:rFonts w:ascii="Times New Roman" w:hAnsi="Times New Roman" w:cs="Times New Roman"/>
          <w:sz w:val="24"/>
          <w:szCs w:val="24"/>
          <w:lang w:val="en-GB"/>
        </w:rPr>
        <w:t xml:space="preserve"> and 3.78</w:t>
      </w:r>
      <w:r w:rsidRPr="00AE77D4">
        <w:rPr>
          <w:rFonts w:ascii="Times New Roman" w:eastAsia="Calibri" w:hAnsi="Times New Roman" w:cs="Times New Roman"/>
          <w:sz w:val="24"/>
          <w:szCs w:val="24"/>
          <w:lang w:val="en-GB"/>
        </w:rPr>
        <w:t>, respectively</w:t>
      </w:r>
      <w:r w:rsidR="008444AA" w:rsidRPr="00AE77D4">
        <w:rPr>
          <w:rFonts w:ascii="Times New Roman" w:hAnsi="Times New Roman" w:cs="Times New Roman"/>
          <w:sz w:val="24"/>
          <w:szCs w:val="24"/>
          <w:lang w:val="en-GB"/>
        </w:rPr>
        <w:t>,</w:t>
      </w:r>
      <w:r w:rsidR="009C47A4" w:rsidRPr="00AE77D4">
        <w:rPr>
          <w:rFonts w:ascii="Times New Roman" w:hAnsi="Times New Roman" w:cs="Times New Roman"/>
          <w:sz w:val="24"/>
          <w:szCs w:val="24"/>
          <w:lang w:val="en-GB" w:bidi="bn-BD"/>
        </w:rPr>
        <w:t xml:space="preserve"> comparable with the average of 3.24 in </w:t>
      </w:r>
      <w:r w:rsidR="008444AA" w:rsidRPr="00AE77D4">
        <w:rPr>
          <w:rFonts w:ascii="Times New Roman" w:hAnsi="Times New Roman" w:cs="Times New Roman"/>
          <w:sz w:val="24"/>
          <w:szCs w:val="24"/>
          <w:lang w:val="en-GB" w:bidi="bn-BD"/>
        </w:rPr>
        <w:t xml:space="preserve">the existing international literature (Katmon et al., </w:t>
      </w:r>
      <w:r w:rsidR="00C72A35" w:rsidRPr="00AE77D4">
        <w:rPr>
          <w:rFonts w:ascii="Times New Roman" w:hAnsi="Times New Roman" w:cs="Times New Roman"/>
          <w:sz w:val="24"/>
          <w:szCs w:val="24"/>
          <w:lang w:val="en-GB" w:bidi="bn-BD"/>
        </w:rPr>
        <w:t>2019), which</w:t>
      </w:r>
      <w:r w:rsidR="008444AA" w:rsidRPr="00AE77D4">
        <w:rPr>
          <w:rFonts w:ascii="Times New Roman" w:eastAsia="Times New Roman" w:hAnsi="Times New Roman" w:cs="Times New Roman"/>
          <w:sz w:val="24"/>
          <w:szCs w:val="24"/>
          <w:lang w:val="en-GB"/>
        </w:rPr>
        <w:t xml:space="preserve"> </w:t>
      </w:r>
      <w:r w:rsidR="00D02D90" w:rsidRPr="00AE77D4">
        <w:rPr>
          <w:rFonts w:ascii="Times New Roman" w:eastAsia="Times New Roman" w:hAnsi="Times New Roman" w:cs="Times New Roman"/>
          <w:sz w:val="24"/>
          <w:szCs w:val="24"/>
          <w:lang w:val="en-GB"/>
        </w:rPr>
        <w:t xml:space="preserve">mostly </w:t>
      </w:r>
      <w:r w:rsidR="008444AA" w:rsidRPr="00AE77D4">
        <w:rPr>
          <w:rFonts w:ascii="Times New Roman" w:eastAsia="Times New Roman" w:hAnsi="Times New Roman" w:cs="Times New Roman"/>
          <w:sz w:val="24"/>
          <w:szCs w:val="24"/>
          <w:lang w:val="en-GB"/>
        </w:rPr>
        <w:t>fulfil</w:t>
      </w:r>
      <w:r w:rsidR="00D02D90" w:rsidRPr="00AE77D4">
        <w:rPr>
          <w:rFonts w:ascii="Times New Roman" w:hAnsi="Times New Roman" w:cs="Times New Roman"/>
          <w:sz w:val="24"/>
          <w:szCs w:val="24"/>
          <w:lang w:val="en-GB"/>
        </w:rPr>
        <w:t xml:space="preserve"> the Bangladesh CG guidelines of </w:t>
      </w:r>
      <w:r w:rsidR="00664375" w:rsidRPr="00AE77D4">
        <w:rPr>
          <w:rFonts w:ascii="Times New Roman" w:hAnsi="Times New Roman" w:cs="Times New Roman"/>
          <w:sz w:val="24"/>
          <w:szCs w:val="24"/>
          <w:lang w:val="en-GB" w:bidi="bn-BD"/>
        </w:rPr>
        <w:t xml:space="preserve">at least three members </w:t>
      </w:r>
      <w:r w:rsidR="00B40B27" w:rsidRPr="00AE77D4">
        <w:rPr>
          <w:rFonts w:ascii="Times New Roman" w:hAnsi="Times New Roman" w:cs="Times New Roman"/>
          <w:sz w:val="24"/>
          <w:szCs w:val="24"/>
          <w:lang w:val="en-GB"/>
        </w:rPr>
        <w:t>(</w:t>
      </w:r>
      <w:r w:rsidR="00E0118E" w:rsidRPr="00AE77D4">
        <w:rPr>
          <w:rFonts w:ascii="Times New Roman" w:hAnsi="Times New Roman" w:cs="Times New Roman"/>
          <w:sz w:val="24"/>
          <w:szCs w:val="24"/>
          <w:lang w:val="en-GB"/>
        </w:rPr>
        <w:t>Bangladesh Securities and Exchange Commission</w:t>
      </w:r>
      <w:r w:rsidR="00B40B27" w:rsidRPr="00AE77D4">
        <w:rPr>
          <w:rFonts w:ascii="Times New Roman" w:hAnsi="Times New Roman" w:cs="Times New Roman"/>
          <w:sz w:val="24"/>
          <w:szCs w:val="24"/>
          <w:lang w:val="en-GB"/>
        </w:rPr>
        <w:t>, 2018</w:t>
      </w:r>
      <w:r w:rsidR="00664375" w:rsidRPr="00AE77D4">
        <w:rPr>
          <w:rFonts w:ascii="Times New Roman" w:hAnsi="Times New Roman" w:cs="Times New Roman"/>
          <w:sz w:val="24"/>
          <w:szCs w:val="24"/>
          <w:lang w:val="en-GB"/>
        </w:rPr>
        <w:t>).</w:t>
      </w:r>
      <w:r w:rsidR="008444AA" w:rsidRPr="00AE77D4">
        <w:rPr>
          <w:rFonts w:ascii="Times New Roman" w:hAnsi="Times New Roman" w:cs="Times New Roman"/>
          <w:sz w:val="24"/>
          <w:szCs w:val="24"/>
          <w:lang w:val="en-GB"/>
        </w:rPr>
        <w:t xml:space="preserve"> </w:t>
      </w:r>
      <w:r w:rsidR="005A6C0B" w:rsidRPr="00AE77D4">
        <w:rPr>
          <w:rFonts w:ascii="Times New Roman" w:hAnsi="Times New Roman" w:cs="Times New Roman"/>
          <w:sz w:val="24"/>
          <w:szCs w:val="24"/>
          <w:lang w:val="en-GB"/>
        </w:rPr>
        <w:t>Even though</w:t>
      </w:r>
      <w:r w:rsidR="0085573C" w:rsidRPr="00AE77D4">
        <w:rPr>
          <w:rFonts w:ascii="Times New Roman" w:hAnsi="Times New Roman" w:cs="Times New Roman"/>
          <w:sz w:val="24"/>
          <w:szCs w:val="24"/>
          <w:lang w:val="en-GB"/>
        </w:rPr>
        <w:t xml:space="preserve"> CG rules do not specify minimum standards for the number or proportion of female directors, pre-amended </w:t>
      </w:r>
      <w:r w:rsidR="00811656" w:rsidRPr="00AE77D4">
        <w:rPr>
          <w:rFonts w:ascii="Times New Roman" w:hAnsi="Times New Roman" w:cs="Times New Roman"/>
          <w:sz w:val="24"/>
          <w:szCs w:val="24"/>
          <w:lang w:val="en-GB"/>
        </w:rPr>
        <w:t>period</w:t>
      </w:r>
      <w:r w:rsidR="0085573C" w:rsidRPr="00AE77D4">
        <w:rPr>
          <w:rFonts w:ascii="Times New Roman" w:hAnsi="Times New Roman" w:cs="Times New Roman"/>
          <w:sz w:val="24"/>
          <w:szCs w:val="24"/>
          <w:lang w:val="en-GB"/>
        </w:rPr>
        <w:t xml:space="preserve"> and post-amended period enterprises, respectively, had an average of 15.52% and 15.62 female directors, respectively</w:t>
      </w:r>
      <w:r w:rsidR="00D02D90" w:rsidRPr="00AE77D4">
        <w:rPr>
          <w:rFonts w:ascii="Times New Roman" w:hAnsi="Times New Roman" w:cs="Times New Roman"/>
          <w:sz w:val="24"/>
          <w:szCs w:val="24"/>
          <w:lang w:val="en-GB" w:bidi="bn-BD"/>
        </w:rPr>
        <w:t>,</w:t>
      </w:r>
      <w:r w:rsidR="00766375" w:rsidRPr="00AE77D4">
        <w:rPr>
          <w:rFonts w:ascii="Times New Roman" w:hAnsi="Times New Roman" w:cs="Times New Roman"/>
          <w:sz w:val="24"/>
          <w:szCs w:val="24"/>
          <w:lang w:val="en-GB" w:bidi="bn-BD"/>
        </w:rPr>
        <w:t xml:space="preserve"> which is higher than </w:t>
      </w:r>
      <w:r w:rsidR="00D02D90" w:rsidRPr="00AE77D4">
        <w:rPr>
          <w:rFonts w:ascii="Times New Roman" w:hAnsi="Times New Roman" w:cs="Times New Roman"/>
          <w:sz w:val="24"/>
          <w:szCs w:val="24"/>
          <w:lang w:val="en-GB" w:bidi="bn-BD"/>
        </w:rPr>
        <w:t>the existing international literature of</w:t>
      </w:r>
      <w:r w:rsidR="00C00422" w:rsidRPr="00AE77D4">
        <w:rPr>
          <w:rFonts w:ascii="Times New Roman" w:hAnsi="Times New Roman" w:cs="Times New Roman"/>
          <w:sz w:val="24"/>
          <w:szCs w:val="24"/>
          <w:lang w:val="en-GB" w:bidi="bn-BD"/>
        </w:rPr>
        <w:t xml:space="preserve"> </w:t>
      </w:r>
      <w:r w:rsidR="00766375" w:rsidRPr="00AE77D4">
        <w:rPr>
          <w:rFonts w:ascii="Times New Roman" w:hAnsi="Times New Roman" w:cs="Times New Roman"/>
          <w:sz w:val="24"/>
          <w:szCs w:val="24"/>
          <w:lang w:val="en-GB" w:bidi="bn-BD"/>
        </w:rPr>
        <w:t>7</w:t>
      </w:r>
      <w:r w:rsidR="00C35B77" w:rsidRPr="00AE77D4">
        <w:rPr>
          <w:rFonts w:ascii="Times New Roman" w:hAnsi="Times New Roman" w:cs="Times New Roman"/>
          <w:sz w:val="24"/>
          <w:szCs w:val="24"/>
          <w:lang w:val="en-GB" w:bidi="bn-BD"/>
        </w:rPr>
        <w:t>% (</w:t>
      </w:r>
      <w:r w:rsidR="008C19D1" w:rsidRPr="00AE77D4">
        <w:rPr>
          <w:rFonts w:ascii="Times New Roman" w:hAnsi="Times New Roman" w:cs="Times New Roman"/>
          <w:sz w:val="24"/>
          <w:szCs w:val="24"/>
          <w:lang w:val="en-GB"/>
        </w:rPr>
        <w:t>Terjesen et al., 2009</w:t>
      </w:r>
      <w:r w:rsidR="00D02D90" w:rsidRPr="00AE77D4">
        <w:rPr>
          <w:rFonts w:ascii="Times New Roman" w:hAnsi="Times New Roman" w:cs="Times New Roman"/>
          <w:sz w:val="24"/>
          <w:szCs w:val="24"/>
          <w:lang w:val="en-GB" w:bidi="bn-BD"/>
        </w:rPr>
        <w:t>)</w:t>
      </w:r>
      <w:r w:rsidR="00766375" w:rsidRPr="00AE77D4">
        <w:rPr>
          <w:rFonts w:ascii="Times New Roman" w:hAnsi="Times New Roman" w:cs="Times New Roman"/>
          <w:sz w:val="24"/>
          <w:szCs w:val="24"/>
          <w:lang w:val="en-GB" w:bidi="bn-BD"/>
        </w:rPr>
        <w:t>.</w:t>
      </w:r>
      <w:r w:rsidR="00E20A16" w:rsidRPr="00AE77D4">
        <w:rPr>
          <w:rFonts w:ascii="Times New Roman" w:hAnsi="Times New Roman" w:cs="Times New Roman"/>
          <w:sz w:val="24"/>
          <w:szCs w:val="24"/>
          <w:lang w:val="en-GB" w:bidi="bn-BD"/>
        </w:rPr>
        <w:t xml:space="preserve"> </w:t>
      </w:r>
      <w:r w:rsidR="00830AA1" w:rsidRPr="00AE77D4">
        <w:rPr>
          <w:rFonts w:ascii="Times New Roman" w:hAnsi="Times New Roman" w:cs="Times New Roman"/>
          <w:sz w:val="24"/>
          <w:szCs w:val="24"/>
          <w:lang w:val="en-GB" w:bidi="bn-BD"/>
        </w:rPr>
        <w:t xml:space="preserve">Similarly, </w:t>
      </w:r>
      <w:r w:rsidR="005E71D3" w:rsidRPr="00AE77D4">
        <w:rPr>
          <w:rFonts w:ascii="Times New Roman" w:hAnsi="Times New Roman" w:cs="Times New Roman"/>
          <w:sz w:val="24"/>
          <w:szCs w:val="24"/>
          <w:lang w:val="en-GB" w:bidi="bn-BD"/>
        </w:rPr>
        <w:t xml:space="preserve">in </w:t>
      </w:r>
      <w:r w:rsidRPr="00AE77D4">
        <w:rPr>
          <w:rFonts w:ascii="Times New Roman" w:eastAsia="Calibri" w:hAnsi="Times New Roman" w:cs="Times New Roman"/>
          <w:sz w:val="24"/>
          <w:szCs w:val="24"/>
          <w:lang w:val="en-GB"/>
        </w:rPr>
        <w:t xml:space="preserve">the </w:t>
      </w:r>
      <w:r w:rsidR="005E71D3" w:rsidRPr="00AE77D4">
        <w:rPr>
          <w:rFonts w:ascii="Times New Roman" w:hAnsi="Times New Roman" w:cs="Times New Roman"/>
          <w:sz w:val="24"/>
          <w:szCs w:val="24"/>
          <w:lang w:val="en-GB"/>
        </w:rPr>
        <w:t>pre-amended period</w:t>
      </w:r>
      <w:r w:rsidRPr="00AE77D4">
        <w:rPr>
          <w:rFonts w:ascii="Times New Roman" w:eastAsia="Calibri" w:hAnsi="Times New Roman" w:cs="Times New Roman"/>
          <w:sz w:val="24"/>
          <w:szCs w:val="24"/>
          <w:lang w:val="en-GB"/>
        </w:rPr>
        <w:t>,</w:t>
      </w:r>
      <w:r w:rsidR="005E71D3" w:rsidRPr="00AE77D4">
        <w:rPr>
          <w:rFonts w:ascii="Times New Roman" w:hAnsi="Times New Roman" w:cs="Times New Roman"/>
          <w:sz w:val="24"/>
          <w:szCs w:val="24"/>
          <w:lang w:val="en-GB" w:bidi="bn-BD"/>
        </w:rPr>
        <w:t xml:space="preserve"> </w:t>
      </w:r>
      <w:r w:rsidR="00185662" w:rsidRPr="00AE77D4">
        <w:rPr>
          <w:rFonts w:ascii="Times New Roman" w:hAnsi="Times New Roman" w:cs="Times New Roman"/>
          <w:sz w:val="24"/>
          <w:szCs w:val="24"/>
          <w:lang w:val="en-GB"/>
        </w:rPr>
        <w:t xml:space="preserve">firms </w:t>
      </w:r>
      <w:r w:rsidR="005E71D3" w:rsidRPr="00AE77D4">
        <w:rPr>
          <w:rFonts w:ascii="Times New Roman" w:hAnsi="Times New Roman" w:cs="Times New Roman"/>
          <w:sz w:val="24"/>
          <w:szCs w:val="24"/>
          <w:lang w:val="en-GB"/>
        </w:rPr>
        <w:t>cover</w:t>
      </w:r>
      <w:r w:rsidR="00185662"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 xml:space="preserve">an </w:t>
      </w:r>
      <w:r w:rsidR="005723C7" w:rsidRPr="00AE77D4">
        <w:rPr>
          <w:rFonts w:ascii="Times New Roman" w:hAnsi="Times New Roman" w:cs="Times New Roman"/>
          <w:sz w:val="24"/>
          <w:szCs w:val="24"/>
          <w:lang w:val="en-GB" w:bidi="bn-BD"/>
        </w:rPr>
        <w:t xml:space="preserve">average </w:t>
      </w:r>
      <w:r w:rsidRPr="00AE77D4">
        <w:rPr>
          <w:rFonts w:ascii="Times New Roman" w:eastAsia="Calibri" w:hAnsi="Times New Roman" w:cs="Times New Roman"/>
          <w:sz w:val="24"/>
          <w:szCs w:val="24"/>
          <w:lang w:val="en-GB"/>
        </w:rPr>
        <w:t xml:space="preserve">of </w:t>
      </w:r>
      <w:r w:rsidR="00306B81" w:rsidRPr="00AE77D4">
        <w:rPr>
          <w:rFonts w:ascii="Times New Roman" w:hAnsi="Times New Roman" w:cs="Times New Roman"/>
          <w:sz w:val="24"/>
          <w:szCs w:val="24"/>
          <w:lang w:val="en-GB" w:bidi="bn-BD"/>
        </w:rPr>
        <w:t>6.1</w:t>
      </w:r>
      <w:r w:rsidR="00255ABA" w:rsidRPr="00AE77D4">
        <w:rPr>
          <w:rFonts w:ascii="Times New Roman" w:hAnsi="Times New Roman" w:cs="Times New Roman"/>
          <w:sz w:val="24"/>
          <w:szCs w:val="24"/>
          <w:lang w:val="en-GB" w:bidi="bn-BD"/>
        </w:rPr>
        <w:t>0</w:t>
      </w:r>
      <w:r w:rsidR="00B73FEF" w:rsidRPr="00AE77D4">
        <w:rPr>
          <w:rFonts w:ascii="Times New Roman" w:hAnsi="Times New Roman" w:cs="Times New Roman"/>
          <w:sz w:val="24"/>
          <w:szCs w:val="24"/>
          <w:lang w:val="en-GB" w:bidi="bn-BD"/>
        </w:rPr>
        <w:t>%</w:t>
      </w:r>
      <w:r w:rsidR="005E71D3" w:rsidRPr="00AE77D4">
        <w:rPr>
          <w:rFonts w:ascii="Times New Roman" w:hAnsi="Times New Roman" w:cs="Times New Roman"/>
          <w:sz w:val="24"/>
          <w:szCs w:val="24"/>
          <w:lang w:val="en-GB" w:bidi="bn-BD"/>
        </w:rPr>
        <w:t xml:space="preserve"> f</w:t>
      </w:r>
      <w:r w:rsidR="005E71D3" w:rsidRPr="00AE77D4">
        <w:rPr>
          <w:rFonts w:ascii="Times New Roman" w:hAnsi="Times New Roman" w:cs="Times New Roman"/>
          <w:sz w:val="24"/>
          <w:szCs w:val="24"/>
          <w:lang w:val="en-GB"/>
        </w:rPr>
        <w:t>oreign directors</w:t>
      </w:r>
      <w:r w:rsidR="006261ED" w:rsidRPr="00AE77D4">
        <w:rPr>
          <w:rFonts w:ascii="Times New Roman" w:hAnsi="Times New Roman" w:cs="Times New Roman"/>
          <w:sz w:val="24"/>
          <w:szCs w:val="24"/>
          <w:lang w:val="en-GB"/>
        </w:rPr>
        <w:t xml:space="preserve"> and 5.74% in </w:t>
      </w:r>
      <w:r w:rsidRPr="00AE77D4">
        <w:rPr>
          <w:rFonts w:ascii="Times New Roman" w:eastAsia="Calibri" w:hAnsi="Times New Roman" w:cs="Times New Roman"/>
          <w:sz w:val="24"/>
          <w:szCs w:val="24"/>
          <w:lang w:val="en-GB"/>
        </w:rPr>
        <w:t>the pre-amended period</w:t>
      </w:r>
      <w:r w:rsidR="00D02D90" w:rsidRPr="00AE77D4">
        <w:rPr>
          <w:rFonts w:ascii="Times New Roman" w:hAnsi="Times New Roman" w:cs="Times New Roman"/>
          <w:sz w:val="24"/>
          <w:szCs w:val="24"/>
          <w:lang w:val="en-GB" w:bidi="bn-BD"/>
        </w:rPr>
        <w:t>,</w:t>
      </w:r>
      <w:r w:rsidR="001F20B8" w:rsidRPr="00AE77D4">
        <w:rPr>
          <w:rFonts w:ascii="Times New Roman" w:hAnsi="Times New Roman" w:cs="Times New Roman"/>
          <w:sz w:val="24"/>
          <w:szCs w:val="24"/>
          <w:lang w:val="en-GB" w:bidi="bn-BD"/>
        </w:rPr>
        <w:t xml:space="preserve"> </w:t>
      </w:r>
      <w:r w:rsidR="00D02D90" w:rsidRPr="00AE77D4">
        <w:rPr>
          <w:rFonts w:ascii="Times New Roman" w:hAnsi="Times New Roman" w:cs="Times New Roman"/>
          <w:sz w:val="24"/>
          <w:szCs w:val="24"/>
          <w:lang w:val="en-GB" w:bidi="bn-BD"/>
        </w:rPr>
        <w:t xml:space="preserve">which is also higher than international evidence (Katmon et al., </w:t>
      </w:r>
      <w:r w:rsidR="001F20B8" w:rsidRPr="00AE77D4">
        <w:rPr>
          <w:rFonts w:ascii="Times New Roman" w:hAnsi="Times New Roman" w:cs="Times New Roman"/>
          <w:sz w:val="24"/>
          <w:szCs w:val="24"/>
          <w:lang w:val="en-GB" w:bidi="bn-BD"/>
        </w:rPr>
        <w:t>2019).</w:t>
      </w:r>
      <w:r w:rsidR="001D4B7E" w:rsidRPr="00AE77D4">
        <w:rPr>
          <w:rFonts w:ascii="Times New Roman" w:hAnsi="Times New Roman" w:cs="Times New Roman"/>
          <w:sz w:val="24"/>
          <w:szCs w:val="24"/>
          <w:lang w:val="en-GB" w:bidi="bn-BD"/>
        </w:rPr>
        <w:t xml:space="preserve"> </w:t>
      </w:r>
      <w:r w:rsidR="004E303B" w:rsidRPr="00AE77D4">
        <w:rPr>
          <w:rFonts w:ascii="Times New Roman" w:hAnsi="Times New Roman" w:cs="Times New Roman"/>
          <w:sz w:val="24"/>
          <w:szCs w:val="24"/>
          <w:lang w:val="en-GB"/>
        </w:rPr>
        <w:t xml:space="preserve">In addition, </w:t>
      </w:r>
      <w:r w:rsidR="00C16336" w:rsidRPr="00AE77D4">
        <w:rPr>
          <w:rFonts w:ascii="Times New Roman" w:hAnsi="Times New Roman" w:cs="Times New Roman"/>
          <w:sz w:val="24"/>
          <w:szCs w:val="24"/>
          <w:lang w:val="en-GB"/>
        </w:rPr>
        <w:t xml:space="preserve">in </w:t>
      </w:r>
      <w:r w:rsidRPr="00AE77D4">
        <w:rPr>
          <w:rFonts w:ascii="Times New Roman" w:eastAsia="Calibri" w:hAnsi="Times New Roman" w:cs="Times New Roman"/>
          <w:sz w:val="24"/>
          <w:szCs w:val="24"/>
          <w:lang w:val="en-GB"/>
        </w:rPr>
        <w:t>the pre-amended and post-amended periods,</w:t>
      </w:r>
      <w:r w:rsidR="00C16336" w:rsidRPr="00AE77D4">
        <w:rPr>
          <w:rFonts w:ascii="Times New Roman" w:hAnsi="Times New Roman" w:cs="Times New Roman"/>
          <w:sz w:val="24"/>
          <w:szCs w:val="24"/>
          <w:lang w:val="en-GB" w:bidi="bn-BD"/>
        </w:rPr>
        <w:t xml:space="preserve"> </w:t>
      </w:r>
      <w:r w:rsidR="00115D10" w:rsidRPr="00AE77D4">
        <w:rPr>
          <w:rFonts w:ascii="Times New Roman" w:hAnsi="Times New Roman" w:cs="Times New Roman"/>
          <w:sz w:val="24"/>
          <w:szCs w:val="24"/>
          <w:lang w:val="en-GB" w:bidi="bn-BD"/>
        </w:rPr>
        <w:t>firms follow the provision of board meeting</w:t>
      </w:r>
      <w:r w:rsidRPr="00AE77D4">
        <w:rPr>
          <w:rFonts w:ascii="Times New Roman" w:eastAsia="Calibri" w:hAnsi="Times New Roman" w:cs="Times New Roman"/>
          <w:sz w:val="24"/>
          <w:szCs w:val="24"/>
          <w:lang w:val="en-GB"/>
        </w:rPr>
        <w:t xml:space="preserve">s, where </w:t>
      </w:r>
      <w:r w:rsidR="00EA0394" w:rsidRPr="00AE77D4">
        <w:rPr>
          <w:rFonts w:ascii="Times New Roman" w:hAnsi="Times New Roman" w:cs="Times New Roman"/>
          <w:sz w:val="24"/>
          <w:szCs w:val="24"/>
          <w:lang w:val="en-GB" w:bidi="bn-BD"/>
        </w:rPr>
        <w:t>the</w:t>
      </w:r>
      <w:r w:rsidR="00115D10" w:rsidRPr="00AE77D4">
        <w:rPr>
          <w:rFonts w:ascii="Times New Roman" w:hAnsi="Times New Roman" w:cs="Times New Roman"/>
          <w:sz w:val="24"/>
          <w:szCs w:val="24"/>
          <w:lang w:val="en-GB" w:bidi="bn-BD"/>
        </w:rPr>
        <w:t xml:space="preserve"> </w:t>
      </w:r>
      <w:r w:rsidR="00EA0394" w:rsidRPr="00AE77D4">
        <w:rPr>
          <w:rFonts w:ascii="Times New Roman" w:hAnsi="Times New Roman" w:cs="Times New Roman"/>
          <w:sz w:val="24"/>
          <w:szCs w:val="24"/>
          <w:lang w:val="en-GB" w:bidi="bn-BD"/>
        </w:rPr>
        <w:t>average number of board meeting</w:t>
      </w:r>
      <w:r w:rsidRPr="00AE77D4">
        <w:rPr>
          <w:rFonts w:ascii="Times New Roman" w:eastAsia="Calibri" w:hAnsi="Times New Roman" w:cs="Times New Roman"/>
          <w:sz w:val="24"/>
          <w:szCs w:val="24"/>
          <w:lang w:val="en-GB"/>
        </w:rPr>
        <w:t xml:space="preserve">s is very close 8.73 </w:t>
      </w:r>
      <w:r w:rsidR="00EA0394" w:rsidRPr="00AE77D4">
        <w:rPr>
          <w:rFonts w:ascii="Times New Roman" w:hAnsi="Times New Roman" w:cs="Times New Roman"/>
          <w:sz w:val="24"/>
          <w:szCs w:val="24"/>
          <w:lang w:val="en-GB" w:bidi="bn-BD"/>
        </w:rPr>
        <w:t>to 8.71 respectively</w:t>
      </w:r>
      <w:r w:rsidR="004E303B" w:rsidRPr="00AE77D4">
        <w:rPr>
          <w:rFonts w:ascii="Times New Roman" w:hAnsi="Times New Roman" w:cs="Times New Roman"/>
          <w:sz w:val="24"/>
          <w:szCs w:val="24"/>
          <w:lang w:val="en-GB"/>
        </w:rPr>
        <w:t>.</w:t>
      </w:r>
      <w:r w:rsidR="00721789" w:rsidRPr="00AE77D4">
        <w:rPr>
          <w:rFonts w:ascii="Times New Roman" w:hAnsi="Times New Roman" w:cs="Times New Roman"/>
          <w:sz w:val="24"/>
          <w:szCs w:val="24"/>
          <w:lang w:val="en-GB"/>
        </w:rPr>
        <w:t xml:space="preserve"> </w:t>
      </w:r>
      <w:r w:rsidRPr="00AE77D4">
        <w:rPr>
          <w:rFonts w:ascii="Times New Roman" w:hAnsi="Times New Roman" w:cs="Times New Roman"/>
          <w:sz w:val="24"/>
          <w:szCs w:val="24"/>
          <w:lang w:val="en-GB" w:bidi="bn-BD"/>
        </w:rPr>
        <w:t>Additionally, the findings demonstrate that businesses adhere to the CG rule on duality, where the average value is 0.01 and recommends distinct people for the roles of managing director or chief executive officer and chairman of the board.</w:t>
      </w:r>
    </w:p>
    <w:p w14:paraId="00246997" w14:textId="15B62638" w:rsidR="00771174" w:rsidRPr="00AE77D4" w:rsidRDefault="00661A05" w:rsidP="00AE77D4">
      <w:pPr>
        <w:autoSpaceDE w:val="0"/>
        <w:autoSpaceDN w:val="0"/>
        <w:adjustRightInd w:val="0"/>
        <w:spacing w:after="0" w:line="276" w:lineRule="auto"/>
        <w:jc w:val="both"/>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rPr>
        <w:t xml:space="preserve">Panel B </w:t>
      </w:r>
      <w:r w:rsidR="00721789" w:rsidRPr="00AE77D4">
        <w:rPr>
          <w:rFonts w:ascii="Times New Roman" w:eastAsia="Times New Roman" w:hAnsi="Times New Roman" w:cs="Times New Roman"/>
          <w:sz w:val="24"/>
          <w:szCs w:val="24"/>
          <w:lang w:val="en-GB"/>
        </w:rPr>
        <w:t>of Table 3 describes</w:t>
      </w:r>
      <w:r w:rsidRPr="00AE77D4">
        <w:rPr>
          <w:rFonts w:ascii="Times New Roman" w:hAnsi="Times New Roman" w:cs="Times New Roman"/>
          <w:sz w:val="24"/>
          <w:szCs w:val="24"/>
          <w:lang w:val="en-GB"/>
        </w:rPr>
        <w:t xml:space="preserve"> </w:t>
      </w:r>
      <w:r w:rsidRPr="00AE77D4">
        <w:rPr>
          <w:rFonts w:ascii="Times New Roman" w:eastAsia="Calibri" w:hAnsi="Times New Roman" w:cs="Times New Roman"/>
          <w:noProof/>
          <w:sz w:val="24"/>
          <w:szCs w:val="24"/>
          <w:lang w:val="en-GB"/>
        </w:rPr>
        <w:t xml:space="preserve">the </w:t>
      </w:r>
      <w:r w:rsidRPr="00AE77D4">
        <w:rPr>
          <w:rFonts w:ascii="Times New Roman" w:hAnsi="Times New Roman" w:cs="Times New Roman"/>
          <w:noProof/>
          <w:sz w:val="24"/>
          <w:szCs w:val="24"/>
          <w:lang w:val="en-GB"/>
        </w:rPr>
        <w:t xml:space="preserve">CCD </w:t>
      </w:r>
      <w:r w:rsidRPr="00AE77D4">
        <w:rPr>
          <w:rFonts w:ascii="Times New Roman" w:eastAsia="Times New Roman" w:hAnsi="Times New Roman" w:cs="Times New Roman"/>
          <w:sz w:val="24"/>
          <w:szCs w:val="24"/>
          <w:lang w:val="en-GB"/>
        </w:rPr>
        <w:t xml:space="preserve">of different industries where the highest </w:t>
      </w:r>
      <w:r w:rsidRPr="00AE77D4">
        <w:rPr>
          <w:rFonts w:ascii="Times New Roman" w:hAnsi="Times New Roman" w:cs="Times New Roman"/>
          <w:sz w:val="24"/>
          <w:szCs w:val="24"/>
          <w:lang w:val="en-GB"/>
        </w:rPr>
        <w:t xml:space="preserve">disclosure </w:t>
      </w:r>
      <w:r w:rsidRPr="00AE77D4">
        <w:rPr>
          <w:rFonts w:ascii="Times New Roman" w:eastAsia="Times New Roman" w:hAnsi="Times New Roman" w:cs="Times New Roman"/>
          <w:sz w:val="24"/>
          <w:szCs w:val="24"/>
          <w:lang w:val="en-GB"/>
        </w:rPr>
        <w:t xml:space="preserve">is reported by </w:t>
      </w:r>
      <w:r w:rsidRPr="00AE77D4">
        <w:rPr>
          <w:rFonts w:ascii="Times New Roman" w:eastAsia="Times New Roman" w:hAnsi="Times New Roman" w:cs="Times New Roman"/>
          <w:sz w:val="24"/>
          <w:szCs w:val="24"/>
          <w:lang w:val="en-GB" w:bidi="bn-BD"/>
        </w:rPr>
        <w:t xml:space="preserve">Tannery 0.78 </w:t>
      </w:r>
      <w:r w:rsidRPr="00AE77D4">
        <w:rPr>
          <w:rFonts w:ascii="Times New Roman" w:eastAsia="Times New Roman" w:hAnsi="Times New Roman" w:cs="Times New Roman"/>
          <w:sz w:val="24"/>
          <w:szCs w:val="24"/>
          <w:lang w:val="en-GB"/>
        </w:rPr>
        <w:t xml:space="preserve">(i.e. 78%), followed by Cement 0.62 (i.e. 62%), </w:t>
      </w:r>
      <w:r w:rsidRPr="00AE77D4">
        <w:rPr>
          <w:rFonts w:ascii="Times New Roman" w:eastAsia="Times New Roman" w:hAnsi="Times New Roman" w:cs="Times New Roman"/>
          <w:sz w:val="24"/>
          <w:szCs w:val="24"/>
          <w:lang w:val="en-GB" w:bidi="bn-BD"/>
        </w:rPr>
        <w:t xml:space="preserve">Ceramic 0.58 </w:t>
      </w:r>
      <w:r w:rsidRPr="00AE77D4">
        <w:rPr>
          <w:rFonts w:ascii="Times New Roman" w:eastAsia="Times New Roman" w:hAnsi="Times New Roman" w:cs="Times New Roman"/>
          <w:sz w:val="24"/>
          <w:szCs w:val="24"/>
          <w:lang w:val="en-GB"/>
        </w:rPr>
        <w:t>(i.e. 58%)</w:t>
      </w:r>
      <w:r w:rsidRPr="00AE77D4">
        <w:rPr>
          <w:rFonts w:ascii="Times New Roman" w:eastAsia="Times New Roman" w:hAnsi="Times New Roman" w:cs="Times New Roman"/>
          <w:sz w:val="24"/>
          <w:szCs w:val="24"/>
          <w:lang w:val="en-GB" w:bidi="bn-BD"/>
        </w:rPr>
        <w:t xml:space="preserve">, </w:t>
      </w:r>
      <w:r w:rsidRPr="00AE77D4">
        <w:rPr>
          <w:rFonts w:ascii="Times New Roman" w:eastAsia="Times New Roman" w:hAnsi="Times New Roman" w:cs="Times New Roman"/>
          <w:sz w:val="24"/>
          <w:szCs w:val="24"/>
          <w:lang w:val="en-GB"/>
        </w:rPr>
        <w:t>and Pharmaceuticals &amp; Chemicals 0.54 (i.e. 54%)</w:t>
      </w:r>
      <w:r w:rsidR="006F3C24" w:rsidRPr="00AE77D4">
        <w:rPr>
          <w:rFonts w:ascii="Times New Roman" w:eastAsia="Times New Roman" w:hAnsi="Times New Roman" w:cs="Times New Roman"/>
          <w:sz w:val="24"/>
          <w:szCs w:val="24"/>
          <w:lang w:val="en-GB"/>
        </w:rPr>
        <w:t xml:space="preserve">; in contrast, Jute reports the lowest </w:t>
      </w:r>
      <w:r w:rsidRPr="00AE77D4">
        <w:rPr>
          <w:rFonts w:ascii="Times New Roman" w:eastAsia="Times New Roman" w:hAnsi="Times New Roman" w:cs="Times New Roman"/>
          <w:sz w:val="24"/>
          <w:szCs w:val="24"/>
          <w:lang w:val="en-GB"/>
        </w:rPr>
        <w:t xml:space="preserve">value of </w:t>
      </w:r>
      <w:r w:rsidR="006F3C24" w:rsidRPr="00AE77D4">
        <w:rPr>
          <w:rFonts w:ascii="Times New Roman" w:eastAsia="Times New Roman" w:hAnsi="Times New Roman" w:cs="Times New Roman"/>
          <w:sz w:val="24"/>
          <w:szCs w:val="24"/>
          <w:lang w:val="en-GB" w:bidi="bn-BD"/>
        </w:rPr>
        <w:t xml:space="preserve">0.083 </w:t>
      </w:r>
      <w:r w:rsidR="006F3C24" w:rsidRPr="00AE77D4">
        <w:rPr>
          <w:rFonts w:ascii="Times New Roman" w:eastAsia="Times New Roman" w:hAnsi="Times New Roman" w:cs="Times New Roman"/>
          <w:sz w:val="24"/>
          <w:szCs w:val="24"/>
          <w:lang w:val="en-GB"/>
        </w:rPr>
        <w:t>( 8.3%)</w:t>
      </w:r>
      <w:r w:rsidR="00F2302B" w:rsidRPr="00AE77D4">
        <w:rPr>
          <w:rFonts w:ascii="Times New Roman" w:eastAsia="Times New Roman" w:hAnsi="Times New Roman" w:cs="Times New Roman"/>
          <w:sz w:val="24"/>
          <w:szCs w:val="24"/>
          <w:lang w:val="en-GB"/>
        </w:rPr>
        <w:t xml:space="preserve">. In addition, on average, the </w:t>
      </w:r>
      <w:r w:rsidR="00F2302B" w:rsidRPr="00AE77D4">
        <w:rPr>
          <w:rFonts w:ascii="Times New Roman" w:hAnsi="Times New Roman" w:cs="Times New Roman"/>
          <w:sz w:val="24"/>
          <w:szCs w:val="24"/>
          <w:lang w:val="en-GB"/>
        </w:rPr>
        <w:t xml:space="preserve">CCD </w:t>
      </w:r>
      <w:r w:rsidR="00F2302B" w:rsidRPr="00AE77D4">
        <w:rPr>
          <w:rFonts w:ascii="Times New Roman" w:eastAsia="Times New Roman" w:hAnsi="Times New Roman" w:cs="Times New Roman"/>
          <w:sz w:val="24"/>
          <w:szCs w:val="24"/>
          <w:lang w:val="en-GB"/>
        </w:rPr>
        <w:t xml:space="preserve">of remaining industries are </w:t>
      </w:r>
      <w:r w:rsidR="00F2302B" w:rsidRPr="00AE77D4">
        <w:rPr>
          <w:rFonts w:ascii="Times New Roman" w:eastAsia="Times New Roman" w:hAnsi="Times New Roman" w:cs="Times New Roman"/>
          <w:sz w:val="24"/>
          <w:szCs w:val="24"/>
          <w:lang w:val="en-GB" w:bidi="bn-BD"/>
        </w:rPr>
        <w:t>Fuel and Power 0.46 (</w:t>
      </w:r>
      <w:r w:rsidR="00F2302B" w:rsidRPr="00AE77D4">
        <w:rPr>
          <w:rFonts w:ascii="Times New Roman" w:eastAsia="Times New Roman" w:hAnsi="Times New Roman" w:cs="Times New Roman"/>
          <w:sz w:val="24"/>
          <w:szCs w:val="24"/>
          <w:lang w:val="en-GB"/>
        </w:rPr>
        <w:t>i.e. 46%)</w:t>
      </w:r>
      <w:r w:rsidR="00F2302B" w:rsidRPr="00AE77D4">
        <w:rPr>
          <w:rFonts w:ascii="Times New Roman" w:eastAsia="Times New Roman" w:hAnsi="Times New Roman" w:cs="Times New Roman"/>
          <w:sz w:val="24"/>
          <w:szCs w:val="24"/>
          <w:lang w:val="en-GB" w:bidi="bn-BD"/>
        </w:rPr>
        <w:t>,</w:t>
      </w:r>
      <w:r w:rsidR="00F2302B" w:rsidRPr="00AE77D4">
        <w:rPr>
          <w:rFonts w:ascii="Times New Roman" w:eastAsia="Times New Roman" w:hAnsi="Times New Roman" w:cs="Times New Roman"/>
          <w:sz w:val="24"/>
          <w:szCs w:val="24"/>
          <w:lang w:val="en-GB"/>
        </w:rPr>
        <w:t xml:space="preserve"> </w:t>
      </w:r>
      <w:r w:rsidR="00F2302B" w:rsidRPr="00AE77D4">
        <w:rPr>
          <w:rFonts w:ascii="Times New Roman" w:eastAsia="Times New Roman" w:hAnsi="Times New Roman" w:cs="Times New Roman"/>
          <w:sz w:val="24"/>
          <w:szCs w:val="24"/>
          <w:lang w:val="en-GB" w:bidi="bn-BD"/>
        </w:rPr>
        <w:t xml:space="preserve">Engineering 0.42 </w:t>
      </w:r>
      <w:r w:rsidR="00F2302B" w:rsidRPr="00AE77D4">
        <w:rPr>
          <w:rFonts w:ascii="Times New Roman" w:eastAsia="Times New Roman" w:hAnsi="Times New Roman" w:cs="Times New Roman"/>
          <w:sz w:val="24"/>
          <w:szCs w:val="24"/>
          <w:lang w:val="en-GB"/>
        </w:rPr>
        <w:t>(i.e. 42%)</w:t>
      </w:r>
      <w:r w:rsidR="00F2302B" w:rsidRPr="00AE77D4">
        <w:rPr>
          <w:rFonts w:ascii="Times New Roman" w:eastAsia="Times New Roman" w:hAnsi="Times New Roman" w:cs="Times New Roman"/>
          <w:sz w:val="24"/>
          <w:szCs w:val="24"/>
          <w:lang w:val="en-GB" w:bidi="bn-BD"/>
        </w:rPr>
        <w:t xml:space="preserve">, and Textile is 0.31 </w:t>
      </w:r>
      <w:r w:rsidR="00F2302B" w:rsidRPr="00AE77D4">
        <w:rPr>
          <w:rFonts w:ascii="Times New Roman" w:eastAsia="Times New Roman" w:hAnsi="Times New Roman" w:cs="Times New Roman"/>
          <w:sz w:val="24"/>
          <w:szCs w:val="24"/>
          <w:lang w:val="en-GB"/>
        </w:rPr>
        <w:t>(i.e. 31%)</w:t>
      </w:r>
      <w:r w:rsidR="00F2302B" w:rsidRPr="00AE77D4">
        <w:rPr>
          <w:rFonts w:ascii="Times New Roman" w:eastAsia="Times New Roman" w:hAnsi="Times New Roman" w:cs="Times New Roman"/>
          <w:sz w:val="24"/>
          <w:szCs w:val="24"/>
          <w:lang w:val="en-GB" w:bidi="bn-BD"/>
        </w:rPr>
        <w:t>.</w:t>
      </w:r>
      <w:r w:rsidR="004424AF" w:rsidRPr="00AE77D4">
        <w:rPr>
          <w:rFonts w:ascii="Times New Roman" w:eastAsia="Times New Roman" w:hAnsi="Times New Roman" w:cs="Times New Roman"/>
          <w:sz w:val="24"/>
          <w:szCs w:val="24"/>
          <w:lang w:val="en-GB" w:bidi="bn-BD"/>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AE77D4" w:rsidRPr="00AE77D4" w14:paraId="4F019568" w14:textId="77777777" w:rsidTr="00A25231">
        <w:trPr>
          <w:trHeight w:val="252"/>
        </w:trPr>
        <w:tc>
          <w:tcPr>
            <w:tcW w:w="9280" w:type="dxa"/>
            <w:tcBorders>
              <w:top w:val="single" w:sz="4" w:space="0" w:color="auto"/>
              <w:bottom w:val="single" w:sz="4" w:space="0" w:color="auto"/>
            </w:tcBorders>
          </w:tcPr>
          <w:p w14:paraId="649F515F" w14:textId="77777777" w:rsidR="00B57302" w:rsidRPr="00AE77D4" w:rsidRDefault="00661A05" w:rsidP="00AE77D4">
            <w:pPr>
              <w:spacing w:line="276" w:lineRule="auto"/>
              <w:rPr>
                <w:rFonts w:ascii="Times New Roman" w:eastAsia="Times New Roman" w:hAnsi="Times New Roman" w:cs="Times New Roman"/>
                <w:sz w:val="24"/>
                <w:szCs w:val="24"/>
                <w:lang w:val="en-GB"/>
              </w:rPr>
            </w:pPr>
            <w:r w:rsidRPr="00AE77D4">
              <w:rPr>
                <w:rFonts w:ascii="Times New Roman" w:eastAsia="Times New Roman" w:hAnsi="Times New Roman" w:cs="Times New Roman"/>
                <w:b/>
                <w:bCs/>
                <w:sz w:val="24"/>
                <w:szCs w:val="24"/>
                <w:lang w:val="en-GB"/>
              </w:rPr>
              <w:t>Table 3.</w:t>
            </w:r>
            <w:r w:rsidRPr="00AE77D4">
              <w:rPr>
                <w:rFonts w:ascii="Times New Roman" w:eastAsia="Times New Roman" w:hAnsi="Times New Roman" w:cs="Times New Roman"/>
                <w:sz w:val="24"/>
                <w:szCs w:val="24"/>
                <w:lang w:val="en-GB"/>
              </w:rPr>
              <w:t xml:space="preserve"> Descriptive statistics</w:t>
            </w:r>
          </w:p>
        </w:tc>
      </w:tr>
      <w:tr w:rsidR="00AE77D4" w:rsidRPr="00AE77D4" w14:paraId="0E6DD031" w14:textId="77777777" w:rsidTr="00A25231">
        <w:trPr>
          <w:trHeight w:val="252"/>
        </w:trPr>
        <w:tc>
          <w:tcPr>
            <w:tcW w:w="9280" w:type="dxa"/>
            <w:tcBorders>
              <w:top w:val="single" w:sz="4" w:space="0" w:color="auto"/>
            </w:tcBorders>
          </w:tcPr>
          <w:p w14:paraId="0ACDA634" w14:textId="77777777" w:rsidR="00B57302" w:rsidRPr="00AE77D4" w:rsidRDefault="00B57302" w:rsidP="00AE77D4">
            <w:pPr>
              <w:spacing w:line="276" w:lineRule="auto"/>
              <w:rPr>
                <w:rFonts w:ascii="Times New Roman" w:eastAsia="Times New Roman" w:hAnsi="Times New Roman" w:cs="Times New Roman"/>
                <w:b/>
                <w:bCs/>
                <w:sz w:val="24"/>
                <w:szCs w:val="24"/>
                <w:lang w:val="en-GB"/>
              </w:rPr>
            </w:pPr>
          </w:p>
        </w:tc>
      </w:tr>
      <w:tr w:rsidR="00AE77D4" w:rsidRPr="00AE77D4" w14:paraId="1364DDDC" w14:textId="77777777" w:rsidTr="00A25231">
        <w:trPr>
          <w:trHeight w:val="699"/>
        </w:trPr>
        <w:tc>
          <w:tcPr>
            <w:tcW w:w="9280" w:type="dxa"/>
          </w:tcPr>
          <w:p w14:paraId="25D89D3A" w14:textId="77777777" w:rsidR="00B57302" w:rsidRPr="00AE77D4" w:rsidRDefault="00661A05" w:rsidP="00AE77D4">
            <w:pPr>
              <w:spacing w:line="276" w:lineRule="auto"/>
              <w:rPr>
                <w:rFonts w:ascii="Times New Roman" w:eastAsia="Times New Roman" w:hAnsi="Times New Roman" w:cs="Times New Roman"/>
                <w:sz w:val="20"/>
                <w:szCs w:val="20"/>
                <w:lang w:val="en-GB"/>
              </w:rPr>
            </w:pPr>
            <w:r w:rsidRPr="00AE77D4">
              <w:rPr>
                <w:rFonts w:ascii="Times New Roman" w:eastAsia="Times New Roman" w:hAnsi="Times New Roman" w:cs="Times New Roman"/>
                <w:sz w:val="20"/>
                <w:szCs w:val="20"/>
                <w:lang w:val="en-GB"/>
              </w:rPr>
              <w:t>Panel A Variable-wise descriptive statistics</w:t>
            </w:r>
          </w:p>
          <w:p w14:paraId="454EB570" w14:textId="77777777" w:rsidR="006B2E66" w:rsidRPr="00AE77D4" w:rsidRDefault="006B2E66" w:rsidP="00AE77D4">
            <w:pPr>
              <w:spacing w:line="276" w:lineRule="auto"/>
              <w:rPr>
                <w:rFonts w:ascii="Times New Roman" w:hAnsi="Times New Roman" w:cs="Times New Roman"/>
                <w:sz w:val="20"/>
                <w:szCs w:val="20"/>
                <w:lang w:val="en-GB"/>
              </w:rPr>
            </w:pPr>
          </w:p>
          <w:tbl>
            <w:tblPr>
              <w:tblStyle w:val="TableGrid"/>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600"/>
              <w:gridCol w:w="666"/>
              <w:gridCol w:w="672"/>
              <w:gridCol w:w="666"/>
              <w:gridCol w:w="600"/>
              <w:gridCol w:w="666"/>
              <w:gridCol w:w="672"/>
              <w:gridCol w:w="666"/>
              <w:gridCol w:w="600"/>
              <w:gridCol w:w="583"/>
              <w:gridCol w:w="672"/>
              <w:gridCol w:w="666"/>
            </w:tblGrid>
            <w:tr w:rsidR="00AE77D4" w:rsidRPr="00AE77D4" w14:paraId="7D6DDE54" w14:textId="77777777" w:rsidTr="006176EC">
              <w:trPr>
                <w:trHeight w:val="454"/>
              </w:trPr>
              <w:tc>
                <w:tcPr>
                  <w:tcW w:w="1105" w:type="dxa"/>
                  <w:tcBorders>
                    <w:right w:val="single" w:sz="4" w:space="0" w:color="auto"/>
                  </w:tcBorders>
                  <w:shd w:val="clear" w:color="auto" w:fill="auto"/>
                </w:tcPr>
                <w:p w14:paraId="0BE0D964" w14:textId="77777777" w:rsidR="00E04BD7" w:rsidRPr="00AE77D4" w:rsidRDefault="00E04BD7" w:rsidP="00AE77D4">
                  <w:pPr>
                    <w:spacing w:line="276" w:lineRule="auto"/>
                    <w:rPr>
                      <w:rFonts w:ascii="Times New Roman" w:hAnsi="Times New Roman" w:cs="Times New Roman"/>
                      <w:sz w:val="20"/>
                      <w:szCs w:val="20"/>
                      <w:lang w:val="en-GB"/>
                    </w:rPr>
                  </w:pPr>
                </w:p>
              </w:tc>
              <w:tc>
                <w:tcPr>
                  <w:tcW w:w="2604" w:type="dxa"/>
                  <w:gridSpan w:val="4"/>
                  <w:tcBorders>
                    <w:left w:val="single" w:sz="4" w:space="0" w:color="auto"/>
                    <w:right w:val="single" w:sz="4" w:space="0" w:color="auto"/>
                  </w:tcBorders>
                  <w:shd w:val="clear" w:color="auto" w:fill="auto"/>
                </w:tcPr>
                <w:p w14:paraId="4C007CF0" w14:textId="77777777" w:rsidR="00E04BD7" w:rsidRPr="00AE77D4" w:rsidRDefault="00661A05" w:rsidP="00AE77D4">
                  <w:pPr>
                    <w:spacing w:line="276" w:lineRule="auto"/>
                    <w:jc w:val="center"/>
                    <w:rPr>
                      <w:rFonts w:ascii="Times New Roman" w:hAnsi="Times New Roman" w:cs="Times New Roman"/>
                      <w:sz w:val="20"/>
                      <w:szCs w:val="20"/>
                      <w:lang w:val="en-GB"/>
                    </w:rPr>
                  </w:pPr>
                  <w:r w:rsidRPr="00AE77D4">
                    <w:rPr>
                      <w:rFonts w:ascii="Times New Roman" w:hAnsi="Times New Roman" w:cs="Times New Roman"/>
                      <w:sz w:val="20"/>
                      <w:szCs w:val="20"/>
                      <w:lang w:val="en-GB"/>
                    </w:rPr>
                    <w:t>Entire period</w:t>
                  </w:r>
                </w:p>
              </w:tc>
              <w:tc>
                <w:tcPr>
                  <w:tcW w:w="2598" w:type="dxa"/>
                  <w:gridSpan w:val="4"/>
                  <w:tcBorders>
                    <w:left w:val="single" w:sz="4" w:space="0" w:color="auto"/>
                    <w:right w:val="single" w:sz="4" w:space="0" w:color="auto"/>
                  </w:tcBorders>
                  <w:shd w:val="clear" w:color="auto" w:fill="auto"/>
                </w:tcPr>
                <w:p w14:paraId="49C5D216" w14:textId="77777777" w:rsidR="00E04BD7" w:rsidRPr="00AE77D4" w:rsidRDefault="00661A05" w:rsidP="00AE77D4">
                  <w:pPr>
                    <w:spacing w:line="276" w:lineRule="auto"/>
                    <w:jc w:val="center"/>
                    <w:rPr>
                      <w:rFonts w:ascii="Times New Roman" w:hAnsi="Times New Roman" w:cs="Times New Roman"/>
                      <w:sz w:val="20"/>
                      <w:szCs w:val="20"/>
                      <w:lang w:val="en-GB"/>
                    </w:rPr>
                  </w:pPr>
                  <w:r w:rsidRPr="00AE77D4">
                    <w:rPr>
                      <w:rFonts w:ascii="Times New Roman" w:hAnsi="Times New Roman" w:cs="Times New Roman"/>
                      <w:sz w:val="20"/>
                      <w:szCs w:val="20"/>
                      <w:lang w:val="en-GB"/>
                    </w:rPr>
                    <w:t>Pre-amendment of CG</w:t>
                  </w:r>
                </w:p>
              </w:tc>
              <w:tc>
                <w:tcPr>
                  <w:tcW w:w="2521" w:type="dxa"/>
                  <w:gridSpan w:val="4"/>
                  <w:tcBorders>
                    <w:left w:val="single" w:sz="4" w:space="0" w:color="auto"/>
                  </w:tcBorders>
                  <w:shd w:val="clear" w:color="auto" w:fill="auto"/>
                </w:tcPr>
                <w:p w14:paraId="45197A19" w14:textId="77777777" w:rsidR="00E04BD7" w:rsidRPr="00AE77D4" w:rsidRDefault="00661A05" w:rsidP="00AE77D4">
                  <w:pPr>
                    <w:spacing w:line="276" w:lineRule="auto"/>
                    <w:jc w:val="center"/>
                    <w:rPr>
                      <w:rFonts w:ascii="Times New Roman" w:hAnsi="Times New Roman" w:cs="Times New Roman"/>
                      <w:sz w:val="20"/>
                      <w:szCs w:val="20"/>
                      <w:lang w:val="en-GB"/>
                    </w:rPr>
                  </w:pPr>
                  <w:r w:rsidRPr="00AE77D4">
                    <w:rPr>
                      <w:rFonts w:ascii="Times New Roman" w:hAnsi="Times New Roman" w:cs="Times New Roman"/>
                      <w:sz w:val="20"/>
                      <w:szCs w:val="20"/>
                      <w:lang w:val="en-GB"/>
                    </w:rPr>
                    <w:t>Post-amendment of CG</w:t>
                  </w:r>
                </w:p>
              </w:tc>
            </w:tr>
            <w:tr w:rsidR="00AE77D4" w:rsidRPr="00AE77D4" w14:paraId="7DD9E023" w14:textId="77777777" w:rsidTr="006176EC">
              <w:trPr>
                <w:trHeight w:val="454"/>
              </w:trPr>
              <w:tc>
                <w:tcPr>
                  <w:tcW w:w="1105" w:type="dxa"/>
                  <w:tcBorders>
                    <w:right w:val="single" w:sz="4" w:space="0" w:color="auto"/>
                  </w:tcBorders>
                  <w:shd w:val="clear" w:color="auto" w:fill="F2F2F2" w:themeFill="background1" w:themeFillShade="F2"/>
                </w:tcPr>
                <w:p w14:paraId="7AF74721" w14:textId="77777777" w:rsidR="00FD3BFA"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Variable names</w:t>
                  </w:r>
                </w:p>
              </w:tc>
              <w:tc>
                <w:tcPr>
                  <w:tcW w:w="600" w:type="dxa"/>
                  <w:tcBorders>
                    <w:left w:val="single" w:sz="4" w:space="0" w:color="auto"/>
                  </w:tcBorders>
                  <w:shd w:val="clear" w:color="auto" w:fill="F2F2F2" w:themeFill="background1" w:themeFillShade="F2"/>
                </w:tcPr>
                <w:p w14:paraId="7B70BE89" w14:textId="77777777" w:rsidR="00FD3BFA"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Min.</w:t>
                  </w:r>
                </w:p>
              </w:tc>
              <w:tc>
                <w:tcPr>
                  <w:tcW w:w="666" w:type="dxa"/>
                  <w:shd w:val="clear" w:color="auto" w:fill="F2F2F2" w:themeFill="background1" w:themeFillShade="F2"/>
                </w:tcPr>
                <w:p w14:paraId="2F4A9039" w14:textId="77777777" w:rsidR="00FD3BFA"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Max</w:t>
                  </w:r>
                </w:p>
              </w:tc>
              <w:tc>
                <w:tcPr>
                  <w:tcW w:w="672" w:type="dxa"/>
                  <w:shd w:val="clear" w:color="auto" w:fill="F2F2F2" w:themeFill="background1" w:themeFillShade="F2"/>
                </w:tcPr>
                <w:p w14:paraId="5A8B9753" w14:textId="77777777" w:rsidR="00FD3BFA"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Mean</w:t>
                  </w:r>
                </w:p>
              </w:tc>
              <w:tc>
                <w:tcPr>
                  <w:tcW w:w="666" w:type="dxa"/>
                  <w:tcBorders>
                    <w:right w:val="single" w:sz="4" w:space="0" w:color="auto"/>
                  </w:tcBorders>
                  <w:shd w:val="clear" w:color="auto" w:fill="F2F2F2" w:themeFill="background1" w:themeFillShade="F2"/>
                </w:tcPr>
                <w:p w14:paraId="383922F8" w14:textId="77777777" w:rsidR="00FD3BFA"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Std. Dev.</w:t>
                  </w:r>
                </w:p>
              </w:tc>
              <w:tc>
                <w:tcPr>
                  <w:tcW w:w="600" w:type="dxa"/>
                  <w:tcBorders>
                    <w:left w:val="single" w:sz="4" w:space="0" w:color="auto"/>
                  </w:tcBorders>
                  <w:shd w:val="clear" w:color="auto" w:fill="F2F2F2" w:themeFill="background1" w:themeFillShade="F2"/>
                </w:tcPr>
                <w:p w14:paraId="02FF5971" w14:textId="77777777" w:rsidR="00FD3BFA" w:rsidRPr="00AE77D4" w:rsidRDefault="00661A05" w:rsidP="00AE77D4">
                  <w:pPr>
                    <w:spacing w:line="276" w:lineRule="auto"/>
                    <w:jc w:val="right"/>
                    <w:rPr>
                      <w:rFonts w:ascii="Times New Roman" w:hAnsi="Times New Roman" w:cs="Times New Roman"/>
                      <w:sz w:val="20"/>
                      <w:szCs w:val="20"/>
                    </w:rPr>
                  </w:pPr>
                  <w:r w:rsidRPr="00AE77D4">
                    <w:rPr>
                      <w:rFonts w:ascii="Times New Roman" w:hAnsi="Times New Roman" w:cs="Times New Roman"/>
                      <w:sz w:val="20"/>
                      <w:szCs w:val="20"/>
                      <w:lang w:val="en-GB"/>
                    </w:rPr>
                    <w:t>Min.</w:t>
                  </w:r>
                </w:p>
              </w:tc>
              <w:tc>
                <w:tcPr>
                  <w:tcW w:w="666" w:type="dxa"/>
                  <w:shd w:val="clear" w:color="auto" w:fill="F2F2F2" w:themeFill="background1" w:themeFillShade="F2"/>
                </w:tcPr>
                <w:p w14:paraId="1916F342" w14:textId="02C64ECD" w:rsidR="00FD3BFA" w:rsidRPr="00AE77D4" w:rsidRDefault="00661A05" w:rsidP="00AE77D4">
                  <w:pPr>
                    <w:spacing w:line="276" w:lineRule="auto"/>
                    <w:jc w:val="right"/>
                    <w:rPr>
                      <w:rFonts w:ascii="Times New Roman" w:hAnsi="Times New Roman" w:cs="Times New Roman"/>
                      <w:sz w:val="20"/>
                      <w:szCs w:val="20"/>
                    </w:rPr>
                  </w:pPr>
                  <w:r w:rsidRPr="00AE77D4">
                    <w:rPr>
                      <w:rFonts w:ascii="Times New Roman" w:hAnsi="Times New Roman" w:cs="Times New Roman"/>
                      <w:sz w:val="20"/>
                      <w:szCs w:val="20"/>
                      <w:lang w:val="en-GB"/>
                    </w:rPr>
                    <w:t>Max</w:t>
                  </w:r>
                </w:p>
              </w:tc>
              <w:tc>
                <w:tcPr>
                  <w:tcW w:w="666" w:type="dxa"/>
                  <w:shd w:val="clear" w:color="auto" w:fill="F2F2F2" w:themeFill="background1" w:themeFillShade="F2"/>
                </w:tcPr>
                <w:p w14:paraId="207EEF17" w14:textId="34198DD5" w:rsidR="00FD3BFA" w:rsidRPr="00AE77D4" w:rsidRDefault="00661A05" w:rsidP="00AE77D4">
                  <w:pPr>
                    <w:spacing w:line="276" w:lineRule="auto"/>
                    <w:jc w:val="right"/>
                    <w:rPr>
                      <w:rFonts w:ascii="Times New Roman" w:hAnsi="Times New Roman" w:cs="Times New Roman"/>
                      <w:sz w:val="20"/>
                      <w:szCs w:val="20"/>
                    </w:rPr>
                  </w:pPr>
                  <w:r w:rsidRPr="00AE77D4">
                    <w:rPr>
                      <w:rFonts w:ascii="Times New Roman" w:hAnsi="Times New Roman" w:cs="Times New Roman"/>
                      <w:sz w:val="20"/>
                      <w:szCs w:val="20"/>
                      <w:lang w:val="en-GB"/>
                    </w:rPr>
                    <w:t>Mean</w:t>
                  </w:r>
                </w:p>
              </w:tc>
              <w:tc>
                <w:tcPr>
                  <w:tcW w:w="666" w:type="dxa"/>
                  <w:tcBorders>
                    <w:right w:val="single" w:sz="4" w:space="0" w:color="auto"/>
                  </w:tcBorders>
                  <w:shd w:val="clear" w:color="auto" w:fill="F2F2F2" w:themeFill="background1" w:themeFillShade="F2"/>
                </w:tcPr>
                <w:p w14:paraId="40A7141B" w14:textId="77777777" w:rsidR="00FD3BFA"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Std. Dev.</w:t>
                  </w:r>
                </w:p>
              </w:tc>
              <w:tc>
                <w:tcPr>
                  <w:tcW w:w="600" w:type="dxa"/>
                  <w:tcBorders>
                    <w:left w:val="single" w:sz="4" w:space="0" w:color="auto"/>
                  </w:tcBorders>
                  <w:shd w:val="clear" w:color="auto" w:fill="F2F2F2" w:themeFill="background1" w:themeFillShade="F2"/>
                </w:tcPr>
                <w:p w14:paraId="64BB25F9" w14:textId="77777777" w:rsidR="00FD3BFA"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Min.</w:t>
                  </w:r>
                </w:p>
              </w:tc>
              <w:tc>
                <w:tcPr>
                  <w:tcW w:w="583" w:type="dxa"/>
                  <w:shd w:val="clear" w:color="auto" w:fill="F2F2F2" w:themeFill="background1" w:themeFillShade="F2"/>
                </w:tcPr>
                <w:p w14:paraId="7AACBD4F" w14:textId="77777777" w:rsidR="00FD3BFA"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Max</w:t>
                  </w:r>
                </w:p>
              </w:tc>
              <w:tc>
                <w:tcPr>
                  <w:tcW w:w="672" w:type="dxa"/>
                  <w:shd w:val="clear" w:color="auto" w:fill="F2F2F2" w:themeFill="background1" w:themeFillShade="F2"/>
                </w:tcPr>
                <w:p w14:paraId="4FE78991" w14:textId="77777777" w:rsidR="00FD3BFA"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Mean</w:t>
                  </w:r>
                </w:p>
              </w:tc>
              <w:tc>
                <w:tcPr>
                  <w:tcW w:w="666" w:type="dxa"/>
                  <w:shd w:val="clear" w:color="auto" w:fill="F2F2F2" w:themeFill="background1" w:themeFillShade="F2"/>
                </w:tcPr>
                <w:p w14:paraId="009561E9" w14:textId="77777777" w:rsidR="00FD3BFA"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Std. Dev.</w:t>
                  </w:r>
                </w:p>
              </w:tc>
            </w:tr>
            <w:tr w:rsidR="00AE77D4" w:rsidRPr="00AE77D4" w14:paraId="0E2419DE" w14:textId="77777777" w:rsidTr="006176EC">
              <w:trPr>
                <w:trHeight w:val="220"/>
              </w:trPr>
              <w:tc>
                <w:tcPr>
                  <w:tcW w:w="1105" w:type="dxa"/>
                  <w:tcBorders>
                    <w:right w:val="single" w:sz="4" w:space="0" w:color="auto"/>
                  </w:tcBorders>
                  <w:shd w:val="clear" w:color="auto" w:fill="FFFFFF" w:themeFill="background1"/>
                </w:tcPr>
                <w:p w14:paraId="2A789D4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lastRenderedPageBreak/>
                    <w:t>CCD</w:t>
                  </w:r>
                </w:p>
              </w:tc>
              <w:tc>
                <w:tcPr>
                  <w:tcW w:w="600" w:type="dxa"/>
                  <w:tcBorders>
                    <w:left w:val="single" w:sz="4" w:space="0" w:color="auto"/>
                  </w:tcBorders>
                  <w:shd w:val="clear" w:color="auto" w:fill="FFFFFF" w:themeFill="background1"/>
                </w:tcPr>
                <w:p w14:paraId="70363D59"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shd w:val="clear" w:color="auto" w:fill="FFFFFF" w:themeFill="background1"/>
                </w:tcPr>
                <w:p w14:paraId="6BDC8500"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100</w:t>
                  </w:r>
                </w:p>
              </w:tc>
              <w:tc>
                <w:tcPr>
                  <w:tcW w:w="672" w:type="dxa"/>
                  <w:shd w:val="clear" w:color="auto" w:fill="FFFFFF" w:themeFill="background1"/>
                </w:tcPr>
                <w:p w14:paraId="05E75301"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45.62</w:t>
                  </w:r>
                </w:p>
              </w:tc>
              <w:tc>
                <w:tcPr>
                  <w:tcW w:w="666" w:type="dxa"/>
                  <w:tcBorders>
                    <w:right w:val="single" w:sz="4" w:space="0" w:color="auto"/>
                  </w:tcBorders>
                  <w:shd w:val="clear" w:color="auto" w:fill="FFFFFF" w:themeFill="background1"/>
                </w:tcPr>
                <w:p w14:paraId="16680689"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27.44</w:t>
                  </w:r>
                </w:p>
              </w:tc>
              <w:tc>
                <w:tcPr>
                  <w:tcW w:w="600" w:type="dxa"/>
                  <w:tcBorders>
                    <w:left w:val="single" w:sz="4" w:space="0" w:color="auto"/>
                  </w:tcBorders>
                  <w:shd w:val="clear" w:color="auto" w:fill="FFFFFF" w:themeFill="background1"/>
                </w:tcPr>
                <w:p w14:paraId="2FCF7FF3"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shd w:val="clear" w:color="auto" w:fill="FFFFFF" w:themeFill="background1"/>
                </w:tcPr>
                <w:p w14:paraId="466C605F"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100</w:t>
                  </w:r>
                </w:p>
              </w:tc>
              <w:tc>
                <w:tcPr>
                  <w:tcW w:w="666" w:type="dxa"/>
                  <w:shd w:val="clear" w:color="auto" w:fill="FFFFFF" w:themeFill="background1"/>
                </w:tcPr>
                <w:p w14:paraId="46BA073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45.62</w:t>
                  </w:r>
                </w:p>
              </w:tc>
              <w:tc>
                <w:tcPr>
                  <w:tcW w:w="666" w:type="dxa"/>
                  <w:tcBorders>
                    <w:right w:val="single" w:sz="4" w:space="0" w:color="auto"/>
                  </w:tcBorders>
                  <w:shd w:val="clear" w:color="auto" w:fill="FFFFFF" w:themeFill="background1"/>
                </w:tcPr>
                <w:p w14:paraId="69B36F44"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27.00</w:t>
                  </w:r>
                </w:p>
              </w:tc>
              <w:tc>
                <w:tcPr>
                  <w:tcW w:w="600" w:type="dxa"/>
                  <w:tcBorders>
                    <w:left w:val="single" w:sz="4" w:space="0" w:color="auto"/>
                  </w:tcBorders>
                  <w:shd w:val="clear" w:color="auto" w:fill="FFFFFF" w:themeFill="background1"/>
                </w:tcPr>
                <w:p w14:paraId="23C07CF0"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583" w:type="dxa"/>
                  <w:shd w:val="clear" w:color="auto" w:fill="FFFFFF" w:themeFill="background1"/>
                </w:tcPr>
                <w:p w14:paraId="2A85D8FB"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100</w:t>
                  </w:r>
                </w:p>
              </w:tc>
              <w:tc>
                <w:tcPr>
                  <w:tcW w:w="672" w:type="dxa"/>
                  <w:shd w:val="clear" w:color="auto" w:fill="FFFFFF" w:themeFill="background1"/>
                </w:tcPr>
                <w:p w14:paraId="6BE1EE32"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46</w:t>
                  </w:r>
                </w:p>
              </w:tc>
              <w:tc>
                <w:tcPr>
                  <w:tcW w:w="666" w:type="dxa"/>
                  <w:shd w:val="clear" w:color="auto" w:fill="FFFFFF" w:themeFill="background1"/>
                </w:tcPr>
                <w:p w14:paraId="557BEC4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27.74</w:t>
                  </w:r>
                </w:p>
              </w:tc>
            </w:tr>
            <w:tr w:rsidR="00AE77D4" w:rsidRPr="00AE77D4" w14:paraId="7688A7F4" w14:textId="77777777" w:rsidTr="006176EC">
              <w:trPr>
                <w:trHeight w:val="233"/>
              </w:trPr>
              <w:tc>
                <w:tcPr>
                  <w:tcW w:w="1105" w:type="dxa"/>
                  <w:tcBorders>
                    <w:right w:val="single" w:sz="4" w:space="0" w:color="auto"/>
                  </w:tcBorders>
                  <w:shd w:val="clear" w:color="auto" w:fill="F2F2F2" w:themeFill="background1" w:themeFillShade="F2"/>
                </w:tcPr>
                <w:p w14:paraId="1A01045C"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 xml:space="preserve">BSIZE </w:t>
                  </w:r>
                </w:p>
              </w:tc>
              <w:tc>
                <w:tcPr>
                  <w:tcW w:w="600" w:type="dxa"/>
                  <w:tcBorders>
                    <w:left w:val="single" w:sz="4" w:space="0" w:color="auto"/>
                  </w:tcBorders>
                  <w:shd w:val="clear" w:color="auto" w:fill="F2F2F2" w:themeFill="background1" w:themeFillShade="F2"/>
                </w:tcPr>
                <w:p w14:paraId="3411056E"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w:t>
                  </w:r>
                </w:p>
              </w:tc>
              <w:tc>
                <w:tcPr>
                  <w:tcW w:w="666" w:type="dxa"/>
                  <w:shd w:val="clear" w:color="auto" w:fill="F2F2F2" w:themeFill="background1" w:themeFillShade="F2"/>
                </w:tcPr>
                <w:p w14:paraId="0C0A15CB"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20</w:t>
                  </w:r>
                </w:p>
              </w:tc>
              <w:tc>
                <w:tcPr>
                  <w:tcW w:w="672" w:type="dxa"/>
                  <w:shd w:val="clear" w:color="auto" w:fill="F2F2F2" w:themeFill="background1" w:themeFillShade="F2"/>
                </w:tcPr>
                <w:p w14:paraId="79F2D580"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7.72</w:t>
                  </w:r>
                </w:p>
              </w:tc>
              <w:tc>
                <w:tcPr>
                  <w:tcW w:w="666" w:type="dxa"/>
                  <w:tcBorders>
                    <w:right w:val="single" w:sz="4" w:space="0" w:color="auto"/>
                  </w:tcBorders>
                  <w:shd w:val="clear" w:color="auto" w:fill="F2F2F2" w:themeFill="background1" w:themeFillShade="F2"/>
                </w:tcPr>
                <w:p w14:paraId="73F577A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2.71</w:t>
                  </w:r>
                </w:p>
              </w:tc>
              <w:tc>
                <w:tcPr>
                  <w:tcW w:w="600" w:type="dxa"/>
                  <w:tcBorders>
                    <w:left w:val="single" w:sz="4" w:space="0" w:color="auto"/>
                  </w:tcBorders>
                  <w:shd w:val="clear" w:color="auto" w:fill="F2F2F2" w:themeFill="background1" w:themeFillShade="F2"/>
                </w:tcPr>
                <w:p w14:paraId="2AFC0794"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w:t>
                  </w:r>
                </w:p>
              </w:tc>
              <w:tc>
                <w:tcPr>
                  <w:tcW w:w="666" w:type="dxa"/>
                  <w:shd w:val="clear" w:color="auto" w:fill="F2F2F2" w:themeFill="background1" w:themeFillShade="F2"/>
                </w:tcPr>
                <w:p w14:paraId="21BB7E60"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20</w:t>
                  </w:r>
                </w:p>
              </w:tc>
              <w:tc>
                <w:tcPr>
                  <w:tcW w:w="666" w:type="dxa"/>
                  <w:shd w:val="clear" w:color="auto" w:fill="F2F2F2" w:themeFill="background1" w:themeFillShade="F2"/>
                </w:tcPr>
                <w:p w14:paraId="30EBF8E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7.71</w:t>
                  </w:r>
                </w:p>
              </w:tc>
              <w:tc>
                <w:tcPr>
                  <w:tcW w:w="666" w:type="dxa"/>
                  <w:tcBorders>
                    <w:right w:val="single" w:sz="4" w:space="0" w:color="auto"/>
                  </w:tcBorders>
                  <w:shd w:val="clear" w:color="auto" w:fill="F2F2F2" w:themeFill="background1" w:themeFillShade="F2"/>
                </w:tcPr>
                <w:p w14:paraId="67B8691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2.73</w:t>
                  </w:r>
                </w:p>
              </w:tc>
              <w:tc>
                <w:tcPr>
                  <w:tcW w:w="600" w:type="dxa"/>
                  <w:tcBorders>
                    <w:left w:val="single" w:sz="4" w:space="0" w:color="auto"/>
                  </w:tcBorders>
                  <w:shd w:val="clear" w:color="auto" w:fill="F2F2F2" w:themeFill="background1" w:themeFillShade="F2"/>
                </w:tcPr>
                <w:p w14:paraId="28A499E2"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w:t>
                  </w:r>
                </w:p>
              </w:tc>
              <w:tc>
                <w:tcPr>
                  <w:tcW w:w="583" w:type="dxa"/>
                  <w:shd w:val="clear" w:color="auto" w:fill="F2F2F2" w:themeFill="background1" w:themeFillShade="F2"/>
                </w:tcPr>
                <w:p w14:paraId="4DB0369D"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19</w:t>
                  </w:r>
                </w:p>
              </w:tc>
              <w:tc>
                <w:tcPr>
                  <w:tcW w:w="672" w:type="dxa"/>
                  <w:shd w:val="clear" w:color="auto" w:fill="F2F2F2" w:themeFill="background1" w:themeFillShade="F2"/>
                </w:tcPr>
                <w:p w14:paraId="7C2BF1C2"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7.73</w:t>
                  </w:r>
                </w:p>
              </w:tc>
              <w:tc>
                <w:tcPr>
                  <w:tcW w:w="666" w:type="dxa"/>
                  <w:shd w:val="clear" w:color="auto" w:fill="F2F2F2" w:themeFill="background1" w:themeFillShade="F2"/>
                </w:tcPr>
                <w:p w14:paraId="3CE69FAE"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2.68</w:t>
                  </w:r>
                </w:p>
              </w:tc>
            </w:tr>
            <w:tr w:rsidR="00AE77D4" w:rsidRPr="00AE77D4" w14:paraId="1C883466" w14:textId="77777777" w:rsidTr="006176EC">
              <w:trPr>
                <w:trHeight w:val="220"/>
              </w:trPr>
              <w:tc>
                <w:tcPr>
                  <w:tcW w:w="1105" w:type="dxa"/>
                  <w:tcBorders>
                    <w:right w:val="single" w:sz="4" w:space="0" w:color="auto"/>
                  </w:tcBorders>
                </w:tcPr>
                <w:p w14:paraId="73A0425C"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 xml:space="preserve">INDIR </w:t>
                  </w:r>
                </w:p>
              </w:tc>
              <w:tc>
                <w:tcPr>
                  <w:tcW w:w="600" w:type="dxa"/>
                  <w:tcBorders>
                    <w:left w:val="single" w:sz="4" w:space="0" w:color="auto"/>
                  </w:tcBorders>
                </w:tcPr>
                <w:p w14:paraId="661EB3E3"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tcPr>
                <w:p w14:paraId="42E7FE0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50</w:t>
                  </w:r>
                </w:p>
              </w:tc>
              <w:tc>
                <w:tcPr>
                  <w:tcW w:w="672" w:type="dxa"/>
                </w:tcPr>
                <w:p w14:paraId="59094854"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25.41</w:t>
                  </w:r>
                </w:p>
              </w:tc>
              <w:tc>
                <w:tcPr>
                  <w:tcW w:w="666" w:type="dxa"/>
                  <w:tcBorders>
                    <w:right w:val="single" w:sz="4" w:space="0" w:color="auto"/>
                  </w:tcBorders>
                </w:tcPr>
                <w:p w14:paraId="5428AD09"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6.77</w:t>
                  </w:r>
                </w:p>
              </w:tc>
              <w:tc>
                <w:tcPr>
                  <w:tcW w:w="600" w:type="dxa"/>
                  <w:tcBorders>
                    <w:left w:val="single" w:sz="4" w:space="0" w:color="auto"/>
                  </w:tcBorders>
                </w:tcPr>
                <w:p w14:paraId="3783090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tcPr>
                <w:p w14:paraId="38FE852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50</w:t>
                  </w:r>
                </w:p>
              </w:tc>
              <w:tc>
                <w:tcPr>
                  <w:tcW w:w="666" w:type="dxa"/>
                </w:tcPr>
                <w:p w14:paraId="1746C55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25.00</w:t>
                  </w:r>
                </w:p>
              </w:tc>
              <w:tc>
                <w:tcPr>
                  <w:tcW w:w="666" w:type="dxa"/>
                  <w:tcBorders>
                    <w:right w:val="single" w:sz="4" w:space="0" w:color="auto"/>
                  </w:tcBorders>
                </w:tcPr>
                <w:p w14:paraId="110D7FD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6.10</w:t>
                  </w:r>
                </w:p>
              </w:tc>
              <w:tc>
                <w:tcPr>
                  <w:tcW w:w="600" w:type="dxa"/>
                  <w:tcBorders>
                    <w:left w:val="single" w:sz="4" w:space="0" w:color="auto"/>
                  </w:tcBorders>
                </w:tcPr>
                <w:p w14:paraId="4DEDF76E"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11</w:t>
                  </w:r>
                </w:p>
              </w:tc>
              <w:tc>
                <w:tcPr>
                  <w:tcW w:w="583" w:type="dxa"/>
                </w:tcPr>
                <w:p w14:paraId="3D3A03C3"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50</w:t>
                  </w:r>
                </w:p>
              </w:tc>
              <w:tc>
                <w:tcPr>
                  <w:tcW w:w="672" w:type="dxa"/>
                </w:tcPr>
                <w:p w14:paraId="75AF30A5"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25.75</w:t>
                  </w:r>
                </w:p>
              </w:tc>
              <w:tc>
                <w:tcPr>
                  <w:tcW w:w="666" w:type="dxa"/>
                </w:tcPr>
                <w:p w14:paraId="5CEA1DDB"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7.18</w:t>
                  </w:r>
                </w:p>
              </w:tc>
            </w:tr>
            <w:tr w:rsidR="00AE77D4" w:rsidRPr="00AE77D4" w14:paraId="125D0ED6" w14:textId="77777777" w:rsidTr="006176EC">
              <w:trPr>
                <w:trHeight w:val="233"/>
              </w:trPr>
              <w:tc>
                <w:tcPr>
                  <w:tcW w:w="1105" w:type="dxa"/>
                  <w:tcBorders>
                    <w:right w:val="single" w:sz="4" w:space="0" w:color="auto"/>
                  </w:tcBorders>
                  <w:shd w:val="clear" w:color="auto" w:fill="F2F2F2" w:themeFill="background1" w:themeFillShade="F2"/>
                </w:tcPr>
                <w:p w14:paraId="304EFEB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t xml:space="preserve">FORDIR </w:t>
                  </w:r>
                </w:p>
              </w:tc>
              <w:tc>
                <w:tcPr>
                  <w:tcW w:w="600" w:type="dxa"/>
                  <w:tcBorders>
                    <w:left w:val="single" w:sz="4" w:space="0" w:color="auto"/>
                  </w:tcBorders>
                  <w:shd w:val="clear" w:color="auto" w:fill="F2F2F2" w:themeFill="background1" w:themeFillShade="F2"/>
                </w:tcPr>
                <w:p w14:paraId="618EFEF5"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shd w:val="clear" w:color="auto" w:fill="F2F2F2" w:themeFill="background1" w:themeFillShade="F2"/>
                </w:tcPr>
                <w:p w14:paraId="45D7F19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70</w:t>
                  </w:r>
                </w:p>
              </w:tc>
              <w:tc>
                <w:tcPr>
                  <w:tcW w:w="672" w:type="dxa"/>
                  <w:shd w:val="clear" w:color="auto" w:fill="F2F2F2" w:themeFill="background1" w:themeFillShade="F2"/>
                </w:tcPr>
                <w:p w14:paraId="085C1FF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5.92</w:t>
                  </w:r>
                </w:p>
              </w:tc>
              <w:tc>
                <w:tcPr>
                  <w:tcW w:w="666" w:type="dxa"/>
                  <w:tcBorders>
                    <w:right w:val="single" w:sz="4" w:space="0" w:color="auto"/>
                  </w:tcBorders>
                  <w:shd w:val="clear" w:color="auto" w:fill="F2F2F2" w:themeFill="background1" w:themeFillShade="F2"/>
                </w:tcPr>
                <w:p w14:paraId="51435F6F"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16.53</w:t>
                  </w:r>
                </w:p>
              </w:tc>
              <w:tc>
                <w:tcPr>
                  <w:tcW w:w="600" w:type="dxa"/>
                  <w:tcBorders>
                    <w:left w:val="single" w:sz="4" w:space="0" w:color="auto"/>
                  </w:tcBorders>
                  <w:shd w:val="clear" w:color="auto" w:fill="F2F2F2" w:themeFill="background1" w:themeFillShade="F2"/>
                </w:tcPr>
                <w:p w14:paraId="20B10635"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shd w:val="clear" w:color="auto" w:fill="F2F2F2" w:themeFill="background1" w:themeFillShade="F2"/>
                </w:tcPr>
                <w:p w14:paraId="4247F3C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70</w:t>
                  </w:r>
                </w:p>
              </w:tc>
              <w:tc>
                <w:tcPr>
                  <w:tcW w:w="666" w:type="dxa"/>
                  <w:shd w:val="clear" w:color="auto" w:fill="F2F2F2" w:themeFill="background1" w:themeFillShade="F2"/>
                </w:tcPr>
                <w:p w14:paraId="5D5FC892"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6.10</w:t>
                  </w:r>
                </w:p>
              </w:tc>
              <w:tc>
                <w:tcPr>
                  <w:tcW w:w="666" w:type="dxa"/>
                  <w:tcBorders>
                    <w:right w:val="single" w:sz="4" w:space="0" w:color="auto"/>
                  </w:tcBorders>
                  <w:shd w:val="clear" w:color="auto" w:fill="F2F2F2" w:themeFill="background1" w:themeFillShade="F2"/>
                </w:tcPr>
                <w:p w14:paraId="3E9E7A7B"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16.77</w:t>
                  </w:r>
                </w:p>
              </w:tc>
              <w:tc>
                <w:tcPr>
                  <w:tcW w:w="600" w:type="dxa"/>
                  <w:tcBorders>
                    <w:left w:val="single" w:sz="4" w:space="0" w:color="auto"/>
                  </w:tcBorders>
                  <w:shd w:val="clear" w:color="auto" w:fill="F2F2F2" w:themeFill="background1" w:themeFillShade="F2"/>
                </w:tcPr>
                <w:p w14:paraId="60CD9AAC"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583" w:type="dxa"/>
                  <w:shd w:val="clear" w:color="auto" w:fill="F2F2F2" w:themeFill="background1" w:themeFillShade="F2"/>
                </w:tcPr>
                <w:p w14:paraId="4AB3981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70</w:t>
                  </w:r>
                </w:p>
              </w:tc>
              <w:tc>
                <w:tcPr>
                  <w:tcW w:w="672" w:type="dxa"/>
                  <w:shd w:val="clear" w:color="auto" w:fill="F2F2F2" w:themeFill="background1" w:themeFillShade="F2"/>
                </w:tcPr>
                <w:p w14:paraId="66DEA1DD"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5.74</w:t>
                  </w:r>
                </w:p>
              </w:tc>
              <w:tc>
                <w:tcPr>
                  <w:tcW w:w="666" w:type="dxa"/>
                  <w:shd w:val="clear" w:color="auto" w:fill="F2F2F2" w:themeFill="background1" w:themeFillShade="F2"/>
                </w:tcPr>
                <w:p w14:paraId="05F490A0"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16.30</w:t>
                  </w:r>
                </w:p>
              </w:tc>
            </w:tr>
            <w:tr w:rsidR="00AE77D4" w:rsidRPr="00AE77D4" w14:paraId="777FC085" w14:textId="77777777" w:rsidTr="006176EC">
              <w:trPr>
                <w:trHeight w:val="220"/>
              </w:trPr>
              <w:tc>
                <w:tcPr>
                  <w:tcW w:w="1105" w:type="dxa"/>
                  <w:tcBorders>
                    <w:right w:val="single" w:sz="4" w:space="0" w:color="auto"/>
                  </w:tcBorders>
                </w:tcPr>
                <w:p w14:paraId="170EF0E0"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t xml:space="preserve">GENDER </w:t>
                  </w:r>
                </w:p>
              </w:tc>
              <w:tc>
                <w:tcPr>
                  <w:tcW w:w="600" w:type="dxa"/>
                  <w:tcBorders>
                    <w:left w:val="single" w:sz="4" w:space="0" w:color="auto"/>
                  </w:tcBorders>
                </w:tcPr>
                <w:p w14:paraId="333B7FA4"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tcPr>
                <w:p w14:paraId="0C9C8E3F"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67</w:t>
                  </w:r>
                </w:p>
              </w:tc>
              <w:tc>
                <w:tcPr>
                  <w:tcW w:w="672" w:type="dxa"/>
                </w:tcPr>
                <w:p w14:paraId="6D09CE4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15.57</w:t>
                  </w:r>
                </w:p>
              </w:tc>
              <w:tc>
                <w:tcPr>
                  <w:tcW w:w="666" w:type="dxa"/>
                  <w:tcBorders>
                    <w:right w:val="single" w:sz="4" w:space="0" w:color="auto"/>
                  </w:tcBorders>
                </w:tcPr>
                <w:p w14:paraId="2C3BF10F"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15.52</w:t>
                  </w:r>
                </w:p>
              </w:tc>
              <w:tc>
                <w:tcPr>
                  <w:tcW w:w="600" w:type="dxa"/>
                  <w:tcBorders>
                    <w:left w:val="single" w:sz="4" w:space="0" w:color="auto"/>
                  </w:tcBorders>
                </w:tcPr>
                <w:p w14:paraId="129B8FD0"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tcPr>
                <w:p w14:paraId="74E8DD59"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67</w:t>
                  </w:r>
                </w:p>
              </w:tc>
              <w:tc>
                <w:tcPr>
                  <w:tcW w:w="666" w:type="dxa"/>
                </w:tcPr>
                <w:p w14:paraId="2480A7C7"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15.52</w:t>
                  </w:r>
                </w:p>
              </w:tc>
              <w:tc>
                <w:tcPr>
                  <w:tcW w:w="666" w:type="dxa"/>
                  <w:tcBorders>
                    <w:right w:val="single" w:sz="4" w:space="0" w:color="auto"/>
                  </w:tcBorders>
                </w:tcPr>
                <w:p w14:paraId="76B14E4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15.46</w:t>
                  </w:r>
                </w:p>
              </w:tc>
              <w:tc>
                <w:tcPr>
                  <w:tcW w:w="600" w:type="dxa"/>
                  <w:tcBorders>
                    <w:left w:val="single" w:sz="4" w:space="0" w:color="auto"/>
                  </w:tcBorders>
                </w:tcPr>
                <w:p w14:paraId="0B15544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583" w:type="dxa"/>
                </w:tcPr>
                <w:p w14:paraId="4C4F417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57</w:t>
                  </w:r>
                </w:p>
              </w:tc>
              <w:tc>
                <w:tcPr>
                  <w:tcW w:w="672" w:type="dxa"/>
                </w:tcPr>
                <w:p w14:paraId="178F8757"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15.62</w:t>
                  </w:r>
                </w:p>
              </w:tc>
              <w:tc>
                <w:tcPr>
                  <w:tcW w:w="666" w:type="dxa"/>
                </w:tcPr>
                <w:p w14:paraId="7847D9E9"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15.60</w:t>
                  </w:r>
                </w:p>
              </w:tc>
            </w:tr>
            <w:tr w:rsidR="00AE77D4" w:rsidRPr="00AE77D4" w14:paraId="4F57D7FD" w14:textId="77777777" w:rsidTr="006176EC">
              <w:trPr>
                <w:trHeight w:val="220"/>
              </w:trPr>
              <w:tc>
                <w:tcPr>
                  <w:tcW w:w="1105" w:type="dxa"/>
                  <w:tcBorders>
                    <w:right w:val="single" w:sz="4" w:space="0" w:color="auto"/>
                  </w:tcBorders>
                  <w:shd w:val="clear" w:color="auto" w:fill="F2F2F2" w:themeFill="background1" w:themeFillShade="F2"/>
                </w:tcPr>
                <w:p w14:paraId="7B09985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t xml:space="preserve">BOMEET </w:t>
                  </w:r>
                </w:p>
              </w:tc>
              <w:tc>
                <w:tcPr>
                  <w:tcW w:w="600" w:type="dxa"/>
                  <w:tcBorders>
                    <w:left w:val="single" w:sz="4" w:space="0" w:color="auto"/>
                  </w:tcBorders>
                  <w:shd w:val="clear" w:color="auto" w:fill="F2F2F2" w:themeFill="background1" w:themeFillShade="F2"/>
                </w:tcPr>
                <w:p w14:paraId="3A261C5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w:t>
                  </w:r>
                </w:p>
              </w:tc>
              <w:tc>
                <w:tcPr>
                  <w:tcW w:w="666" w:type="dxa"/>
                  <w:shd w:val="clear" w:color="auto" w:fill="F2F2F2" w:themeFill="background1" w:themeFillShade="F2"/>
                </w:tcPr>
                <w:p w14:paraId="631A349B"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30</w:t>
                  </w:r>
                </w:p>
              </w:tc>
              <w:tc>
                <w:tcPr>
                  <w:tcW w:w="672" w:type="dxa"/>
                  <w:shd w:val="clear" w:color="auto" w:fill="F2F2F2" w:themeFill="background1" w:themeFillShade="F2"/>
                </w:tcPr>
                <w:p w14:paraId="7F6119F0"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8.72</w:t>
                  </w:r>
                </w:p>
              </w:tc>
              <w:tc>
                <w:tcPr>
                  <w:tcW w:w="666" w:type="dxa"/>
                  <w:tcBorders>
                    <w:right w:val="single" w:sz="4" w:space="0" w:color="auto"/>
                  </w:tcBorders>
                  <w:shd w:val="clear" w:color="auto" w:fill="F2F2F2" w:themeFill="background1" w:themeFillShade="F2"/>
                </w:tcPr>
                <w:p w14:paraId="4B2D012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4.71</w:t>
                  </w:r>
                </w:p>
              </w:tc>
              <w:tc>
                <w:tcPr>
                  <w:tcW w:w="600" w:type="dxa"/>
                  <w:tcBorders>
                    <w:left w:val="single" w:sz="4" w:space="0" w:color="auto"/>
                  </w:tcBorders>
                  <w:shd w:val="clear" w:color="auto" w:fill="F2F2F2" w:themeFill="background1" w:themeFillShade="F2"/>
                </w:tcPr>
                <w:p w14:paraId="1891FD7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w:t>
                  </w:r>
                </w:p>
              </w:tc>
              <w:tc>
                <w:tcPr>
                  <w:tcW w:w="666" w:type="dxa"/>
                  <w:shd w:val="clear" w:color="auto" w:fill="F2F2F2" w:themeFill="background1" w:themeFillShade="F2"/>
                </w:tcPr>
                <w:p w14:paraId="33B5EFA9"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30</w:t>
                  </w:r>
                </w:p>
              </w:tc>
              <w:tc>
                <w:tcPr>
                  <w:tcW w:w="666" w:type="dxa"/>
                  <w:shd w:val="clear" w:color="auto" w:fill="F2F2F2" w:themeFill="background1" w:themeFillShade="F2"/>
                </w:tcPr>
                <w:p w14:paraId="65B80507"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8.73</w:t>
                  </w:r>
                </w:p>
              </w:tc>
              <w:tc>
                <w:tcPr>
                  <w:tcW w:w="666" w:type="dxa"/>
                  <w:tcBorders>
                    <w:right w:val="single" w:sz="4" w:space="0" w:color="auto"/>
                  </w:tcBorders>
                  <w:shd w:val="clear" w:color="auto" w:fill="F2F2F2" w:themeFill="background1" w:themeFillShade="F2"/>
                </w:tcPr>
                <w:p w14:paraId="5FA5C731"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4.75</w:t>
                  </w:r>
                </w:p>
              </w:tc>
              <w:tc>
                <w:tcPr>
                  <w:tcW w:w="600" w:type="dxa"/>
                  <w:tcBorders>
                    <w:left w:val="single" w:sz="4" w:space="0" w:color="auto"/>
                  </w:tcBorders>
                  <w:shd w:val="clear" w:color="auto" w:fill="F2F2F2" w:themeFill="background1" w:themeFillShade="F2"/>
                </w:tcPr>
                <w:p w14:paraId="75D780FC"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w:t>
                  </w:r>
                </w:p>
              </w:tc>
              <w:tc>
                <w:tcPr>
                  <w:tcW w:w="583" w:type="dxa"/>
                  <w:shd w:val="clear" w:color="auto" w:fill="F2F2F2" w:themeFill="background1" w:themeFillShade="F2"/>
                </w:tcPr>
                <w:p w14:paraId="677C29BF"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23</w:t>
                  </w:r>
                </w:p>
              </w:tc>
              <w:tc>
                <w:tcPr>
                  <w:tcW w:w="672" w:type="dxa"/>
                  <w:shd w:val="clear" w:color="auto" w:fill="F2F2F2" w:themeFill="background1" w:themeFillShade="F2"/>
                </w:tcPr>
                <w:p w14:paraId="215A7B4D"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8.71</w:t>
                  </w:r>
                </w:p>
              </w:tc>
              <w:tc>
                <w:tcPr>
                  <w:tcW w:w="666" w:type="dxa"/>
                  <w:shd w:val="clear" w:color="auto" w:fill="F2F2F2" w:themeFill="background1" w:themeFillShade="F2"/>
                </w:tcPr>
                <w:p w14:paraId="2738F691"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4.67</w:t>
                  </w:r>
                </w:p>
              </w:tc>
            </w:tr>
            <w:tr w:rsidR="00AE77D4" w:rsidRPr="00AE77D4" w14:paraId="5BDC44DA" w14:textId="77777777" w:rsidTr="006176EC">
              <w:trPr>
                <w:trHeight w:val="233"/>
              </w:trPr>
              <w:tc>
                <w:tcPr>
                  <w:tcW w:w="1105" w:type="dxa"/>
                  <w:tcBorders>
                    <w:right w:val="single" w:sz="4" w:space="0" w:color="auto"/>
                  </w:tcBorders>
                </w:tcPr>
                <w:p w14:paraId="7805F167"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t xml:space="preserve">DUALITY </w:t>
                  </w:r>
                </w:p>
              </w:tc>
              <w:tc>
                <w:tcPr>
                  <w:tcW w:w="600" w:type="dxa"/>
                  <w:tcBorders>
                    <w:left w:val="single" w:sz="4" w:space="0" w:color="auto"/>
                  </w:tcBorders>
                </w:tcPr>
                <w:p w14:paraId="170AFD39"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tcPr>
                <w:p w14:paraId="1BA1307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w:t>
                  </w:r>
                </w:p>
              </w:tc>
              <w:tc>
                <w:tcPr>
                  <w:tcW w:w="672" w:type="dxa"/>
                </w:tcPr>
                <w:p w14:paraId="11CD77B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0.01</w:t>
                  </w:r>
                </w:p>
              </w:tc>
              <w:tc>
                <w:tcPr>
                  <w:tcW w:w="666" w:type="dxa"/>
                  <w:tcBorders>
                    <w:right w:val="single" w:sz="4" w:space="0" w:color="auto"/>
                  </w:tcBorders>
                </w:tcPr>
                <w:p w14:paraId="12764E39"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0.10</w:t>
                  </w:r>
                </w:p>
              </w:tc>
              <w:tc>
                <w:tcPr>
                  <w:tcW w:w="600" w:type="dxa"/>
                  <w:tcBorders>
                    <w:left w:val="single" w:sz="4" w:space="0" w:color="auto"/>
                  </w:tcBorders>
                </w:tcPr>
                <w:p w14:paraId="5FA390A9"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tcPr>
                <w:p w14:paraId="20F186D4"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w:t>
                  </w:r>
                </w:p>
              </w:tc>
              <w:tc>
                <w:tcPr>
                  <w:tcW w:w="666" w:type="dxa"/>
                </w:tcPr>
                <w:p w14:paraId="6CCE27E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0.01</w:t>
                  </w:r>
                </w:p>
              </w:tc>
              <w:tc>
                <w:tcPr>
                  <w:tcW w:w="666" w:type="dxa"/>
                  <w:tcBorders>
                    <w:right w:val="single" w:sz="4" w:space="0" w:color="auto"/>
                  </w:tcBorders>
                </w:tcPr>
                <w:p w14:paraId="3BDE1EFD"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0.10</w:t>
                  </w:r>
                </w:p>
              </w:tc>
              <w:tc>
                <w:tcPr>
                  <w:tcW w:w="600" w:type="dxa"/>
                  <w:tcBorders>
                    <w:left w:val="single" w:sz="4" w:space="0" w:color="auto"/>
                  </w:tcBorders>
                </w:tcPr>
                <w:p w14:paraId="5357A7CD"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583" w:type="dxa"/>
                </w:tcPr>
                <w:p w14:paraId="64CD3FC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w:t>
                  </w:r>
                </w:p>
              </w:tc>
              <w:tc>
                <w:tcPr>
                  <w:tcW w:w="672" w:type="dxa"/>
                </w:tcPr>
                <w:p w14:paraId="3114D37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0.01</w:t>
                  </w:r>
                </w:p>
              </w:tc>
              <w:tc>
                <w:tcPr>
                  <w:tcW w:w="666" w:type="dxa"/>
                </w:tcPr>
                <w:p w14:paraId="07016715"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0.10</w:t>
                  </w:r>
                </w:p>
              </w:tc>
            </w:tr>
            <w:tr w:rsidR="00AE77D4" w:rsidRPr="00AE77D4" w14:paraId="0B51A5E9" w14:textId="77777777" w:rsidTr="006176EC">
              <w:trPr>
                <w:trHeight w:val="220"/>
              </w:trPr>
              <w:tc>
                <w:tcPr>
                  <w:tcW w:w="1105" w:type="dxa"/>
                  <w:tcBorders>
                    <w:right w:val="single" w:sz="4" w:space="0" w:color="auto"/>
                  </w:tcBorders>
                  <w:shd w:val="clear" w:color="auto" w:fill="F2F2F2" w:themeFill="background1" w:themeFillShade="F2"/>
                </w:tcPr>
                <w:p w14:paraId="2C4A5030" w14:textId="77777777" w:rsidR="00E04BD7" w:rsidRPr="00AE77D4" w:rsidRDefault="00661A05" w:rsidP="00AE77D4">
                  <w:pPr>
                    <w:spacing w:line="276" w:lineRule="auto"/>
                    <w:jc w:val="right"/>
                    <w:rPr>
                      <w:rFonts w:ascii="Times New Roman" w:eastAsia="Times New Roman" w:hAnsi="Times New Roman" w:cs="Times New Roman"/>
                      <w:sz w:val="20"/>
                      <w:szCs w:val="20"/>
                      <w:lang w:val="en-GB"/>
                    </w:rPr>
                  </w:pPr>
                  <w:r w:rsidRPr="00AE77D4">
                    <w:rPr>
                      <w:rFonts w:ascii="Times New Roman" w:eastAsia="Times New Roman" w:hAnsi="Times New Roman" w:cs="Times New Roman"/>
                      <w:sz w:val="20"/>
                      <w:szCs w:val="20"/>
                      <w:lang w:val="en-GB"/>
                    </w:rPr>
                    <w:t xml:space="preserve">ADCOM </w:t>
                  </w:r>
                </w:p>
              </w:tc>
              <w:tc>
                <w:tcPr>
                  <w:tcW w:w="600" w:type="dxa"/>
                  <w:tcBorders>
                    <w:left w:val="single" w:sz="4" w:space="0" w:color="auto"/>
                  </w:tcBorders>
                  <w:shd w:val="clear" w:color="auto" w:fill="F2F2F2" w:themeFill="background1" w:themeFillShade="F2"/>
                </w:tcPr>
                <w:p w14:paraId="39F317FB"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w:t>
                  </w:r>
                </w:p>
              </w:tc>
              <w:tc>
                <w:tcPr>
                  <w:tcW w:w="666" w:type="dxa"/>
                  <w:shd w:val="clear" w:color="auto" w:fill="F2F2F2" w:themeFill="background1" w:themeFillShade="F2"/>
                </w:tcPr>
                <w:p w14:paraId="3DEBCA2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7</w:t>
                  </w:r>
                </w:p>
              </w:tc>
              <w:tc>
                <w:tcPr>
                  <w:tcW w:w="672" w:type="dxa"/>
                  <w:shd w:val="clear" w:color="auto" w:fill="F2F2F2" w:themeFill="background1" w:themeFillShade="F2"/>
                </w:tcPr>
                <w:p w14:paraId="19B72F6F"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3.80</w:t>
                  </w:r>
                </w:p>
              </w:tc>
              <w:tc>
                <w:tcPr>
                  <w:tcW w:w="666" w:type="dxa"/>
                  <w:tcBorders>
                    <w:right w:val="single" w:sz="4" w:space="0" w:color="auto"/>
                  </w:tcBorders>
                  <w:shd w:val="clear" w:color="auto" w:fill="F2F2F2" w:themeFill="background1" w:themeFillShade="F2"/>
                </w:tcPr>
                <w:p w14:paraId="23A37311"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0.83</w:t>
                  </w:r>
                </w:p>
              </w:tc>
              <w:tc>
                <w:tcPr>
                  <w:tcW w:w="600" w:type="dxa"/>
                  <w:tcBorders>
                    <w:left w:val="single" w:sz="4" w:space="0" w:color="auto"/>
                  </w:tcBorders>
                  <w:shd w:val="clear" w:color="auto" w:fill="F2F2F2" w:themeFill="background1" w:themeFillShade="F2"/>
                </w:tcPr>
                <w:p w14:paraId="5082206D"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2</w:t>
                  </w:r>
                </w:p>
              </w:tc>
              <w:tc>
                <w:tcPr>
                  <w:tcW w:w="666" w:type="dxa"/>
                  <w:shd w:val="clear" w:color="auto" w:fill="F2F2F2" w:themeFill="background1" w:themeFillShade="F2"/>
                </w:tcPr>
                <w:p w14:paraId="2B22D9D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7</w:t>
                  </w:r>
                </w:p>
              </w:tc>
              <w:tc>
                <w:tcPr>
                  <w:tcW w:w="666" w:type="dxa"/>
                  <w:shd w:val="clear" w:color="auto" w:fill="F2F2F2" w:themeFill="background1" w:themeFillShade="F2"/>
                </w:tcPr>
                <w:p w14:paraId="730C5B61"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3.81</w:t>
                  </w:r>
                </w:p>
              </w:tc>
              <w:tc>
                <w:tcPr>
                  <w:tcW w:w="666" w:type="dxa"/>
                  <w:tcBorders>
                    <w:right w:val="single" w:sz="4" w:space="0" w:color="auto"/>
                  </w:tcBorders>
                  <w:shd w:val="clear" w:color="auto" w:fill="F2F2F2" w:themeFill="background1" w:themeFillShade="F2"/>
                </w:tcPr>
                <w:p w14:paraId="3C1A9A9D"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0.88</w:t>
                  </w:r>
                </w:p>
              </w:tc>
              <w:tc>
                <w:tcPr>
                  <w:tcW w:w="600" w:type="dxa"/>
                  <w:tcBorders>
                    <w:left w:val="single" w:sz="4" w:space="0" w:color="auto"/>
                  </w:tcBorders>
                  <w:shd w:val="clear" w:color="auto" w:fill="F2F2F2" w:themeFill="background1" w:themeFillShade="F2"/>
                </w:tcPr>
                <w:p w14:paraId="63AA54F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3</w:t>
                  </w:r>
                </w:p>
              </w:tc>
              <w:tc>
                <w:tcPr>
                  <w:tcW w:w="583" w:type="dxa"/>
                  <w:shd w:val="clear" w:color="auto" w:fill="F2F2F2" w:themeFill="background1" w:themeFillShade="F2"/>
                </w:tcPr>
                <w:p w14:paraId="188AA96E"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6</w:t>
                  </w:r>
                </w:p>
              </w:tc>
              <w:tc>
                <w:tcPr>
                  <w:tcW w:w="672" w:type="dxa"/>
                  <w:shd w:val="clear" w:color="auto" w:fill="F2F2F2" w:themeFill="background1" w:themeFillShade="F2"/>
                </w:tcPr>
                <w:p w14:paraId="1A9293B1"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3.78</w:t>
                  </w:r>
                </w:p>
              </w:tc>
              <w:tc>
                <w:tcPr>
                  <w:tcW w:w="666" w:type="dxa"/>
                  <w:shd w:val="clear" w:color="auto" w:fill="F2F2F2" w:themeFill="background1" w:themeFillShade="F2"/>
                </w:tcPr>
                <w:p w14:paraId="04389FA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0.78</w:t>
                  </w:r>
                </w:p>
              </w:tc>
            </w:tr>
            <w:tr w:rsidR="00AE77D4" w:rsidRPr="00AE77D4" w14:paraId="5EBFFC25" w14:textId="77777777" w:rsidTr="006176EC">
              <w:trPr>
                <w:trHeight w:val="220"/>
              </w:trPr>
              <w:tc>
                <w:tcPr>
                  <w:tcW w:w="1105" w:type="dxa"/>
                  <w:tcBorders>
                    <w:right w:val="single" w:sz="4" w:space="0" w:color="auto"/>
                  </w:tcBorders>
                  <w:shd w:val="clear" w:color="auto" w:fill="FFFFFF" w:themeFill="background1"/>
                </w:tcPr>
                <w:p w14:paraId="56567FC2" w14:textId="77777777" w:rsidR="00E04BD7" w:rsidRPr="00AE77D4" w:rsidRDefault="00661A05" w:rsidP="00AE77D4">
                  <w:pPr>
                    <w:spacing w:line="276" w:lineRule="auto"/>
                    <w:jc w:val="right"/>
                    <w:rPr>
                      <w:rFonts w:ascii="Times New Roman" w:eastAsia="Times New Roman" w:hAnsi="Times New Roman" w:cs="Times New Roman"/>
                      <w:sz w:val="20"/>
                      <w:szCs w:val="20"/>
                      <w:lang w:val="en-GB"/>
                    </w:rPr>
                  </w:pPr>
                  <w:r w:rsidRPr="00AE77D4">
                    <w:rPr>
                      <w:rFonts w:ascii="Times New Roman" w:eastAsia="Times New Roman" w:hAnsi="Times New Roman" w:cs="Times New Roman"/>
                      <w:sz w:val="20"/>
                      <w:szCs w:val="20"/>
                      <w:lang w:val="en-GB"/>
                    </w:rPr>
                    <w:t>SIZE</w:t>
                  </w:r>
                </w:p>
              </w:tc>
              <w:tc>
                <w:tcPr>
                  <w:tcW w:w="600" w:type="dxa"/>
                  <w:tcBorders>
                    <w:left w:val="single" w:sz="4" w:space="0" w:color="auto"/>
                  </w:tcBorders>
                  <w:shd w:val="clear" w:color="auto" w:fill="FFFFFF" w:themeFill="background1"/>
                </w:tcPr>
                <w:p w14:paraId="4F702472"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0.15</w:t>
                  </w:r>
                </w:p>
              </w:tc>
              <w:tc>
                <w:tcPr>
                  <w:tcW w:w="666" w:type="dxa"/>
                  <w:shd w:val="clear" w:color="auto" w:fill="FFFFFF" w:themeFill="background1"/>
                </w:tcPr>
                <w:p w14:paraId="1C3303A1"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508</w:t>
                  </w:r>
                </w:p>
              </w:tc>
              <w:tc>
                <w:tcPr>
                  <w:tcW w:w="672" w:type="dxa"/>
                  <w:shd w:val="clear" w:color="auto" w:fill="FFFFFF" w:themeFill="background1"/>
                </w:tcPr>
                <w:p w14:paraId="6C1F05A3"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58.58</w:t>
                  </w:r>
                </w:p>
              </w:tc>
              <w:tc>
                <w:tcPr>
                  <w:tcW w:w="666" w:type="dxa"/>
                  <w:tcBorders>
                    <w:right w:val="single" w:sz="4" w:space="0" w:color="auto"/>
                  </w:tcBorders>
                  <w:shd w:val="clear" w:color="auto" w:fill="FFFFFF" w:themeFill="background1"/>
                </w:tcPr>
                <w:p w14:paraId="7D28295C"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66.70</w:t>
                  </w:r>
                </w:p>
              </w:tc>
              <w:tc>
                <w:tcPr>
                  <w:tcW w:w="600" w:type="dxa"/>
                  <w:tcBorders>
                    <w:left w:val="single" w:sz="4" w:space="0" w:color="auto"/>
                  </w:tcBorders>
                  <w:shd w:val="clear" w:color="auto" w:fill="FFFFFF" w:themeFill="background1"/>
                </w:tcPr>
                <w:p w14:paraId="08C7A4E3"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4.3</w:t>
                  </w:r>
                </w:p>
              </w:tc>
              <w:tc>
                <w:tcPr>
                  <w:tcW w:w="666" w:type="dxa"/>
                  <w:shd w:val="clear" w:color="auto" w:fill="FFFFFF" w:themeFill="background1"/>
                </w:tcPr>
                <w:p w14:paraId="6E0D52AF"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508</w:t>
                  </w:r>
                </w:p>
              </w:tc>
              <w:tc>
                <w:tcPr>
                  <w:tcW w:w="666" w:type="dxa"/>
                  <w:shd w:val="clear" w:color="auto" w:fill="FFFFFF" w:themeFill="background1"/>
                </w:tcPr>
                <w:p w14:paraId="1029E29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57</w:t>
                  </w:r>
                </w:p>
              </w:tc>
              <w:tc>
                <w:tcPr>
                  <w:tcW w:w="666" w:type="dxa"/>
                  <w:tcBorders>
                    <w:right w:val="single" w:sz="4" w:space="0" w:color="auto"/>
                  </w:tcBorders>
                  <w:shd w:val="clear" w:color="auto" w:fill="FFFFFF" w:themeFill="background1"/>
                </w:tcPr>
                <w:p w14:paraId="31E65442"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68</w:t>
                  </w:r>
                </w:p>
              </w:tc>
              <w:tc>
                <w:tcPr>
                  <w:tcW w:w="600" w:type="dxa"/>
                  <w:tcBorders>
                    <w:left w:val="single" w:sz="4" w:space="0" w:color="auto"/>
                  </w:tcBorders>
                  <w:shd w:val="clear" w:color="auto" w:fill="FFFFFF" w:themeFill="background1"/>
                </w:tcPr>
                <w:p w14:paraId="6C3B318E"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0.15</w:t>
                  </w:r>
                </w:p>
              </w:tc>
              <w:tc>
                <w:tcPr>
                  <w:tcW w:w="583" w:type="dxa"/>
                  <w:shd w:val="clear" w:color="auto" w:fill="FFFFFF" w:themeFill="background1"/>
                </w:tcPr>
                <w:p w14:paraId="35E8FCA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395</w:t>
                  </w:r>
                </w:p>
              </w:tc>
              <w:tc>
                <w:tcPr>
                  <w:tcW w:w="672" w:type="dxa"/>
                  <w:shd w:val="clear" w:color="auto" w:fill="FFFFFF" w:themeFill="background1"/>
                </w:tcPr>
                <w:p w14:paraId="4631C4C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59</w:t>
                  </w:r>
                </w:p>
              </w:tc>
              <w:tc>
                <w:tcPr>
                  <w:tcW w:w="666" w:type="dxa"/>
                  <w:shd w:val="clear" w:color="auto" w:fill="FFFFFF" w:themeFill="background1"/>
                </w:tcPr>
                <w:p w14:paraId="7E56B08D"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65</w:t>
                  </w:r>
                </w:p>
              </w:tc>
            </w:tr>
            <w:tr w:rsidR="00AE77D4" w:rsidRPr="00AE77D4" w14:paraId="07C65A50" w14:textId="77777777" w:rsidTr="006176EC">
              <w:trPr>
                <w:trHeight w:val="220"/>
              </w:trPr>
              <w:tc>
                <w:tcPr>
                  <w:tcW w:w="1105" w:type="dxa"/>
                  <w:tcBorders>
                    <w:right w:val="single" w:sz="4" w:space="0" w:color="auto"/>
                  </w:tcBorders>
                  <w:shd w:val="clear" w:color="auto" w:fill="F2F2F2" w:themeFill="background1" w:themeFillShade="F2"/>
                </w:tcPr>
                <w:p w14:paraId="0638F914" w14:textId="77777777" w:rsidR="00E04BD7" w:rsidRPr="00AE77D4" w:rsidRDefault="00661A05" w:rsidP="00AE77D4">
                  <w:pPr>
                    <w:spacing w:line="276" w:lineRule="auto"/>
                    <w:jc w:val="right"/>
                    <w:rPr>
                      <w:rFonts w:ascii="Times New Roman" w:eastAsia="Times New Roman" w:hAnsi="Times New Roman" w:cs="Times New Roman"/>
                      <w:sz w:val="20"/>
                      <w:szCs w:val="20"/>
                      <w:lang w:val="en-GB"/>
                    </w:rPr>
                  </w:pPr>
                  <w:r w:rsidRPr="00AE77D4">
                    <w:rPr>
                      <w:rFonts w:ascii="Times New Roman" w:eastAsia="Times New Roman" w:hAnsi="Times New Roman" w:cs="Times New Roman"/>
                      <w:sz w:val="20"/>
                      <w:szCs w:val="20"/>
                      <w:lang w:val="en-GB"/>
                    </w:rPr>
                    <w:t>ROA</w:t>
                  </w:r>
                </w:p>
              </w:tc>
              <w:tc>
                <w:tcPr>
                  <w:tcW w:w="600" w:type="dxa"/>
                  <w:tcBorders>
                    <w:left w:val="single" w:sz="4" w:space="0" w:color="auto"/>
                  </w:tcBorders>
                  <w:shd w:val="clear" w:color="auto" w:fill="F2F2F2" w:themeFill="background1" w:themeFillShade="F2"/>
                </w:tcPr>
                <w:p w14:paraId="52B81B61"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-4.1</w:t>
                  </w:r>
                </w:p>
              </w:tc>
              <w:tc>
                <w:tcPr>
                  <w:tcW w:w="666" w:type="dxa"/>
                  <w:shd w:val="clear" w:color="auto" w:fill="F2F2F2" w:themeFill="background1" w:themeFillShade="F2"/>
                </w:tcPr>
                <w:p w14:paraId="7BFF2B08"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11.45</w:t>
                  </w:r>
                </w:p>
              </w:tc>
              <w:tc>
                <w:tcPr>
                  <w:tcW w:w="672" w:type="dxa"/>
                  <w:shd w:val="clear" w:color="auto" w:fill="F2F2F2" w:themeFill="background1" w:themeFillShade="F2"/>
                </w:tcPr>
                <w:p w14:paraId="0722C719"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0.1</w:t>
                  </w:r>
                </w:p>
              </w:tc>
              <w:tc>
                <w:tcPr>
                  <w:tcW w:w="666" w:type="dxa"/>
                  <w:tcBorders>
                    <w:right w:val="single" w:sz="4" w:space="0" w:color="auto"/>
                  </w:tcBorders>
                  <w:shd w:val="clear" w:color="auto" w:fill="F2F2F2" w:themeFill="background1" w:themeFillShade="F2"/>
                </w:tcPr>
                <w:p w14:paraId="5C3CC0DA"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0.53</w:t>
                  </w:r>
                </w:p>
              </w:tc>
              <w:tc>
                <w:tcPr>
                  <w:tcW w:w="600" w:type="dxa"/>
                  <w:tcBorders>
                    <w:left w:val="single" w:sz="4" w:space="0" w:color="auto"/>
                  </w:tcBorders>
                  <w:shd w:val="clear" w:color="auto" w:fill="F2F2F2" w:themeFill="background1" w:themeFillShade="F2"/>
                </w:tcPr>
                <w:p w14:paraId="21BF62EF"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-.16</w:t>
                  </w:r>
                </w:p>
              </w:tc>
              <w:tc>
                <w:tcPr>
                  <w:tcW w:w="666" w:type="dxa"/>
                  <w:shd w:val="clear" w:color="auto" w:fill="F2F2F2" w:themeFill="background1" w:themeFillShade="F2"/>
                </w:tcPr>
                <w:p w14:paraId="46432857"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11.45</w:t>
                  </w:r>
                </w:p>
              </w:tc>
              <w:tc>
                <w:tcPr>
                  <w:tcW w:w="666" w:type="dxa"/>
                  <w:shd w:val="clear" w:color="auto" w:fill="F2F2F2" w:themeFill="background1" w:themeFillShade="F2"/>
                </w:tcPr>
                <w:p w14:paraId="196F7051"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0.14</w:t>
                  </w:r>
                </w:p>
              </w:tc>
              <w:tc>
                <w:tcPr>
                  <w:tcW w:w="666" w:type="dxa"/>
                  <w:tcBorders>
                    <w:right w:val="single" w:sz="4" w:space="0" w:color="auto"/>
                  </w:tcBorders>
                  <w:shd w:val="clear" w:color="auto" w:fill="F2F2F2" w:themeFill="background1" w:themeFillShade="F2"/>
                </w:tcPr>
                <w:p w14:paraId="63349DAE"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0.71</w:t>
                  </w:r>
                </w:p>
              </w:tc>
              <w:tc>
                <w:tcPr>
                  <w:tcW w:w="600" w:type="dxa"/>
                  <w:tcBorders>
                    <w:left w:val="single" w:sz="4" w:space="0" w:color="auto"/>
                  </w:tcBorders>
                  <w:shd w:val="clear" w:color="auto" w:fill="F2F2F2" w:themeFill="background1" w:themeFillShade="F2"/>
                </w:tcPr>
                <w:p w14:paraId="7491F64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w:t>
                  </w:r>
                </w:p>
              </w:tc>
              <w:tc>
                <w:tcPr>
                  <w:tcW w:w="583" w:type="dxa"/>
                  <w:shd w:val="clear" w:color="auto" w:fill="F2F2F2" w:themeFill="background1" w:themeFillShade="F2"/>
                </w:tcPr>
                <w:p w14:paraId="1EA1C202"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0.8</w:t>
                  </w:r>
                </w:p>
              </w:tc>
              <w:tc>
                <w:tcPr>
                  <w:tcW w:w="672" w:type="dxa"/>
                  <w:shd w:val="clear" w:color="auto" w:fill="F2F2F2" w:themeFill="background1" w:themeFillShade="F2"/>
                </w:tcPr>
                <w:p w14:paraId="3E9C93D4"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0.05</w:t>
                  </w:r>
                </w:p>
              </w:tc>
              <w:tc>
                <w:tcPr>
                  <w:tcW w:w="666" w:type="dxa"/>
                  <w:shd w:val="clear" w:color="auto" w:fill="F2F2F2" w:themeFill="background1" w:themeFillShade="F2"/>
                </w:tcPr>
                <w:p w14:paraId="17E0025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0.23</w:t>
                  </w:r>
                </w:p>
              </w:tc>
            </w:tr>
            <w:tr w:rsidR="00AE77D4" w:rsidRPr="00AE77D4" w14:paraId="30FA6E11" w14:textId="77777777" w:rsidTr="006176EC">
              <w:trPr>
                <w:trHeight w:val="220"/>
              </w:trPr>
              <w:tc>
                <w:tcPr>
                  <w:tcW w:w="1105" w:type="dxa"/>
                  <w:tcBorders>
                    <w:right w:val="single" w:sz="4" w:space="0" w:color="auto"/>
                  </w:tcBorders>
                  <w:shd w:val="clear" w:color="auto" w:fill="FFFFFF" w:themeFill="background1"/>
                </w:tcPr>
                <w:p w14:paraId="5F8363F6" w14:textId="77777777" w:rsidR="00E04BD7" w:rsidRPr="00AE77D4" w:rsidRDefault="00661A05" w:rsidP="00AE77D4">
                  <w:pPr>
                    <w:spacing w:line="276" w:lineRule="auto"/>
                    <w:jc w:val="right"/>
                    <w:rPr>
                      <w:rFonts w:ascii="Times New Roman" w:eastAsia="Times New Roman" w:hAnsi="Times New Roman" w:cs="Times New Roman"/>
                      <w:sz w:val="20"/>
                      <w:szCs w:val="20"/>
                      <w:lang w:val="en-GB"/>
                    </w:rPr>
                  </w:pPr>
                  <w:r w:rsidRPr="00AE77D4">
                    <w:rPr>
                      <w:rFonts w:ascii="Times New Roman" w:eastAsia="Times New Roman" w:hAnsi="Times New Roman" w:cs="Times New Roman"/>
                      <w:sz w:val="20"/>
                      <w:szCs w:val="20"/>
                      <w:lang w:val="en-GB"/>
                    </w:rPr>
                    <w:t>LEV</w:t>
                  </w:r>
                </w:p>
              </w:tc>
              <w:tc>
                <w:tcPr>
                  <w:tcW w:w="600" w:type="dxa"/>
                  <w:tcBorders>
                    <w:left w:val="single" w:sz="4" w:space="0" w:color="auto"/>
                  </w:tcBorders>
                  <w:shd w:val="clear" w:color="auto" w:fill="FFFFFF" w:themeFill="background1"/>
                </w:tcPr>
                <w:p w14:paraId="4E9EB759"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shd w:val="clear" w:color="auto" w:fill="FFFFFF" w:themeFill="background1"/>
                </w:tcPr>
                <w:p w14:paraId="39ECA92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11.86</w:t>
                  </w:r>
                </w:p>
              </w:tc>
              <w:tc>
                <w:tcPr>
                  <w:tcW w:w="672" w:type="dxa"/>
                  <w:shd w:val="clear" w:color="auto" w:fill="FFFFFF" w:themeFill="background1"/>
                </w:tcPr>
                <w:p w14:paraId="4721EC26"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0.29</w:t>
                  </w:r>
                </w:p>
              </w:tc>
              <w:tc>
                <w:tcPr>
                  <w:tcW w:w="666" w:type="dxa"/>
                  <w:tcBorders>
                    <w:right w:val="single" w:sz="4" w:space="0" w:color="auto"/>
                  </w:tcBorders>
                  <w:shd w:val="clear" w:color="auto" w:fill="FFFFFF" w:themeFill="background1"/>
                </w:tcPr>
                <w:p w14:paraId="7B6D435F"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0.78</w:t>
                  </w:r>
                </w:p>
              </w:tc>
              <w:tc>
                <w:tcPr>
                  <w:tcW w:w="600" w:type="dxa"/>
                  <w:tcBorders>
                    <w:left w:val="single" w:sz="4" w:space="0" w:color="auto"/>
                  </w:tcBorders>
                  <w:shd w:val="clear" w:color="auto" w:fill="FFFFFF" w:themeFill="background1"/>
                </w:tcPr>
                <w:p w14:paraId="29BE7DFD"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666" w:type="dxa"/>
                  <w:shd w:val="clear" w:color="auto" w:fill="FFFFFF" w:themeFill="background1"/>
                </w:tcPr>
                <w:p w14:paraId="0BF40ABC"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11.86</w:t>
                  </w:r>
                </w:p>
              </w:tc>
              <w:tc>
                <w:tcPr>
                  <w:tcW w:w="666" w:type="dxa"/>
                  <w:shd w:val="clear" w:color="auto" w:fill="FFFFFF" w:themeFill="background1"/>
                </w:tcPr>
                <w:p w14:paraId="2C4C8E23"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0.33</w:t>
                  </w:r>
                </w:p>
              </w:tc>
              <w:tc>
                <w:tcPr>
                  <w:tcW w:w="666" w:type="dxa"/>
                  <w:tcBorders>
                    <w:right w:val="single" w:sz="4" w:space="0" w:color="auto"/>
                  </w:tcBorders>
                  <w:shd w:val="clear" w:color="auto" w:fill="FFFFFF" w:themeFill="background1"/>
                </w:tcPr>
                <w:p w14:paraId="0FF5A544"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1.02</w:t>
                  </w:r>
                </w:p>
              </w:tc>
              <w:tc>
                <w:tcPr>
                  <w:tcW w:w="600" w:type="dxa"/>
                  <w:tcBorders>
                    <w:left w:val="single" w:sz="4" w:space="0" w:color="auto"/>
                  </w:tcBorders>
                  <w:shd w:val="clear" w:color="auto" w:fill="FFFFFF" w:themeFill="background1"/>
                </w:tcPr>
                <w:p w14:paraId="5DD1DF4B"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583" w:type="dxa"/>
                  <w:shd w:val="clear" w:color="auto" w:fill="FFFFFF" w:themeFill="background1"/>
                </w:tcPr>
                <w:p w14:paraId="577025EC"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4.5</w:t>
                  </w:r>
                </w:p>
              </w:tc>
              <w:tc>
                <w:tcPr>
                  <w:tcW w:w="672" w:type="dxa"/>
                  <w:shd w:val="clear" w:color="auto" w:fill="FFFFFF" w:themeFill="background1"/>
                </w:tcPr>
                <w:p w14:paraId="046BBB3C"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0.24</w:t>
                  </w:r>
                </w:p>
              </w:tc>
              <w:tc>
                <w:tcPr>
                  <w:tcW w:w="666" w:type="dxa"/>
                  <w:shd w:val="clear" w:color="auto" w:fill="FFFFFF" w:themeFill="background1"/>
                </w:tcPr>
                <w:p w14:paraId="33FAA0E0" w14:textId="77777777" w:rsidR="00E04BD7" w:rsidRPr="00AE77D4" w:rsidRDefault="00661A05" w:rsidP="00AE77D4">
                  <w:pPr>
                    <w:spacing w:line="276" w:lineRule="auto"/>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0.4</w:t>
                  </w:r>
                </w:p>
              </w:tc>
            </w:tr>
          </w:tbl>
          <w:p w14:paraId="5D33482D" w14:textId="77777777" w:rsidR="00B57302" w:rsidRPr="00AE77D4" w:rsidRDefault="00B57302" w:rsidP="00AE77D4">
            <w:pPr>
              <w:spacing w:line="276" w:lineRule="auto"/>
              <w:rPr>
                <w:rFonts w:ascii="Times New Roman" w:hAnsi="Times New Roman" w:cs="Times New Roman"/>
                <w:sz w:val="24"/>
                <w:szCs w:val="24"/>
                <w:lang w:val="en-GB"/>
              </w:rPr>
            </w:pPr>
          </w:p>
        </w:tc>
      </w:tr>
      <w:tr w:rsidR="00AB775B" w:rsidRPr="00AE77D4" w14:paraId="3A8FE265" w14:textId="77777777" w:rsidTr="00A25231">
        <w:trPr>
          <w:trHeight w:val="80"/>
        </w:trPr>
        <w:tc>
          <w:tcPr>
            <w:tcW w:w="9280" w:type="dxa"/>
          </w:tcPr>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1333"/>
              <w:gridCol w:w="1130"/>
              <w:gridCol w:w="1359"/>
              <w:gridCol w:w="816"/>
              <w:gridCol w:w="1177"/>
            </w:tblGrid>
            <w:tr w:rsidR="00AE77D4" w:rsidRPr="00AE77D4" w14:paraId="6CC23EE4" w14:textId="77777777" w:rsidTr="00A25231">
              <w:trPr>
                <w:trHeight w:val="226"/>
              </w:trPr>
              <w:tc>
                <w:tcPr>
                  <w:tcW w:w="5712" w:type="dxa"/>
                  <w:gridSpan w:val="3"/>
                </w:tcPr>
                <w:p w14:paraId="5EAE9A67" w14:textId="77777777" w:rsidR="005437AF" w:rsidRPr="00AE77D4" w:rsidRDefault="005437AF" w:rsidP="00AE77D4">
                  <w:pPr>
                    <w:spacing w:line="276" w:lineRule="auto"/>
                    <w:rPr>
                      <w:rFonts w:ascii="Times New Roman" w:hAnsi="Times New Roman" w:cs="Times New Roman"/>
                      <w:sz w:val="20"/>
                      <w:szCs w:val="16"/>
                      <w:lang w:val="en-GB"/>
                    </w:rPr>
                  </w:pPr>
                </w:p>
                <w:p w14:paraId="2EE68CD6" w14:textId="67706A65"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t>Panel B Industry-wise descriptive statistics</w:t>
                  </w:r>
                </w:p>
              </w:tc>
              <w:tc>
                <w:tcPr>
                  <w:tcW w:w="1359" w:type="dxa"/>
                </w:tcPr>
                <w:p w14:paraId="5DB5AC02" w14:textId="77777777" w:rsidR="00B57302" w:rsidRPr="00AE77D4" w:rsidRDefault="00B57302" w:rsidP="00AE77D4">
                  <w:pPr>
                    <w:spacing w:line="276" w:lineRule="auto"/>
                    <w:rPr>
                      <w:rFonts w:ascii="Times New Roman" w:hAnsi="Times New Roman" w:cs="Times New Roman"/>
                      <w:sz w:val="20"/>
                      <w:szCs w:val="20"/>
                      <w:lang w:val="en-GB"/>
                    </w:rPr>
                  </w:pPr>
                </w:p>
              </w:tc>
              <w:tc>
                <w:tcPr>
                  <w:tcW w:w="816" w:type="dxa"/>
                </w:tcPr>
                <w:p w14:paraId="1D94A065" w14:textId="77777777" w:rsidR="00B57302" w:rsidRPr="00AE77D4" w:rsidRDefault="00B57302" w:rsidP="00AE77D4">
                  <w:pPr>
                    <w:spacing w:line="276" w:lineRule="auto"/>
                    <w:rPr>
                      <w:rFonts w:ascii="Times New Roman" w:hAnsi="Times New Roman" w:cs="Times New Roman"/>
                      <w:sz w:val="20"/>
                      <w:szCs w:val="20"/>
                      <w:lang w:val="en-GB"/>
                    </w:rPr>
                  </w:pPr>
                </w:p>
              </w:tc>
              <w:tc>
                <w:tcPr>
                  <w:tcW w:w="1177" w:type="dxa"/>
                </w:tcPr>
                <w:p w14:paraId="69DA0A19" w14:textId="77777777" w:rsidR="00B57302" w:rsidRPr="00AE77D4" w:rsidRDefault="00B57302" w:rsidP="00AE77D4">
                  <w:pPr>
                    <w:spacing w:line="276" w:lineRule="auto"/>
                    <w:rPr>
                      <w:rFonts w:ascii="Times New Roman" w:hAnsi="Times New Roman" w:cs="Times New Roman"/>
                      <w:sz w:val="20"/>
                      <w:szCs w:val="20"/>
                      <w:lang w:val="en-GB"/>
                    </w:rPr>
                  </w:pPr>
                </w:p>
              </w:tc>
            </w:tr>
            <w:tr w:rsidR="00AE77D4" w:rsidRPr="00AE77D4" w14:paraId="54C63643" w14:textId="77777777" w:rsidTr="005437AF">
              <w:trPr>
                <w:trHeight w:val="238"/>
              </w:trPr>
              <w:tc>
                <w:tcPr>
                  <w:tcW w:w="3249" w:type="dxa"/>
                  <w:shd w:val="clear" w:color="auto" w:fill="F2F2F2" w:themeFill="background1" w:themeFillShade="F2"/>
                </w:tcPr>
                <w:p w14:paraId="72F39A8D"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Industries</w:t>
                  </w:r>
                </w:p>
              </w:tc>
              <w:tc>
                <w:tcPr>
                  <w:tcW w:w="1333" w:type="dxa"/>
                  <w:shd w:val="clear" w:color="auto" w:fill="F2F2F2" w:themeFill="background1" w:themeFillShade="F2"/>
                </w:tcPr>
                <w:p w14:paraId="067CF874"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t>Observations</w:t>
                  </w:r>
                </w:p>
              </w:tc>
              <w:tc>
                <w:tcPr>
                  <w:tcW w:w="1130" w:type="dxa"/>
                  <w:shd w:val="clear" w:color="auto" w:fill="F2F2F2" w:themeFill="background1" w:themeFillShade="F2"/>
                </w:tcPr>
                <w:p w14:paraId="03543CE8"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Minimum</w:t>
                  </w:r>
                </w:p>
              </w:tc>
              <w:tc>
                <w:tcPr>
                  <w:tcW w:w="1359" w:type="dxa"/>
                  <w:shd w:val="clear" w:color="auto" w:fill="F2F2F2" w:themeFill="background1" w:themeFillShade="F2"/>
                </w:tcPr>
                <w:p w14:paraId="51B13DB0"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Maximum</w:t>
                  </w:r>
                </w:p>
              </w:tc>
              <w:tc>
                <w:tcPr>
                  <w:tcW w:w="816" w:type="dxa"/>
                  <w:shd w:val="clear" w:color="auto" w:fill="F2F2F2" w:themeFill="background1" w:themeFillShade="F2"/>
                </w:tcPr>
                <w:p w14:paraId="179865A1"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Mean</w:t>
                  </w:r>
                </w:p>
              </w:tc>
              <w:tc>
                <w:tcPr>
                  <w:tcW w:w="1177" w:type="dxa"/>
                  <w:shd w:val="clear" w:color="auto" w:fill="F2F2F2" w:themeFill="background1" w:themeFillShade="F2"/>
                </w:tcPr>
                <w:p w14:paraId="4C7F900E" w14:textId="59AAE930"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Std. Dev.</w:t>
                  </w:r>
                </w:p>
              </w:tc>
            </w:tr>
            <w:tr w:rsidR="00AE77D4" w:rsidRPr="00AE77D4" w14:paraId="5B01A5D7" w14:textId="77777777" w:rsidTr="00B10070">
              <w:trPr>
                <w:trHeight w:val="239"/>
              </w:trPr>
              <w:tc>
                <w:tcPr>
                  <w:tcW w:w="3249" w:type="dxa"/>
                  <w:shd w:val="clear" w:color="auto" w:fill="FFFFFF" w:themeFill="background1"/>
                </w:tcPr>
                <w:p w14:paraId="531C85A0"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Cement</w:t>
                  </w:r>
                </w:p>
              </w:tc>
              <w:tc>
                <w:tcPr>
                  <w:tcW w:w="1333" w:type="dxa"/>
                  <w:shd w:val="clear" w:color="auto" w:fill="FFFFFF" w:themeFill="background1"/>
                  <w:vAlign w:val="bottom"/>
                </w:tcPr>
                <w:p w14:paraId="083F2A70"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49</w:t>
                  </w:r>
                </w:p>
              </w:tc>
              <w:tc>
                <w:tcPr>
                  <w:tcW w:w="1130" w:type="dxa"/>
                  <w:shd w:val="clear" w:color="auto" w:fill="FFFFFF" w:themeFill="background1"/>
                </w:tcPr>
                <w:p w14:paraId="7A4BBFF5"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0.42</w:t>
                  </w:r>
                </w:p>
              </w:tc>
              <w:tc>
                <w:tcPr>
                  <w:tcW w:w="1359" w:type="dxa"/>
                  <w:shd w:val="clear" w:color="auto" w:fill="FFFFFF" w:themeFill="background1"/>
                </w:tcPr>
                <w:p w14:paraId="47101FD3"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0.92</w:t>
                  </w:r>
                </w:p>
              </w:tc>
              <w:tc>
                <w:tcPr>
                  <w:tcW w:w="816" w:type="dxa"/>
                  <w:shd w:val="clear" w:color="auto" w:fill="FFFFFF" w:themeFill="background1"/>
                </w:tcPr>
                <w:p w14:paraId="50A1CB3A"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0.62</w:t>
                  </w:r>
                </w:p>
              </w:tc>
              <w:tc>
                <w:tcPr>
                  <w:tcW w:w="1177" w:type="dxa"/>
                  <w:shd w:val="clear" w:color="auto" w:fill="FFFFFF" w:themeFill="background1"/>
                </w:tcPr>
                <w:p w14:paraId="69FE4749"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0.19</w:t>
                  </w:r>
                </w:p>
              </w:tc>
            </w:tr>
            <w:tr w:rsidR="00AE77D4" w:rsidRPr="00AE77D4" w14:paraId="39A16D09" w14:textId="77777777" w:rsidTr="00B10070">
              <w:trPr>
                <w:trHeight w:val="226"/>
              </w:trPr>
              <w:tc>
                <w:tcPr>
                  <w:tcW w:w="3249" w:type="dxa"/>
                  <w:shd w:val="clear" w:color="auto" w:fill="F2F2F2" w:themeFill="background1" w:themeFillShade="F2"/>
                </w:tcPr>
                <w:p w14:paraId="69441FA4"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Ceramic</w:t>
                  </w:r>
                </w:p>
              </w:tc>
              <w:tc>
                <w:tcPr>
                  <w:tcW w:w="1333" w:type="dxa"/>
                  <w:shd w:val="clear" w:color="auto" w:fill="F2F2F2" w:themeFill="background1" w:themeFillShade="F2"/>
                  <w:vAlign w:val="bottom"/>
                </w:tcPr>
                <w:p w14:paraId="757EBE0D"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21</w:t>
                  </w:r>
                </w:p>
              </w:tc>
              <w:tc>
                <w:tcPr>
                  <w:tcW w:w="1130" w:type="dxa"/>
                  <w:shd w:val="clear" w:color="auto" w:fill="F2F2F2" w:themeFill="background1" w:themeFillShade="F2"/>
                </w:tcPr>
                <w:p w14:paraId="1A4DF302"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0.25</w:t>
                  </w:r>
                </w:p>
              </w:tc>
              <w:tc>
                <w:tcPr>
                  <w:tcW w:w="1359" w:type="dxa"/>
                  <w:shd w:val="clear" w:color="auto" w:fill="F2F2F2" w:themeFill="background1" w:themeFillShade="F2"/>
                </w:tcPr>
                <w:p w14:paraId="3B7057FD"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0.83</w:t>
                  </w:r>
                </w:p>
              </w:tc>
              <w:tc>
                <w:tcPr>
                  <w:tcW w:w="816" w:type="dxa"/>
                  <w:shd w:val="clear" w:color="auto" w:fill="F2F2F2" w:themeFill="background1" w:themeFillShade="F2"/>
                </w:tcPr>
                <w:p w14:paraId="5FEC4A98"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0.58</w:t>
                  </w:r>
                </w:p>
              </w:tc>
              <w:tc>
                <w:tcPr>
                  <w:tcW w:w="1177" w:type="dxa"/>
                  <w:shd w:val="clear" w:color="auto" w:fill="F2F2F2" w:themeFill="background1" w:themeFillShade="F2"/>
                </w:tcPr>
                <w:p w14:paraId="06F68037"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0.25</w:t>
                  </w:r>
                </w:p>
              </w:tc>
            </w:tr>
            <w:tr w:rsidR="00AE77D4" w:rsidRPr="00AE77D4" w14:paraId="09B0ABA4" w14:textId="77777777" w:rsidTr="00B10070">
              <w:trPr>
                <w:trHeight w:val="226"/>
              </w:trPr>
              <w:tc>
                <w:tcPr>
                  <w:tcW w:w="3249" w:type="dxa"/>
                </w:tcPr>
                <w:p w14:paraId="00E0CECF"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 xml:space="preserve">Engineering </w:t>
                  </w:r>
                </w:p>
              </w:tc>
              <w:tc>
                <w:tcPr>
                  <w:tcW w:w="1333" w:type="dxa"/>
                  <w:vAlign w:val="bottom"/>
                </w:tcPr>
                <w:p w14:paraId="4B6A9B30"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196</w:t>
                  </w:r>
                </w:p>
              </w:tc>
              <w:tc>
                <w:tcPr>
                  <w:tcW w:w="1130" w:type="dxa"/>
                </w:tcPr>
                <w:p w14:paraId="53D05EEC"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1359" w:type="dxa"/>
                </w:tcPr>
                <w:p w14:paraId="7BD66AE8"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0.92</w:t>
                  </w:r>
                </w:p>
              </w:tc>
              <w:tc>
                <w:tcPr>
                  <w:tcW w:w="816" w:type="dxa"/>
                </w:tcPr>
                <w:p w14:paraId="6BD04B0D"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0.42</w:t>
                  </w:r>
                </w:p>
              </w:tc>
              <w:tc>
                <w:tcPr>
                  <w:tcW w:w="1177" w:type="dxa"/>
                </w:tcPr>
                <w:p w14:paraId="30DC2CD5"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0.26</w:t>
                  </w:r>
                </w:p>
              </w:tc>
            </w:tr>
            <w:tr w:rsidR="00AE77D4" w:rsidRPr="00AE77D4" w14:paraId="536DC525" w14:textId="77777777" w:rsidTr="00B10070">
              <w:trPr>
                <w:trHeight w:val="239"/>
              </w:trPr>
              <w:tc>
                <w:tcPr>
                  <w:tcW w:w="3249" w:type="dxa"/>
                  <w:shd w:val="clear" w:color="auto" w:fill="F2F2F2" w:themeFill="background1" w:themeFillShade="F2"/>
                </w:tcPr>
                <w:p w14:paraId="59B57843"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Fuel and Power</w:t>
                  </w:r>
                </w:p>
              </w:tc>
              <w:tc>
                <w:tcPr>
                  <w:tcW w:w="1333" w:type="dxa"/>
                  <w:shd w:val="clear" w:color="auto" w:fill="F2F2F2" w:themeFill="background1" w:themeFillShade="F2"/>
                  <w:vAlign w:val="bottom"/>
                </w:tcPr>
                <w:p w14:paraId="21D37955"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126</w:t>
                  </w:r>
                </w:p>
              </w:tc>
              <w:tc>
                <w:tcPr>
                  <w:tcW w:w="1130" w:type="dxa"/>
                  <w:shd w:val="clear" w:color="auto" w:fill="F2F2F2" w:themeFill="background1" w:themeFillShade="F2"/>
                </w:tcPr>
                <w:p w14:paraId="48E2874C"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0.08</w:t>
                  </w:r>
                </w:p>
              </w:tc>
              <w:tc>
                <w:tcPr>
                  <w:tcW w:w="1359" w:type="dxa"/>
                  <w:shd w:val="clear" w:color="auto" w:fill="F2F2F2" w:themeFill="background1" w:themeFillShade="F2"/>
                </w:tcPr>
                <w:p w14:paraId="356D4B26"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1</w:t>
                  </w:r>
                </w:p>
              </w:tc>
              <w:tc>
                <w:tcPr>
                  <w:tcW w:w="816" w:type="dxa"/>
                  <w:shd w:val="clear" w:color="auto" w:fill="F2F2F2" w:themeFill="background1" w:themeFillShade="F2"/>
                </w:tcPr>
                <w:p w14:paraId="3CE8B0CB"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0.46</w:t>
                  </w:r>
                </w:p>
              </w:tc>
              <w:tc>
                <w:tcPr>
                  <w:tcW w:w="1177" w:type="dxa"/>
                  <w:shd w:val="clear" w:color="auto" w:fill="F2F2F2" w:themeFill="background1" w:themeFillShade="F2"/>
                </w:tcPr>
                <w:p w14:paraId="45D33A3B"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0.24</w:t>
                  </w:r>
                </w:p>
              </w:tc>
            </w:tr>
            <w:tr w:rsidR="00AE77D4" w:rsidRPr="00AE77D4" w14:paraId="3EBBAF3A" w14:textId="77777777" w:rsidTr="00B10070">
              <w:trPr>
                <w:trHeight w:val="226"/>
              </w:trPr>
              <w:tc>
                <w:tcPr>
                  <w:tcW w:w="3249" w:type="dxa"/>
                </w:tcPr>
                <w:p w14:paraId="353102DF"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Jute</w:t>
                  </w:r>
                </w:p>
              </w:tc>
              <w:tc>
                <w:tcPr>
                  <w:tcW w:w="1333" w:type="dxa"/>
                  <w:vAlign w:val="bottom"/>
                </w:tcPr>
                <w:p w14:paraId="3447E41A"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14</w:t>
                  </w:r>
                </w:p>
              </w:tc>
              <w:tc>
                <w:tcPr>
                  <w:tcW w:w="1130" w:type="dxa"/>
                </w:tcPr>
                <w:p w14:paraId="45069109"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0.08</w:t>
                  </w:r>
                </w:p>
              </w:tc>
              <w:tc>
                <w:tcPr>
                  <w:tcW w:w="1359" w:type="dxa"/>
                </w:tcPr>
                <w:p w14:paraId="27F6ED13"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0.08</w:t>
                  </w:r>
                </w:p>
              </w:tc>
              <w:tc>
                <w:tcPr>
                  <w:tcW w:w="816" w:type="dxa"/>
                </w:tcPr>
                <w:p w14:paraId="46F1AD78"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0.08</w:t>
                  </w:r>
                </w:p>
              </w:tc>
              <w:tc>
                <w:tcPr>
                  <w:tcW w:w="1177" w:type="dxa"/>
                </w:tcPr>
                <w:p w14:paraId="4098BDF1"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r>
            <w:tr w:rsidR="00AE77D4" w:rsidRPr="00AE77D4" w14:paraId="29F2F063" w14:textId="77777777" w:rsidTr="00B10070">
              <w:trPr>
                <w:trHeight w:val="74"/>
              </w:trPr>
              <w:tc>
                <w:tcPr>
                  <w:tcW w:w="3249" w:type="dxa"/>
                  <w:shd w:val="clear" w:color="auto" w:fill="F2F2F2" w:themeFill="background1" w:themeFillShade="F2"/>
                </w:tcPr>
                <w:p w14:paraId="413E1465"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Pharmaceuticals &amp; Chemicals</w:t>
                  </w:r>
                </w:p>
              </w:tc>
              <w:tc>
                <w:tcPr>
                  <w:tcW w:w="1333" w:type="dxa"/>
                  <w:shd w:val="clear" w:color="auto" w:fill="F2F2F2" w:themeFill="background1" w:themeFillShade="F2"/>
                  <w:vAlign w:val="bottom"/>
                </w:tcPr>
                <w:p w14:paraId="05A135BF"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133</w:t>
                  </w:r>
                </w:p>
              </w:tc>
              <w:tc>
                <w:tcPr>
                  <w:tcW w:w="1130" w:type="dxa"/>
                  <w:shd w:val="clear" w:color="auto" w:fill="F2F2F2" w:themeFill="background1" w:themeFillShade="F2"/>
                </w:tcPr>
                <w:p w14:paraId="149785B4"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0.08</w:t>
                  </w:r>
                </w:p>
              </w:tc>
              <w:tc>
                <w:tcPr>
                  <w:tcW w:w="1359" w:type="dxa"/>
                  <w:shd w:val="clear" w:color="auto" w:fill="F2F2F2" w:themeFill="background1" w:themeFillShade="F2"/>
                </w:tcPr>
                <w:p w14:paraId="13F10F67"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0.92</w:t>
                  </w:r>
                </w:p>
              </w:tc>
              <w:tc>
                <w:tcPr>
                  <w:tcW w:w="816" w:type="dxa"/>
                  <w:shd w:val="clear" w:color="auto" w:fill="F2F2F2" w:themeFill="background1" w:themeFillShade="F2"/>
                </w:tcPr>
                <w:p w14:paraId="21E8A10F"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0.54</w:t>
                  </w:r>
                </w:p>
              </w:tc>
              <w:tc>
                <w:tcPr>
                  <w:tcW w:w="1177" w:type="dxa"/>
                  <w:shd w:val="clear" w:color="auto" w:fill="F2F2F2" w:themeFill="background1" w:themeFillShade="F2"/>
                </w:tcPr>
                <w:p w14:paraId="74779097"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0.27</w:t>
                  </w:r>
                </w:p>
              </w:tc>
            </w:tr>
            <w:tr w:rsidR="00AE77D4" w:rsidRPr="00AE77D4" w14:paraId="0E376034" w14:textId="77777777" w:rsidTr="00B10070">
              <w:trPr>
                <w:trHeight w:val="226"/>
              </w:trPr>
              <w:tc>
                <w:tcPr>
                  <w:tcW w:w="3249" w:type="dxa"/>
                </w:tcPr>
                <w:p w14:paraId="67FCBF48"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 xml:space="preserve">Tannery </w:t>
                  </w:r>
                </w:p>
              </w:tc>
              <w:tc>
                <w:tcPr>
                  <w:tcW w:w="1333" w:type="dxa"/>
                  <w:vAlign w:val="bottom"/>
                </w:tcPr>
                <w:p w14:paraId="66432BA2"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21</w:t>
                  </w:r>
                </w:p>
              </w:tc>
              <w:tc>
                <w:tcPr>
                  <w:tcW w:w="1130" w:type="dxa"/>
                </w:tcPr>
                <w:p w14:paraId="39EDD712"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0.50</w:t>
                  </w:r>
                </w:p>
              </w:tc>
              <w:tc>
                <w:tcPr>
                  <w:tcW w:w="1359" w:type="dxa"/>
                </w:tcPr>
                <w:p w14:paraId="7460929F"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1</w:t>
                  </w:r>
                </w:p>
              </w:tc>
              <w:tc>
                <w:tcPr>
                  <w:tcW w:w="816" w:type="dxa"/>
                </w:tcPr>
                <w:p w14:paraId="37E5C9BC"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0.78</w:t>
                  </w:r>
                </w:p>
              </w:tc>
              <w:tc>
                <w:tcPr>
                  <w:tcW w:w="1177" w:type="dxa"/>
                </w:tcPr>
                <w:p w14:paraId="05790166"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0.21</w:t>
                  </w:r>
                </w:p>
              </w:tc>
            </w:tr>
            <w:tr w:rsidR="00AE77D4" w:rsidRPr="00AE77D4" w14:paraId="3D8E9BB8" w14:textId="77777777" w:rsidTr="00B10070">
              <w:trPr>
                <w:trHeight w:val="239"/>
              </w:trPr>
              <w:tc>
                <w:tcPr>
                  <w:tcW w:w="3249" w:type="dxa"/>
                  <w:shd w:val="clear" w:color="auto" w:fill="F2F2F2" w:themeFill="background1" w:themeFillShade="F2"/>
                </w:tcPr>
                <w:p w14:paraId="7D725C91"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Textile</w:t>
                  </w:r>
                </w:p>
              </w:tc>
              <w:tc>
                <w:tcPr>
                  <w:tcW w:w="1333" w:type="dxa"/>
                  <w:shd w:val="clear" w:color="auto" w:fill="F2F2F2" w:themeFill="background1" w:themeFillShade="F2"/>
                  <w:vAlign w:val="bottom"/>
                </w:tcPr>
                <w:p w14:paraId="275610ED"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140</w:t>
                  </w:r>
                </w:p>
              </w:tc>
              <w:tc>
                <w:tcPr>
                  <w:tcW w:w="1130" w:type="dxa"/>
                  <w:shd w:val="clear" w:color="auto" w:fill="F2F2F2" w:themeFill="background1" w:themeFillShade="F2"/>
                </w:tcPr>
                <w:p w14:paraId="2BD41D4E"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0.83</w:t>
                  </w:r>
                </w:p>
              </w:tc>
              <w:tc>
                <w:tcPr>
                  <w:tcW w:w="1359" w:type="dxa"/>
                  <w:shd w:val="clear" w:color="auto" w:fill="F2F2F2" w:themeFill="background1" w:themeFillShade="F2"/>
                </w:tcPr>
                <w:p w14:paraId="0374FE93"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0.92</w:t>
                  </w:r>
                </w:p>
              </w:tc>
              <w:tc>
                <w:tcPr>
                  <w:tcW w:w="816" w:type="dxa"/>
                  <w:shd w:val="clear" w:color="auto" w:fill="F2F2F2" w:themeFill="background1" w:themeFillShade="F2"/>
                </w:tcPr>
                <w:p w14:paraId="3A56FA96"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0.31</w:t>
                  </w:r>
                </w:p>
              </w:tc>
              <w:tc>
                <w:tcPr>
                  <w:tcW w:w="1177" w:type="dxa"/>
                  <w:shd w:val="clear" w:color="auto" w:fill="F2F2F2" w:themeFill="background1" w:themeFillShade="F2"/>
                </w:tcPr>
                <w:p w14:paraId="35D81446" w14:textId="77777777" w:rsidR="00B57302"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0.24</w:t>
                  </w:r>
                </w:p>
              </w:tc>
            </w:tr>
            <w:tr w:rsidR="00AE77D4" w:rsidRPr="00AE77D4" w14:paraId="08FF245F" w14:textId="77777777" w:rsidTr="00192A1C">
              <w:trPr>
                <w:trHeight w:val="239"/>
              </w:trPr>
              <w:tc>
                <w:tcPr>
                  <w:tcW w:w="9064" w:type="dxa"/>
                  <w:gridSpan w:val="6"/>
                  <w:shd w:val="clear" w:color="auto" w:fill="auto"/>
                </w:tcPr>
                <w:p w14:paraId="58E3C438" w14:textId="77777777" w:rsidR="00FA27BB" w:rsidRPr="00AE77D4" w:rsidRDefault="00FA27BB" w:rsidP="00AE77D4">
                  <w:pPr>
                    <w:spacing w:line="276" w:lineRule="auto"/>
                    <w:ind w:left="75"/>
                    <w:rPr>
                      <w:rFonts w:ascii="Times New Roman" w:hAnsi="Times New Roman" w:cs="Times New Roman"/>
                      <w:sz w:val="20"/>
                      <w:szCs w:val="20"/>
                      <w:lang w:val="en-GB"/>
                    </w:rPr>
                  </w:pPr>
                </w:p>
                <w:p w14:paraId="0146823E" w14:textId="1A0E4A09" w:rsidR="00B10070" w:rsidRPr="00AE77D4" w:rsidRDefault="00661A05" w:rsidP="00AE77D4">
                  <w:pPr>
                    <w:spacing w:line="276" w:lineRule="auto"/>
                    <w:ind w:left="75"/>
                    <w:rPr>
                      <w:rFonts w:ascii="Times New Roman" w:hAnsi="Times New Roman" w:cs="Times New Roman"/>
                      <w:sz w:val="20"/>
                      <w:szCs w:val="20"/>
                      <w:lang w:val="en-GB"/>
                    </w:rPr>
                  </w:pPr>
                  <w:r w:rsidRPr="00AE77D4">
                    <w:rPr>
                      <w:rFonts w:ascii="Times New Roman" w:hAnsi="Times New Roman" w:cs="Times New Roman"/>
                      <w:sz w:val="20"/>
                      <w:szCs w:val="20"/>
                      <w:lang w:val="en-GB"/>
                    </w:rPr>
                    <w:t>Note: See Table 2 for variable definitions. The sample includes 800 firm-year observations.</w:t>
                  </w:r>
                </w:p>
              </w:tc>
            </w:tr>
          </w:tbl>
          <w:p w14:paraId="22F8B6F7" w14:textId="77777777" w:rsidR="00B57302" w:rsidRPr="00AE77D4" w:rsidRDefault="00B57302" w:rsidP="00AE77D4">
            <w:pPr>
              <w:spacing w:line="276" w:lineRule="auto"/>
              <w:rPr>
                <w:rFonts w:ascii="Times New Roman" w:hAnsi="Times New Roman" w:cs="Times New Roman"/>
                <w:sz w:val="24"/>
                <w:szCs w:val="24"/>
                <w:lang w:val="en-GB"/>
              </w:rPr>
            </w:pPr>
          </w:p>
        </w:tc>
      </w:tr>
    </w:tbl>
    <w:p w14:paraId="5E278B53" w14:textId="77777777" w:rsidR="00CF09E8" w:rsidRPr="00AE77D4" w:rsidRDefault="00CF09E8" w:rsidP="00AE77D4">
      <w:pPr>
        <w:autoSpaceDE w:val="0"/>
        <w:autoSpaceDN w:val="0"/>
        <w:adjustRightInd w:val="0"/>
        <w:spacing w:after="0" w:line="276" w:lineRule="auto"/>
        <w:jc w:val="both"/>
        <w:rPr>
          <w:rFonts w:ascii="Times New Roman" w:hAnsi="Times New Roman" w:cs="Times New Roman"/>
          <w:sz w:val="24"/>
          <w:szCs w:val="24"/>
          <w:lang w:val="en-GB" w:bidi="bn-BD"/>
        </w:rPr>
      </w:pPr>
    </w:p>
    <w:p w14:paraId="44960C46" w14:textId="312C31DE" w:rsidR="00403334" w:rsidRPr="00AE77D4" w:rsidRDefault="00661A05" w:rsidP="00AE77D4">
      <w:pPr>
        <w:spacing w:line="276" w:lineRule="auto"/>
        <w:jc w:val="both"/>
        <w:rPr>
          <w:rFonts w:ascii="Times New Roman" w:eastAsia="Times New Roman" w:hAnsi="Times New Roman" w:cs="Times New Roman"/>
          <w:sz w:val="24"/>
          <w:szCs w:val="24"/>
          <w:lang w:val="en-GB"/>
        </w:rPr>
      </w:pPr>
      <w:r w:rsidRPr="00AE77D4">
        <w:rPr>
          <w:rFonts w:ascii="Times New Roman" w:hAnsi="Times New Roman" w:cs="Times New Roman"/>
          <w:sz w:val="24"/>
          <w:szCs w:val="24"/>
          <w:lang w:val="en-GB"/>
        </w:rPr>
        <w:t xml:space="preserve">Table 4 shows </w:t>
      </w:r>
      <w:r w:rsidR="005632F9" w:rsidRPr="00AE77D4">
        <w:rPr>
          <w:rFonts w:ascii="Times New Roman" w:hAnsi="Times New Roman" w:cs="Times New Roman"/>
          <w:sz w:val="24"/>
          <w:szCs w:val="24"/>
          <w:lang w:val="en-GB"/>
        </w:rPr>
        <w:t>the Pearson correlations and variance inflation factors (VIF)</w:t>
      </w:r>
      <w:r w:rsidRPr="00AE77D4">
        <w:rPr>
          <w:rFonts w:ascii="Times New Roman" w:eastAsia="Calibri" w:hAnsi="Times New Roman" w:cs="Times New Roman"/>
          <w:sz w:val="24"/>
          <w:szCs w:val="24"/>
          <w:lang w:val="en-GB"/>
        </w:rPr>
        <w:t xml:space="preserve"> of the independent variables</w:t>
      </w:r>
      <w:r w:rsidR="00C13CF1" w:rsidRPr="00AE77D4">
        <w:rPr>
          <w:rFonts w:ascii="Times New Roman" w:hAnsi="Times New Roman" w:cs="Times New Roman"/>
          <w:sz w:val="24"/>
          <w:szCs w:val="24"/>
          <w:lang w:val="en-GB"/>
        </w:rPr>
        <w:t xml:space="preserve">. </w:t>
      </w:r>
      <w:r w:rsidRPr="00AE77D4">
        <w:rPr>
          <w:rFonts w:ascii="Times New Roman" w:eastAsia="Calibri" w:hAnsi="Times New Roman" w:cs="Times New Roman"/>
          <w:sz w:val="24"/>
          <w:szCs w:val="24"/>
          <w:lang w:val="en-GB"/>
        </w:rPr>
        <w:t xml:space="preserve">The </w:t>
      </w:r>
      <w:r w:rsidR="00085CF5" w:rsidRPr="00AE77D4">
        <w:rPr>
          <w:rFonts w:ascii="Times New Roman" w:hAnsi="Times New Roman" w:cs="Times New Roman"/>
          <w:sz w:val="24"/>
          <w:szCs w:val="24"/>
          <w:lang w:val="en-GB"/>
        </w:rPr>
        <w:t>c</w:t>
      </w:r>
      <w:r w:rsidR="00325A3E" w:rsidRPr="00AE77D4">
        <w:rPr>
          <w:rFonts w:ascii="Times New Roman" w:hAnsi="Times New Roman" w:cs="Times New Roman"/>
          <w:sz w:val="24"/>
          <w:szCs w:val="24"/>
          <w:lang w:val="en-GB"/>
        </w:rPr>
        <w:t>orrelation</w:t>
      </w:r>
      <w:r w:rsidR="00085CF5" w:rsidRPr="00AE77D4">
        <w:rPr>
          <w:rFonts w:ascii="Times New Roman" w:hAnsi="Times New Roman" w:cs="Times New Roman"/>
          <w:sz w:val="24"/>
          <w:szCs w:val="24"/>
          <w:lang w:val="en-GB"/>
        </w:rPr>
        <w:t xml:space="preserve"> coefficients</w:t>
      </w:r>
      <w:r w:rsidR="00325A3E" w:rsidRPr="00AE77D4">
        <w:rPr>
          <w:rFonts w:ascii="Times New Roman" w:hAnsi="Times New Roman" w:cs="Times New Roman"/>
          <w:sz w:val="24"/>
          <w:szCs w:val="24"/>
          <w:lang w:val="en-GB"/>
        </w:rPr>
        <w:t xml:space="preserve"> </w:t>
      </w:r>
      <w:r w:rsidR="00085CF5" w:rsidRPr="00AE77D4">
        <w:rPr>
          <w:rFonts w:ascii="Times New Roman" w:hAnsi="Times New Roman" w:cs="Times New Roman"/>
          <w:sz w:val="24"/>
          <w:szCs w:val="24"/>
          <w:lang w:val="en-GB"/>
        </w:rPr>
        <w:t>implied no</w:t>
      </w:r>
      <w:r w:rsidR="00325A3E" w:rsidRPr="00AE77D4">
        <w:rPr>
          <w:rFonts w:ascii="Times New Roman" w:hAnsi="Times New Roman" w:cs="Times New Roman"/>
          <w:sz w:val="24"/>
          <w:szCs w:val="24"/>
          <w:lang w:val="en-GB"/>
        </w:rPr>
        <w:t xml:space="preserve"> </w:t>
      </w:r>
      <w:r w:rsidR="00085CF5" w:rsidRPr="00AE77D4">
        <w:rPr>
          <w:rFonts w:ascii="Times New Roman" w:hAnsi="Times New Roman" w:cs="Times New Roman"/>
          <w:sz w:val="24"/>
          <w:szCs w:val="24"/>
          <w:lang w:val="en-GB"/>
        </w:rPr>
        <w:t>severe</w:t>
      </w:r>
      <w:r w:rsidR="00325A3E" w:rsidRPr="00AE77D4">
        <w:rPr>
          <w:rFonts w:ascii="Times New Roman" w:hAnsi="Times New Roman" w:cs="Times New Roman"/>
          <w:sz w:val="24"/>
          <w:szCs w:val="24"/>
          <w:lang w:val="en-GB"/>
        </w:rPr>
        <w:t xml:space="preserve"> multicollinearity </w:t>
      </w:r>
      <w:r w:rsidR="00085CF5" w:rsidRPr="00AE77D4">
        <w:rPr>
          <w:rFonts w:ascii="Times New Roman" w:hAnsi="Times New Roman" w:cs="Times New Roman"/>
          <w:sz w:val="24"/>
          <w:szCs w:val="24"/>
          <w:lang w:val="en-GB"/>
        </w:rPr>
        <w:t>issues</w:t>
      </w:r>
      <w:r w:rsidR="00073888" w:rsidRPr="00AE77D4">
        <w:rPr>
          <w:rFonts w:ascii="Times New Roman" w:hAnsi="Times New Roman" w:cs="Times New Roman"/>
          <w:sz w:val="24"/>
          <w:szCs w:val="24"/>
          <w:lang w:val="en-GB"/>
        </w:rPr>
        <w:t xml:space="preserve"> </w:t>
      </w:r>
      <w:r w:rsidR="00073888" w:rsidRPr="00AE77D4">
        <w:rPr>
          <w:rFonts w:ascii="Times New Roman" w:hAnsi="Times New Roman" w:cs="Times New Roman"/>
          <w:sz w:val="24"/>
          <w:szCs w:val="24"/>
          <w:lang w:val="en-GB" w:bidi="bn-BD"/>
        </w:rPr>
        <w:t>(Tabachnick, 2001)</w:t>
      </w:r>
      <w:r w:rsidR="00325A3E" w:rsidRPr="00AE77D4">
        <w:rPr>
          <w:rFonts w:ascii="Times New Roman" w:hAnsi="Times New Roman" w:cs="Times New Roman"/>
          <w:sz w:val="24"/>
          <w:szCs w:val="24"/>
          <w:lang w:val="en-GB"/>
        </w:rPr>
        <w:t>.</w:t>
      </w:r>
      <w:r w:rsidR="00325A3E" w:rsidRPr="00AE77D4">
        <w:rPr>
          <w:rFonts w:ascii="Times New Roman" w:hAnsi="Times New Roman" w:cs="Times New Roman"/>
          <w:lang w:val="en-GB"/>
        </w:rPr>
        <w:t xml:space="preserve"> </w:t>
      </w:r>
      <w:r w:rsidRPr="00AE77D4">
        <w:rPr>
          <w:rFonts w:ascii="Times New Roman" w:eastAsia="Calibri" w:hAnsi="Times New Roman" w:cs="Times New Roman"/>
          <w:sz w:val="24"/>
          <w:szCs w:val="24"/>
          <w:lang w:val="en-GB"/>
        </w:rPr>
        <w:t xml:space="preserve">The </w:t>
      </w:r>
      <w:r w:rsidR="00EC5AFB" w:rsidRPr="00AE77D4">
        <w:rPr>
          <w:rFonts w:ascii="Times New Roman" w:hAnsi="Times New Roman" w:cs="Times New Roman"/>
          <w:sz w:val="24"/>
          <w:szCs w:val="24"/>
          <w:lang w:val="en-GB" w:bidi="bn-BD"/>
        </w:rPr>
        <w:t>VIF results</w:t>
      </w:r>
      <w:r w:rsidR="00085CF5" w:rsidRPr="00AE77D4">
        <w:rPr>
          <w:rFonts w:ascii="Times New Roman" w:hAnsi="Times New Roman" w:cs="Times New Roman"/>
          <w:sz w:val="24"/>
          <w:szCs w:val="24"/>
          <w:lang w:val="en-GB" w:bidi="bn-BD"/>
        </w:rPr>
        <w:t xml:space="preserve"> confirm the absence of multicollinearity</w:t>
      </w:r>
      <w:r w:rsidRPr="00AE77D4">
        <w:rPr>
          <w:rFonts w:ascii="Times New Roman" w:eastAsia="Calibri" w:hAnsi="Times New Roman" w:cs="Times New Roman"/>
          <w:sz w:val="24"/>
          <w:szCs w:val="24"/>
          <w:lang w:val="en-GB"/>
        </w:rPr>
        <w:t>, as</w:t>
      </w:r>
      <w:r w:rsidR="00AF15F1" w:rsidRPr="00AE77D4">
        <w:rPr>
          <w:rFonts w:ascii="Times New Roman" w:hAnsi="Times New Roman" w:cs="Times New Roman"/>
          <w:sz w:val="24"/>
          <w:szCs w:val="24"/>
          <w:lang w:val="en-GB" w:bidi="bn-BD"/>
        </w:rPr>
        <w:t xml:space="preserve"> </w:t>
      </w:r>
      <w:r w:rsidR="00085CF5" w:rsidRPr="00AE77D4">
        <w:rPr>
          <w:rFonts w:ascii="Times New Roman" w:hAnsi="Times New Roman" w:cs="Times New Roman"/>
          <w:sz w:val="24"/>
          <w:szCs w:val="24"/>
          <w:lang w:val="en-GB" w:bidi="bn-BD"/>
        </w:rPr>
        <w:t>the VIF scores are below two</w:t>
      </w:r>
      <w:r w:rsidR="00EC5AFB" w:rsidRPr="00AE77D4">
        <w:rPr>
          <w:rFonts w:ascii="Times New Roman" w:hAnsi="Times New Roman" w:cs="Times New Roman"/>
          <w:sz w:val="24"/>
          <w:szCs w:val="24"/>
          <w:lang w:val="en-GB" w:bidi="bn-BD"/>
        </w:rPr>
        <w:t xml:space="preserve"> (Neter, 1985)</w:t>
      </w:r>
      <w:r w:rsidR="00AF15F1" w:rsidRPr="00AE77D4">
        <w:rPr>
          <w:rFonts w:ascii="Times New Roman" w:hAnsi="Times New Roman" w:cs="Times New Roman"/>
          <w:sz w:val="24"/>
          <w:szCs w:val="24"/>
          <w:lang w:val="en-GB" w:bidi="bn-BD"/>
        </w:rPr>
        <w:t xml:space="preserve">. </w:t>
      </w:r>
      <w:r w:rsidR="00AD55A8" w:rsidRPr="00AE77D4">
        <w:rPr>
          <w:rFonts w:ascii="Times New Roman" w:hAnsi="Times New Roman" w:cs="Times New Roman"/>
          <w:sz w:val="24"/>
          <w:szCs w:val="24"/>
          <w:lang w:val="en-GB"/>
        </w:rPr>
        <w:t>The results show that all variables appear to fit the regression analysis.</w:t>
      </w:r>
    </w:p>
    <w:tbl>
      <w:tblPr>
        <w:tblW w:w="10332" w:type="dxa"/>
        <w:tblLook w:val="04A0" w:firstRow="1" w:lastRow="0" w:firstColumn="1" w:lastColumn="0" w:noHBand="0" w:noVBand="1"/>
      </w:tblPr>
      <w:tblGrid>
        <w:gridCol w:w="1007"/>
        <w:gridCol w:w="567"/>
        <w:gridCol w:w="898"/>
        <w:gridCol w:w="813"/>
        <w:gridCol w:w="931"/>
        <w:gridCol w:w="1005"/>
        <w:gridCol w:w="967"/>
        <w:gridCol w:w="1077"/>
        <w:gridCol w:w="941"/>
        <w:gridCol w:w="757"/>
        <w:gridCol w:w="757"/>
        <w:gridCol w:w="612"/>
      </w:tblGrid>
      <w:tr w:rsidR="00AE77D4" w:rsidRPr="00AE77D4" w14:paraId="07EB1434" w14:textId="77777777" w:rsidTr="00A25231">
        <w:trPr>
          <w:trHeight w:val="182"/>
        </w:trPr>
        <w:tc>
          <w:tcPr>
            <w:tcW w:w="10332" w:type="dxa"/>
            <w:gridSpan w:val="12"/>
            <w:tcBorders>
              <w:top w:val="single" w:sz="4" w:space="0" w:color="auto"/>
              <w:left w:val="nil"/>
              <w:bottom w:val="single" w:sz="4" w:space="0" w:color="auto"/>
              <w:right w:val="nil"/>
            </w:tcBorders>
          </w:tcPr>
          <w:p w14:paraId="35EE0964" w14:textId="77777777" w:rsidR="00403334" w:rsidRPr="00AE77D4" w:rsidRDefault="00661A05" w:rsidP="00AE77D4">
            <w:pPr>
              <w:spacing w:after="0" w:line="276" w:lineRule="auto"/>
              <w:jc w:val="both"/>
              <w:rPr>
                <w:rFonts w:ascii="Times New Roman" w:eastAsia="Times New Roman" w:hAnsi="Times New Roman" w:cs="Times New Roman"/>
                <w:sz w:val="24"/>
                <w:szCs w:val="24"/>
                <w:lang w:val="en-GB"/>
              </w:rPr>
            </w:pPr>
            <w:r w:rsidRPr="00AE77D4">
              <w:rPr>
                <w:rFonts w:ascii="Times New Roman" w:hAnsi="Times New Roman" w:cs="Times New Roman"/>
                <w:b/>
                <w:sz w:val="24"/>
                <w:szCs w:val="24"/>
                <w:lang w:val="en-GB"/>
              </w:rPr>
              <w:t xml:space="preserve">Table 4. </w:t>
            </w:r>
            <w:r w:rsidRPr="00AE77D4">
              <w:rPr>
                <w:rFonts w:ascii="Times New Roman" w:hAnsi="Times New Roman" w:cs="Times New Roman"/>
                <w:sz w:val="24"/>
                <w:szCs w:val="24"/>
                <w:lang w:val="en-GB" w:bidi="bn-BD"/>
              </w:rPr>
              <w:t>Correlations and variance inflation factor (VIF)</w:t>
            </w:r>
          </w:p>
        </w:tc>
      </w:tr>
      <w:tr w:rsidR="00AE77D4" w:rsidRPr="00AE77D4" w14:paraId="0ED67C22" w14:textId="77777777" w:rsidTr="00FB5671">
        <w:trPr>
          <w:trHeight w:val="223"/>
        </w:trPr>
        <w:tc>
          <w:tcPr>
            <w:tcW w:w="1007" w:type="dxa"/>
            <w:tcBorders>
              <w:top w:val="single" w:sz="4" w:space="0" w:color="auto"/>
              <w:left w:val="nil"/>
              <w:bottom w:val="nil"/>
              <w:right w:val="single" w:sz="4" w:space="0" w:color="auto"/>
            </w:tcBorders>
            <w:shd w:val="clear" w:color="auto" w:fill="E7E6E6" w:themeFill="background2"/>
            <w:noWrap/>
            <w:vAlign w:val="bottom"/>
            <w:hideMark/>
          </w:tcPr>
          <w:p w14:paraId="6072BE52"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Independent variables</w:t>
            </w:r>
          </w:p>
        </w:tc>
        <w:tc>
          <w:tcPr>
            <w:tcW w:w="567" w:type="dxa"/>
            <w:tcBorders>
              <w:top w:val="single" w:sz="4" w:space="0" w:color="auto"/>
              <w:left w:val="single" w:sz="4" w:space="0" w:color="auto"/>
              <w:bottom w:val="nil"/>
              <w:right w:val="single" w:sz="4" w:space="0" w:color="auto"/>
            </w:tcBorders>
            <w:shd w:val="clear" w:color="auto" w:fill="E7E6E6" w:themeFill="background2"/>
            <w:noWrap/>
            <w:vAlign w:val="bottom"/>
            <w:hideMark/>
          </w:tcPr>
          <w:p w14:paraId="2CFC28CE"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VIF</w:t>
            </w:r>
          </w:p>
        </w:tc>
        <w:tc>
          <w:tcPr>
            <w:tcW w:w="898" w:type="dxa"/>
            <w:tcBorders>
              <w:top w:val="single" w:sz="4" w:space="0" w:color="auto"/>
              <w:left w:val="single" w:sz="4" w:space="0" w:color="auto"/>
              <w:bottom w:val="nil"/>
              <w:right w:val="nil"/>
            </w:tcBorders>
            <w:shd w:val="clear" w:color="auto" w:fill="E7E6E6" w:themeFill="background2"/>
            <w:noWrap/>
            <w:vAlign w:val="bottom"/>
            <w:hideMark/>
          </w:tcPr>
          <w:p w14:paraId="60B63895"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rPr>
              <w:t>BSIZE</w:t>
            </w:r>
          </w:p>
        </w:tc>
        <w:tc>
          <w:tcPr>
            <w:tcW w:w="813" w:type="dxa"/>
            <w:tcBorders>
              <w:top w:val="single" w:sz="4" w:space="0" w:color="auto"/>
              <w:left w:val="nil"/>
              <w:bottom w:val="nil"/>
              <w:right w:val="nil"/>
            </w:tcBorders>
            <w:shd w:val="clear" w:color="auto" w:fill="E7E6E6" w:themeFill="background2"/>
            <w:noWrap/>
            <w:vAlign w:val="bottom"/>
            <w:hideMark/>
          </w:tcPr>
          <w:p w14:paraId="49A58C7D"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rPr>
              <w:t>INDIR</w:t>
            </w:r>
          </w:p>
        </w:tc>
        <w:tc>
          <w:tcPr>
            <w:tcW w:w="931" w:type="dxa"/>
            <w:tcBorders>
              <w:top w:val="single" w:sz="4" w:space="0" w:color="auto"/>
              <w:left w:val="nil"/>
              <w:bottom w:val="nil"/>
              <w:right w:val="nil"/>
            </w:tcBorders>
            <w:shd w:val="clear" w:color="auto" w:fill="E7E6E6" w:themeFill="background2"/>
            <w:noWrap/>
            <w:vAlign w:val="bottom"/>
            <w:hideMark/>
          </w:tcPr>
          <w:p w14:paraId="6F0B6183"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FORDIR</w:t>
            </w:r>
          </w:p>
        </w:tc>
        <w:tc>
          <w:tcPr>
            <w:tcW w:w="1005" w:type="dxa"/>
            <w:tcBorders>
              <w:top w:val="single" w:sz="4" w:space="0" w:color="auto"/>
              <w:left w:val="nil"/>
              <w:bottom w:val="nil"/>
              <w:right w:val="nil"/>
            </w:tcBorders>
            <w:shd w:val="clear" w:color="auto" w:fill="E7E6E6" w:themeFill="background2"/>
            <w:noWrap/>
            <w:vAlign w:val="bottom"/>
          </w:tcPr>
          <w:p w14:paraId="22A8D115"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GENDER</w:t>
            </w:r>
          </w:p>
        </w:tc>
        <w:tc>
          <w:tcPr>
            <w:tcW w:w="967" w:type="dxa"/>
            <w:tcBorders>
              <w:top w:val="single" w:sz="4" w:space="0" w:color="auto"/>
              <w:left w:val="nil"/>
              <w:bottom w:val="nil"/>
              <w:right w:val="nil"/>
            </w:tcBorders>
            <w:shd w:val="clear" w:color="auto" w:fill="E7E6E6" w:themeFill="background2"/>
            <w:vAlign w:val="bottom"/>
          </w:tcPr>
          <w:p w14:paraId="4169DB16"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BOMEET</w:t>
            </w:r>
          </w:p>
        </w:tc>
        <w:tc>
          <w:tcPr>
            <w:tcW w:w="1077" w:type="dxa"/>
            <w:tcBorders>
              <w:top w:val="single" w:sz="4" w:space="0" w:color="auto"/>
              <w:left w:val="nil"/>
              <w:bottom w:val="nil"/>
              <w:right w:val="nil"/>
            </w:tcBorders>
            <w:shd w:val="clear" w:color="auto" w:fill="E7E6E6" w:themeFill="background2"/>
            <w:noWrap/>
            <w:vAlign w:val="bottom"/>
          </w:tcPr>
          <w:p w14:paraId="1506A746"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DUALITY</w:t>
            </w:r>
          </w:p>
        </w:tc>
        <w:tc>
          <w:tcPr>
            <w:tcW w:w="941" w:type="dxa"/>
            <w:tcBorders>
              <w:top w:val="single" w:sz="4" w:space="0" w:color="auto"/>
              <w:left w:val="nil"/>
              <w:bottom w:val="nil"/>
              <w:right w:val="nil"/>
            </w:tcBorders>
            <w:shd w:val="clear" w:color="auto" w:fill="E7E6E6" w:themeFill="background2"/>
            <w:noWrap/>
            <w:vAlign w:val="bottom"/>
          </w:tcPr>
          <w:p w14:paraId="3B4BD876"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ADCOM</w:t>
            </w:r>
          </w:p>
        </w:tc>
        <w:tc>
          <w:tcPr>
            <w:tcW w:w="757" w:type="dxa"/>
            <w:tcBorders>
              <w:top w:val="single" w:sz="4" w:space="0" w:color="auto"/>
              <w:left w:val="nil"/>
              <w:bottom w:val="nil"/>
              <w:right w:val="nil"/>
            </w:tcBorders>
            <w:shd w:val="clear" w:color="auto" w:fill="E7E6E6" w:themeFill="background2"/>
            <w:noWrap/>
            <w:vAlign w:val="bottom"/>
          </w:tcPr>
          <w:p w14:paraId="67BBEAE6"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SIZE</w:t>
            </w:r>
          </w:p>
        </w:tc>
        <w:tc>
          <w:tcPr>
            <w:tcW w:w="757" w:type="dxa"/>
            <w:tcBorders>
              <w:top w:val="single" w:sz="4" w:space="0" w:color="auto"/>
              <w:left w:val="nil"/>
              <w:bottom w:val="nil"/>
              <w:right w:val="nil"/>
            </w:tcBorders>
            <w:shd w:val="clear" w:color="auto" w:fill="E7E6E6" w:themeFill="background2"/>
            <w:noWrap/>
            <w:vAlign w:val="bottom"/>
          </w:tcPr>
          <w:p w14:paraId="2F2F7710"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ROA</w:t>
            </w:r>
          </w:p>
        </w:tc>
        <w:tc>
          <w:tcPr>
            <w:tcW w:w="612" w:type="dxa"/>
            <w:tcBorders>
              <w:top w:val="single" w:sz="4" w:space="0" w:color="auto"/>
              <w:left w:val="nil"/>
              <w:bottom w:val="nil"/>
              <w:right w:val="nil"/>
            </w:tcBorders>
            <w:shd w:val="clear" w:color="auto" w:fill="E7E6E6" w:themeFill="background2"/>
            <w:noWrap/>
            <w:vAlign w:val="bottom"/>
          </w:tcPr>
          <w:p w14:paraId="4AF75DCE"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LEV</w:t>
            </w:r>
          </w:p>
        </w:tc>
      </w:tr>
      <w:tr w:rsidR="00AE77D4" w:rsidRPr="00AE77D4" w14:paraId="593F576C" w14:textId="77777777" w:rsidTr="00FB5671">
        <w:trPr>
          <w:trHeight w:val="182"/>
        </w:trPr>
        <w:tc>
          <w:tcPr>
            <w:tcW w:w="1007" w:type="dxa"/>
            <w:tcBorders>
              <w:top w:val="nil"/>
              <w:left w:val="nil"/>
              <w:bottom w:val="nil"/>
              <w:right w:val="single" w:sz="4" w:space="0" w:color="auto"/>
            </w:tcBorders>
            <w:shd w:val="clear" w:color="auto" w:fill="auto"/>
            <w:noWrap/>
            <w:vAlign w:val="bottom"/>
          </w:tcPr>
          <w:p w14:paraId="5564E517"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rPr>
              <w:t>BSIZE</w:t>
            </w:r>
          </w:p>
        </w:tc>
        <w:tc>
          <w:tcPr>
            <w:tcW w:w="567" w:type="dxa"/>
            <w:tcBorders>
              <w:top w:val="nil"/>
              <w:left w:val="single" w:sz="4" w:space="0" w:color="auto"/>
              <w:bottom w:val="nil"/>
              <w:right w:val="single" w:sz="4" w:space="0" w:color="auto"/>
            </w:tcBorders>
            <w:shd w:val="clear" w:color="auto" w:fill="auto"/>
            <w:noWrap/>
            <w:vAlign w:val="bottom"/>
          </w:tcPr>
          <w:p w14:paraId="1AB57ACD"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1.11</w:t>
            </w:r>
          </w:p>
        </w:tc>
        <w:tc>
          <w:tcPr>
            <w:tcW w:w="898" w:type="dxa"/>
            <w:tcBorders>
              <w:top w:val="nil"/>
              <w:left w:val="single" w:sz="4" w:space="0" w:color="auto"/>
              <w:bottom w:val="nil"/>
              <w:right w:val="nil"/>
            </w:tcBorders>
            <w:shd w:val="clear" w:color="auto" w:fill="auto"/>
            <w:noWrap/>
            <w:vAlign w:val="bottom"/>
          </w:tcPr>
          <w:p w14:paraId="3F34BCFA"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1.00</w:t>
            </w:r>
          </w:p>
        </w:tc>
        <w:tc>
          <w:tcPr>
            <w:tcW w:w="813" w:type="dxa"/>
            <w:tcBorders>
              <w:top w:val="nil"/>
              <w:left w:val="nil"/>
              <w:bottom w:val="nil"/>
              <w:right w:val="nil"/>
            </w:tcBorders>
            <w:shd w:val="clear" w:color="auto" w:fill="auto"/>
            <w:noWrap/>
            <w:vAlign w:val="bottom"/>
          </w:tcPr>
          <w:p w14:paraId="654286A1"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931" w:type="dxa"/>
            <w:tcBorders>
              <w:top w:val="nil"/>
              <w:left w:val="nil"/>
              <w:bottom w:val="nil"/>
              <w:right w:val="nil"/>
            </w:tcBorders>
            <w:shd w:val="clear" w:color="auto" w:fill="auto"/>
            <w:noWrap/>
            <w:vAlign w:val="bottom"/>
          </w:tcPr>
          <w:p w14:paraId="4433B717"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1005" w:type="dxa"/>
            <w:tcBorders>
              <w:top w:val="nil"/>
              <w:left w:val="nil"/>
              <w:bottom w:val="nil"/>
              <w:right w:val="nil"/>
            </w:tcBorders>
            <w:shd w:val="clear" w:color="auto" w:fill="auto"/>
            <w:noWrap/>
            <w:vAlign w:val="bottom"/>
          </w:tcPr>
          <w:p w14:paraId="0F03B6B7"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967" w:type="dxa"/>
            <w:tcBorders>
              <w:top w:val="nil"/>
              <w:left w:val="nil"/>
              <w:bottom w:val="nil"/>
              <w:right w:val="nil"/>
            </w:tcBorders>
            <w:vAlign w:val="bottom"/>
          </w:tcPr>
          <w:p w14:paraId="1C85374A"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1077" w:type="dxa"/>
            <w:tcBorders>
              <w:top w:val="nil"/>
              <w:left w:val="nil"/>
              <w:bottom w:val="nil"/>
              <w:right w:val="nil"/>
            </w:tcBorders>
            <w:shd w:val="clear" w:color="auto" w:fill="auto"/>
            <w:noWrap/>
            <w:vAlign w:val="bottom"/>
          </w:tcPr>
          <w:p w14:paraId="3DA6DD30"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941" w:type="dxa"/>
            <w:tcBorders>
              <w:top w:val="nil"/>
              <w:left w:val="nil"/>
              <w:bottom w:val="nil"/>
              <w:right w:val="nil"/>
            </w:tcBorders>
            <w:shd w:val="clear" w:color="auto" w:fill="auto"/>
            <w:noWrap/>
            <w:vAlign w:val="bottom"/>
          </w:tcPr>
          <w:p w14:paraId="458042F8"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auto"/>
            <w:noWrap/>
            <w:vAlign w:val="bottom"/>
          </w:tcPr>
          <w:p w14:paraId="6495F756"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auto"/>
            <w:noWrap/>
            <w:vAlign w:val="bottom"/>
          </w:tcPr>
          <w:p w14:paraId="683E96E0"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612" w:type="dxa"/>
            <w:tcBorders>
              <w:top w:val="nil"/>
              <w:left w:val="nil"/>
              <w:bottom w:val="nil"/>
              <w:right w:val="nil"/>
            </w:tcBorders>
            <w:shd w:val="clear" w:color="auto" w:fill="auto"/>
            <w:noWrap/>
            <w:vAlign w:val="bottom"/>
          </w:tcPr>
          <w:p w14:paraId="442EFA26"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r>
      <w:tr w:rsidR="00AE77D4" w:rsidRPr="00AE77D4" w14:paraId="1431AC0A" w14:textId="77777777" w:rsidTr="00FB5671">
        <w:trPr>
          <w:trHeight w:val="182"/>
        </w:trPr>
        <w:tc>
          <w:tcPr>
            <w:tcW w:w="1007" w:type="dxa"/>
            <w:tcBorders>
              <w:top w:val="nil"/>
              <w:left w:val="nil"/>
              <w:bottom w:val="nil"/>
              <w:right w:val="single" w:sz="4" w:space="0" w:color="auto"/>
            </w:tcBorders>
            <w:shd w:val="clear" w:color="auto" w:fill="E7E6E6" w:themeFill="background2"/>
            <w:noWrap/>
            <w:vAlign w:val="bottom"/>
          </w:tcPr>
          <w:p w14:paraId="6E09BF58"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rPr>
              <w:t>INDIR</w:t>
            </w:r>
          </w:p>
        </w:tc>
        <w:tc>
          <w:tcPr>
            <w:tcW w:w="567" w:type="dxa"/>
            <w:tcBorders>
              <w:top w:val="nil"/>
              <w:left w:val="single" w:sz="4" w:space="0" w:color="auto"/>
              <w:bottom w:val="nil"/>
              <w:right w:val="single" w:sz="4" w:space="0" w:color="auto"/>
            </w:tcBorders>
            <w:shd w:val="clear" w:color="auto" w:fill="E7E6E6" w:themeFill="background2"/>
            <w:noWrap/>
            <w:vAlign w:val="bottom"/>
          </w:tcPr>
          <w:p w14:paraId="06FE8F81"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1.18</w:t>
            </w:r>
          </w:p>
        </w:tc>
        <w:tc>
          <w:tcPr>
            <w:tcW w:w="898" w:type="dxa"/>
            <w:tcBorders>
              <w:top w:val="nil"/>
              <w:left w:val="single" w:sz="4" w:space="0" w:color="auto"/>
              <w:bottom w:val="nil"/>
              <w:right w:val="nil"/>
            </w:tcBorders>
            <w:shd w:val="clear" w:color="auto" w:fill="E7E6E6" w:themeFill="background2"/>
            <w:noWrap/>
            <w:vAlign w:val="bottom"/>
          </w:tcPr>
          <w:p w14:paraId="6ED3F6FE"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-0.23***</w:t>
            </w:r>
          </w:p>
        </w:tc>
        <w:tc>
          <w:tcPr>
            <w:tcW w:w="813" w:type="dxa"/>
            <w:tcBorders>
              <w:top w:val="nil"/>
              <w:left w:val="nil"/>
              <w:bottom w:val="nil"/>
              <w:right w:val="nil"/>
            </w:tcBorders>
            <w:shd w:val="clear" w:color="auto" w:fill="E7E6E6" w:themeFill="background2"/>
            <w:noWrap/>
            <w:vAlign w:val="bottom"/>
          </w:tcPr>
          <w:p w14:paraId="54B751C7"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1.00</w:t>
            </w:r>
          </w:p>
        </w:tc>
        <w:tc>
          <w:tcPr>
            <w:tcW w:w="931" w:type="dxa"/>
            <w:tcBorders>
              <w:top w:val="nil"/>
              <w:left w:val="nil"/>
              <w:bottom w:val="nil"/>
              <w:right w:val="nil"/>
            </w:tcBorders>
            <w:shd w:val="clear" w:color="auto" w:fill="E7E6E6" w:themeFill="background2"/>
            <w:noWrap/>
            <w:vAlign w:val="bottom"/>
          </w:tcPr>
          <w:p w14:paraId="17C92187"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1005" w:type="dxa"/>
            <w:tcBorders>
              <w:top w:val="nil"/>
              <w:left w:val="nil"/>
              <w:bottom w:val="nil"/>
              <w:right w:val="nil"/>
            </w:tcBorders>
            <w:shd w:val="clear" w:color="auto" w:fill="E7E6E6" w:themeFill="background2"/>
            <w:noWrap/>
            <w:vAlign w:val="bottom"/>
          </w:tcPr>
          <w:p w14:paraId="1A17F08B"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967" w:type="dxa"/>
            <w:tcBorders>
              <w:top w:val="nil"/>
              <w:left w:val="nil"/>
              <w:bottom w:val="nil"/>
              <w:right w:val="nil"/>
            </w:tcBorders>
            <w:shd w:val="clear" w:color="auto" w:fill="E7E6E6" w:themeFill="background2"/>
            <w:vAlign w:val="bottom"/>
          </w:tcPr>
          <w:p w14:paraId="2373B653"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1077" w:type="dxa"/>
            <w:tcBorders>
              <w:top w:val="nil"/>
              <w:left w:val="nil"/>
              <w:bottom w:val="nil"/>
              <w:right w:val="nil"/>
            </w:tcBorders>
            <w:shd w:val="clear" w:color="auto" w:fill="E7E6E6" w:themeFill="background2"/>
            <w:noWrap/>
            <w:vAlign w:val="bottom"/>
          </w:tcPr>
          <w:p w14:paraId="29265FFA"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941" w:type="dxa"/>
            <w:tcBorders>
              <w:top w:val="nil"/>
              <w:left w:val="nil"/>
              <w:bottom w:val="nil"/>
              <w:right w:val="nil"/>
            </w:tcBorders>
            <w:shd w:val="clear" w:color="auto" w:fill="E7E6E6" w:themeFill="background2"/>
            <w:noWrap/>
            <w:vAlign w:val="bottom"/>
          </w:tcPr>
          <w:p w14:paraId="403CBAC9"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E7E6E6" w:themeFill="background2"/>
            <w:noWrap/>
            <w:vAlign w:val="bottom"/>
          </w:tcPr>
          <w:p w14:paraId="74D67700"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E7E6E6" w:themeFill="background2"/>
            <w:noWrap/>
            <w:vAlign w:val="bottom"/>
          </w:tcPr>
          <w:p w14:paraId="62A02DDD"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612" w:type="dxa"/>
            <w:tcBorders>
              <w:top w:val="nil"/>
              <w:left w:val="nil"/>
              <w:bottom w:val="nil"/>
              <w:right w:val="nil"/>
            </w:tcBorders>
            <w:shd w:val="clear" w:color="auto" w:fill="E7E6E6" w:themeFill="background2"/>
            <w:noWrap/>
            <w:vAlign w:val="bottom"/>
          </w:tcPr>
          <w:p w14:paraId="360C62A9"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r>
      <w:tr w:rsidR="00AE77D4" w:rsidRPr="00AE77D4" w14:paraId="3F3F743B" w14:textId="77777777" w:rsidTr="00FB5671">
        <w:trPr>
          <w:trHeight w:val="182"/>
        </w:trPr>
        <w:tc>
          <w:tcPr>
            <w:tcW w:w="1007" w:type="dxa"/>
            <w:tcBorders>
              <w:top w:val="nil"/>
              <w:left w:val="nil"/>
              <w:bottom w:val="nil"/>
              <w:right w:val="single" w:sz="4" w:space="0" w:color="auto"/>
            </w:tcBorders>
            <w:shd w:val="clear" w:color="auto" w:fill="auto"/>
            <w:noWrap/>
            <w:vAlign w:val="bottom"/>
          </w:tcPr>
          <w:p w14:paraId="50A1A96A"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FORDIR</w:t>
            </w:r>
          </w:p>
        </w:tc>
        <w:tc>
          <w:tcPr>
            <w:tcW w:w="567" w:type="dxa"/>
            <w:tcBorders>
              <w:top w:val="nil"/>
              <w:left w:val="single" w:sz="4" w:space="0" w:color="auto"/>
              <w:bottom w:val="nil"/>
              <w:right w:val="single" w:sz="4" w:space="0" w:color="auto"/>
            </w:tcBorders>
            <w:shd w:val="clear" w:color="auto" w:fill="auto"/>
            <w:noWrap/>
            <w:vAlign w:val="bottom"/>
          </w:tcPr>
          <w:p w14:paraId="64ED20AC"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1.21</w:t>
            </w:r>
          </w:p>
        </w:tc>
        <w:tc>
          <w:tcPr>
            <w:tcW w:w="898" w:type="dxa"/>
            <w:tcBorders>
              <w:top w:val="nil"/>
              <w:left w:val="single" w:sz="4" w:space="0" w:color="auto"/>
              <w:bottom w:val="nil"/>
              <w:right w:val="nil"/>
            </w:tcBorders>
            <w:shd w:val="clear" w:color="auto" w:fill="auto"/>
            <w:noWrap/>
            <w:vAlign w:val="bottom"/>
          </w:tcPr>
          <w:p w14:paraId="780B462A"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-0.02</w:t>
            </w:r>
          </w:p>
        </w:tc>
        <w:tc>
          <w:tcPr>
            <w:tcW w:w="813" w:type="dxa"/>
            <w:tcBorders>
              <w:top w:val="nil"/>
              <w:left w:val="nil"/>
              <w:bottom w:val="nil"/>
              <w:right w:val="nil"/>
            </w:tcBorders>
            <w:shd w:val="clear" w:color="auto" w:fill="auto"/>
            <w:noWrap/>
            <w:vAlign w:val="bottom"/>
          </w:tcPr>
          <w:p w14:paraId="638FB7BC"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0.25***</w:t>
            </w:r>
          </w:p>
        </w:tc>
        <w:tc>
          <w:tcPr>
            <w:tcW w:w="931" w:type="dxa"/>
            <w:tcBorders>
              <w:top w:val="nil"/>
              <w:left w:val="nil"/>
              <w:bottom w:val="nil"/>
              <w:right w:val="nil"/>
            </w:tcBorders>
            <w:shd w:val="clear" w:color="auto" w:fill="auto"/>
            <w:noWrap/>
            <w:vAlign w:val="bottom"/>
          </w:tcPr>
          <w:p w14:paraId="1B889884"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1.00</w:t>
            </w:r>
          </w:p>
        </w:tc>
        <w:tc>
          <w:tcPr>
            <w:tcW w:w="1005" w:type="dxa"/>
            <w:tcBorders>
              <w:top w:val="nil"/>
              <w:left w:val="nil"/>
              <w:bottom w:val="nil"/>
              <w:right w:val="nil"/>
            </w:tcBorders>
            <w:shd w:val="clear" w:color="auto" w:fill="auto"/>
            <w:noWrap/>
            <w:vAlign w:val="bottom"/>
          </w:tcPr>
          <w:p w14:paraId="624FC509"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967" w:type="dxa"/>
            <w:tcBorders>
              <w:top w:val="nil"/>
              <w:left w:val="nil"/>
              <w:bottom w:val="nil"/>
              <w:right w:val="nil"/>
            </w:tcBorders>
            <w:vAlign w:val="bottom"/>
          </w:tcPr>
          <w:p w14:paraId="2946D63E"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1077" w:type="dxa"/>
            <w:tcBorders>
              <w:top w:val="nil"/>
              <w:left w:val="nil"/>
              <w:bottom w:val="nil"/>
              <w:right w:val="nil"/>
            </w:tcBorders>
            <w:shd w:val="clear" w:color="auto" w:fill="auto"/>
            <w:noWrap/>
            <w:vAlign w:val="bottom"/>
          </w:tcPr>
          <w:p w14:paraId="1D95D88D"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941" w:type="dxa"/>
            <w:tcBorders>
              <w:top w:val="nil"/>
              <w:left w:val="nil"/>
              <w:bottom w:val="nil"/>
              <w:right w:val="nil"/>
            </w:tcBorders>
            <w:shd w:val="clear" w:color="auto" w:fill="auto"/>
            <w:noWrap/>
            <w:vAlign w:val="bottom"/>
          </w:tcPr>
          <w:p w14:paraId="18A14C67"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auto"/>
            <w:noWrap/>
            <w:vAlign w:val="bottom"/>
          </w:tcPr>
          <w:p w14:paraId="7EFCC137"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auto"/>
            <w:noWrap/>
            <w:vAlign w:val="bottom"/>
          </w:tcPr>
          <w:p w14:paraId="418D44DB"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612" w:type="dxa"/>
            <w:tcBorders>
              <w:top w:val="nil"/>
              <w:left w:val="nil"/>
              <w:bottom w:val="nil"/>
              <w:right w:val="nil"/>
            </w:tcBorders>
            <w:shd w:val="clear" w:color="auto" w:fill="auto"/>
            <w:noWrap/>
            <w:vAlign w:val="bottom"/>
          </w:tcPr>
          <w:p w14:paraId="6397525C"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r>
      <w:tr w:rsidR="00AE77D4" w:rsidRPr="00AE77D4" w14:paraId="617E1087" w14:textId="77777777" w:rsidTr="00FB5671">
        <w:trPr>
          <w:trHeight w:val="182"/>
        </w:trPr>
        <w:tc>
          <w:tcPr>
            <w:tcW w:w="1007" w:type="dxa"/>
            <w:tcBorders>
              <w:top w:val="nil"/>
              <w:left w:val="nil"/>
              <w:bottom w:val="nil"/>
              <w:right w:val="single" w:sz="4" w:space="0" w:color="auto"/>
            </w:tcBorders>
            <w:shd w:val="clear" w:color="auto" w:fill="E7E6E6" w:themeFill="background2"/>
            <w:noWrap/>
            <w:vAlign w:val="bottom"/>
          </w:tcPr>
          <w:p w14:paraId="005AC8FD"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GENDER</w:t>
            </w:r>
          </w:p>
        </w:tc>
        <w:tc>
          <w:tcPr>
            <w:tcW w:w="567" w:type="dxa"/>
            <w:tcBorders>
              <w:top w:val="nil"/>
              <w:left w:val="single" w:sz="4" w:space="0" w:color="auto"/>
              <w:bottom w:val="nil"/>
              <w:right w:val="single" w:sz="4" w:space="0" w:color="auto"/>
            </w:tcBorders>
            <w:shd w:val="clear" w:color="auto" w:fill="E7E6E6" w:themeFill="background2"/>
            <w:noWrap/>
            <w:vAlign w:val="bottom"/>
          </w:tcPr>
          <w:p w14:paraId="35DD4550"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1.06</w:t>
            </w:r>
          </w:p>
        </w:tc>
        <w:tc>
          <w:tcPr>
            <w:tcW w:w="898" w:type="dxa"/>
            <w:tcBorders>
              <w:top w:val="nil"/>
              <w:left w:val="single" w:sz="4" w:space="0" w:color="auto"/>
              <w:bottom w:val="nil"/>
              <w:right w:val="nil"/>
            </w:tcBorders>
            <w:shd w:val="clear" w:color="auto" w:fill="E7E6E6" w:themeFill="background2"/>
            <w:noWrap/>
            <w:vAlign w:val="bottom"/>
          </w:tcPr>
          <w:p w14:paraId="04B8D8C5"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-0.15***</w:t>
            </w:r>
          </w:p>
        </w:tc>
        <w:tc>
          <w:tcPr>
            <w:tcW w:w="813" w:type="dxa"/>
            <w:tcBorders>
              <w:top w:val="nil"/>
              <w:left w:val="nil"/>
              <w:bottom w:val="nil"/>
              <w:right w:val="nil"/>
            </w:tcBorders>
            <w:shd w:val="clear" w:color="auto" w:fill="E7E6E6" w:themeFill="background2"/>
            <w:noWrap/>
            <w:vAlign w:val="bottom"/>
          </w:tcPr>
          <w:p w14:paraId="4260C31A"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-0.01</w:t>
            </w:r>
          </w:p>
        </w:tc>
        <w:tc>
          <w:tcPr>
            <w:tcW w:w="931" w:type="dxa"/>
            <w:tcBorders>
              <w:top w:val="nil"/>
              <w:left w:val="nil"/>
              <w:bottom w:val="nil"/>
              <w:right w:val="nil"/>
            </w:tcBorders>
            <w:shd w:val="clear" w:color="auto" w:fill="E7E6E6" w:themeFill="background2"/>
            <w:noWrap/>
            <w:vAlign w:val="bottom"/>
          </w:tcPr>
          <w:p w14:paraId="15298581"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-0.11***</w:t>
            </w:r>
          </w:p>
        </w:tc>
        <w:tc>
          <w:tcPr>
            <w:tcW w:w="1005" w:type="dxa"/>
            <w:tcBorders>
              <w:top w:val="nil"/>
              <w:left w:val="nil"/>
              <w:bottom w:val="nil"/>
              <w:right w:val="nil"/>
            </w:tcBorders>
            <w:shd w:val="clear" w:color="auto" w:fill="E7E6E6" w:themeFill="background2"/>
            <w:noWrap/>
            <w:vAlign w:val="bottom"/>
          </w:tcPr>
          <w:p w14:paraId="74F35D28"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1.00</w:t>
            </w:r>
          </w:p>
        </w:tc>
        <w:tc>
          <w:tcPr>
            <w:tcW w:w="967" w:type="dxa"/>
            <w:tcBorders>
              <w:top w:val="nil"/>
              <w:left w:val="nil"/>
              <w:bottom w:val="nil"/>
              <w:right w:val="nil"/>
            </w:tcBorders>
            <w:shd w:val="clear" w:color="auto" w:fill="E7E6E6" w:themeFill="background2"/>
            <w:vAlign w:val="bottom"/>
          </w:tcPr>
          <w:p w14:paraId="3749C9AF"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1077" w:type="dxa"/>
            <w:tcBorders>
              <w:top w:val="nil"/>
              <w:left w:val="nil"/>
              <w:bottom w:val="nil"/>
              <w:right w:val="nil"/>
            </w:tcBorders>
            <w:shd w:val="clear" w:color="auto" w:fill="E7E6E6" w:themeFill="background2"/>
            <w:noWrap/>
            <w:vAlign w:val="bottom"/>
          </w:tcPr>
          <w:p w14:paraId="24CB05AF"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941" w:type="dxa"/>
            <w:tcBorders>
              <w:top w:val="nil"/>
              <w:left w:val="nil"/>
              <w:bottom w:val="nil"/>
              <w:right w:val="nil"/>
            </w:tcBorders>
            <w:shd w:val="clear" w:color="auto" w:fill="E7E6E6" w:themeFill="background2"/>
            <w:noWrap/>
            <w:vAlign w:val="bottom"/>
          </w:tcPr>
          <w:p w14:paraId="1BA5CC83"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E7E6E6" w:themeFill="background2"/>
            <w:noWrap/>
            <w:vAlign w:val="bottom"/>
          </w:tcPr>
          <w:p w14:paraId="42A3916F"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E7E6E6" w:themeFill="background2"/>
            <w:noWrap/>
            <w:vAlign w:val="bottom"/>
          </w:tcPr>
          <w:p w14:paraId="180F32FB"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612" w:type="dxa"/>
            <w:tcBorders>
              <w:top w:val="nil"/>
              <w:left w:val="nil"/>
              <w:bottom w:val="nil"/>
              <w:right w:val="nil"/>
            </w:tcBorders>
            <w:shd w:val="clear" w:color="auto" w:fill="E7E6E6" w:themeFill="background2"/>
            <w:noWrap/>
            <w:vAlign w:val="bottom"/>
          </w:tcPr>
          <w:p w14:paraId="1A2390FE"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r>
      <w:tr w:rsidR="00AE77D4" w:rsidRPr="00AE77D4" w14:paraId="2451882A" w14:textId="77777777" w:rsidTr="00FB5671">
        <w:trPr>
          <w:trHeight w:val="101"/>
        </w:trPr>
        <w:tc>
          <w:tcPr>
            <w:tcW w:w="1007" w:type="dxa"/>
            <w:tcBorders>
              <w:top w:val="nil"/>
              <w:left w:val="nil"/>
              <w:bottom w:val="nil"/>
              <w:right w:val="single" w:sz="4" w:space="0" w:color="auto"/>
            </w:tcBorders>
            <w:shd w:val="clear" w:color="auto" w:fill="auto"/>
            <w:noWrap/>
            <w:vAlign w:val="bottom"/>
          </w:tcPr>
          <w:p w14:paraId="3C4CE3FC"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BOMEET</w:t>
            </w:r>
          </w:p>
        </w:tc>
        <w:tc>
          <w:tcPr>
            <w:tcW w:w="567" w:type="dxa"/>
            <w:tcBorders>
              <w:top w:val="nil"/>
              <w:left w:val="single" w:sz="4" w:space="0" w:color="auto"/>
              <w:bottom w:val="nil"/>
              <w:right w:val="single" w:sz="4" w:space="0" w:color="auto"/>
            </w:tcBorders>
            <w:shd w:val="clear" w:color="auto" w:fill="auto"/>
            <w:noWrap/>
            <w:vAlign w:val="bottom"/>
          </w:tcPr>
          <w:p w14:paraId="6CD30553"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1.04</w:t>
            </w:r>
          </w:p>
        </w:tc>
        <w:tc>
          <w:tcPr>
            <w:tcW w:w="898" w:type="dxa"/>
            <w:tcBorders>
              <w:top w:val="nil"/>
              <w:left w:val="single" w:sz="4" w:space="0" w:color="auto"/>
              <w:bottom w:val="nil"/>
              <w:right w:val="nil"/>
            </w:tcBorders>
            <w:shd w:val="clear" w:color="auto" w:fill="auto"/>
            <w:noWrap/>
            <w:vAlign w:val="bottom"/>
          </w:tcPr>
          <w:p w14:paraId="768025A1"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0.04</w:t>
            </w:r>
          </w:p>
        </w:tc>
        <w:tc>
          <w:tcPr>
            <w:tcW w:w="813" w:type="dxa"/>
            <w:tcBorders>
              <w:top w:val="nil"/>
              <w:left w:val="nil"/>
              <w:bottom w:val="nil"/>
              <w:right w:val="nil"/>
            </w:tcBorders>
            <w:shd w:val="clear" w:color="auto" w:fill="auto"/>
            <w:noWrap/>
            <w:vAlign w:val="bottom"/>
          </w:tcPr>
          <w:p w14:paraId="2D3081A8"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0.01***</w:t>
            </w:r>
          </w:p>
        </w:tc>
        <w:tc>
          <w:tcPr>
            <w:tcW w:w="931" w:type="dxa"/>
            <w:tcBorders>
              <w:top w:val="nil"/>
              <w:left w:val="nil"/>
              <w:bottom w:val="nil"/>
              <w:right w:val="nil"/>
            </w:tcBorders>
            <w:shd w:val="clear" w:color="auto" w:fill="auto"/>
            <w:noWrap/>
            <w:vAlign w:val="bottom"/>
          </w:tcPr>
          <w:p w14:paraId="38EAE0B9"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-0.05</w:t>
            </w:r>
          </w:p>
        </w:tc>
        <w:tc>
          <w:tcPr>
            <w:tcW w:w="1005" w:type="dxa"/>
            <w:tcBorders>
              <w:top w:val="nil"/>
              <w:left w:val="nil"/>
              <w:bottom w:val="nil"/>
              <w:right w:val="nil"/>
            </w:tcBorders>
            <w:shd w:val="clear" w:color="auto" w:fill="auto"/>
            <w:noWrap/>
            <w:vAlign w:val="bottom"/>
          </w:tcPr>
          <w:p w14:paraId="25BBF91E"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-0.05*</w:t>
            </w:r>
          </w:p>
        </w:tc>
        <w:tc>
          <w:tcPr>
            <w:tcW w:w="967" w:type="dxa"/>
            <w:tcBorders>
              <w:top w:val="nil"/>
              <w:left w:val="nil"/>
              <w:bottom w:val="nil"/>
              <w:right w:val="nil"/>
            </w:tcBorders>
            <w:vAlign w:val="bottom"/>
          </w:tcPr>
          <w:p w14:paraId="3750BA8F"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1.00</w:t>
            </w:r>
          </w:p>
        </w:tc>
        <w:tc>
          <w:tcPr>
            <w:tcW w:w="1077" w:type="dxa"/>
            <w:tcBorders>
              <w:top w:val="nil"/>
              <w:left w:val="nil"/>
              <w:bottom w:val="nil"/>
              <w:right w:val="nil"/>
            </w:tcBorders>
            <w:shd w:val="clear" w:color="auto" w:fill="auto"/>
            <w:noWrap/>
            <w:vAlign w:val="bottom"/>
          </w:tcPr>
          <w:p w14:paraId="2F11BE71"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941" w:type="dxa"/>
            <w:tcBorders>
              <w:top w:val="nil"/>
              <w:left w:val="nil"/>
              <w:bottom w:val="nil"/>
              <w:right w:val="nil"/>
            </w:tcBorders>
            <w:shd w:val="clear" w:color="auto" w:fill="auto"/>
            <w:noWrap/>
            <w:vAlign w:val="bottom"/>
          </w:tcPr>
          <w:p w14:paraId="56C3BB42"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auto"/>
            <w:noWrap/>
            <w:vAlign w:val="bottom"/>
          </w:tcPr>
          <w:p w14:paraId="2DF3B463"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auto"/>
            <w:noWrap/>
            <w:vAlign w:val="bottom"/>
          </w:tcPr>
          <w:p w14:paraId="795BF288"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612" w:type="dxa"/>
            <w:tcBorders>
              <w:top w:val="nil"/>
              <w:left w:val="nil"/>
              <w:bottom w:val="nil"/>
              <w:right w:val="nil"/>
            </w:tcBorders>
            <w:shd w:val="clear" w:color="auto" w:fill="auto"/>
            <w:noWrap/>
            <w:vAlign w:val="bottom"/>
          </w:tcPr>
          <w:p w14:paraId="577450ED"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r>
      <w:tr w:rsidR="00AE77D4" w:rsidRPr="00AE77D4" w14:paraId="520FA2FF" w14:textId="77777777" w:rsidTr="00FB5671">
        <w:trPr>
          <w:trHeight w:val="182"/>
        </w:trPr>
        <w:tc>
          <w:tcPr>
            <w:tcW w:w="1007" w:type="dxa"/>
            <w:tcBorders>
              <w:top w:val="nil"/>
              <w:left w:val="nil"/>
              <w:bottom w:val="nil"/>
              <w:right w:val="single" w:sz="4" w:space="0" w:color="auto"/>
            </w:tcBorders>
            <w:shd w:val="clear" w:color="auto" w:fill="E7E6E6" w:themeFill="background2"/>
            <w:noWrap/>
            <w:vAlign w:val="bottom"/>
          </w:tcPr>
          <w:p w14:paraId="66E17498"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DUALITY</w:t>
            </w:r>
          </w:p>
        </w:tc>
        <w:tc>
          <w:tcPr>
            <w:tcW w:w="567" w:type="dxa"/>
            <w:tcBorders>
              <w:top w:val="nil"/>
              <w:left w:val="single" w:sz="4" w:space="0" w:color="auto"/>
              <w:bottom w:val="nil"/>
              <w:right w:val="single" w:sz="4" w:space="0" w:color="auto"/>
            </w:tcBorders>
            <w:shd w:val="clear" w:color="auto" w:fill="E7E6E6" w:themeFill="background2"/>
            <w:noWrap/>
            <w:vAlign w:val="bottom"/>
          </w:tcPr>
          <w:p w14:paraId="7242D40A"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1.02</w:t>
            </w:r>
          </w:p>
        </w:tc>
        <w:tc>
          <w:tcPr>
            <w:tcW w:w="898" w:type="dxa"/>
            <w:tcBorders>
              <w:top w:val="nil"/>
              <w:left w:val="single" w:sz="4" w:space="0" w:color="auto"/>
              <w:bottom w:val="nil"/>
              <w:right w:val="nil"/>
            </w:tcBorders>
            <w:shd w:val="clear" w:color="auto" w:fill="E7E6E6" w:themeFill="background2"/>
            <w:noWrap/>
            <w:vAlign w:val="bottom"/>
          </w:tcPr>
          <w:p w14:paraId="08CD8842"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-0.02</w:t>
            </w:r>
          </w:p>
        </w:tc>
        <w:tc>
          <w:tcPr>
            <w:tcW w:w="813" w:type="dxa"/>
            <w:tcBorders>
              <w:top w:val="nil"/>
              <w:left w:val="nil"/>
              <w:bottom w:val="nil"/>
              <w:right w:val="nil"/>
            </w:tcBorders>
            <w:shd w:val="clear" w:color="auto" w:fill="E7E6E6" w:themeFill="background2"/>
            <w:noWrap/>
            <w:vAlign w:val="bottom"/>
          </w:tcPr>
          <w:p w14:paraId="4FF112C8"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0.05</w:t>
            </w:r>
          </w:p>
        </w:tc>
        <w:tc>
          <w:tcPr>
            <w:tcW w:w="931" w:type="dxa"/>
            <w:tcBorders>
              <w:top w:val="nil"/>
              <w:left w:val="nil"/>
              <w:bottom w:val="nil"/>
              <w:right w:val="nil"/>
            </w:tcBorders>
            <w:shd w:val="clear" w:color="auto" w:fill="E7E6E6" w:themeFill="background2"/>
            <w:noWrap/>
            <w:vAlign w:val="bottom"/>
          </w:tcPr>
          <w:p w14:paraId="6E6A7572"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-0.03</w:t>
            </w:r>
          </w:p>
        </w:tc>
        <w:tc>
          <w:tcPr>
            <w:tcW w:w="1005" w:type="dxa"/>
            <w:tcBorders>
              <w:top w:val="nil"/>
              <w:left w:val="nil"/>
              <w:bottom w:val="nil"/>
              <w:right w:val="nil"/>
            </w:tcBorders>
            <w:shd w:val="clear" w:color="auto" w:fill="E7E6E6" w:themeFill="background2"/>
            <w:noWrap/>
            <w:vAlign w:val="bottom"/>
          </w:tcPr>
          <w:p w14:paraId="05287ABF"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0.08**</w:t>
            </w:r>
          </w:p>
        </w:tc>
        <w:tc>
          <w:tcPr>
            <w:tcW w:w="967" w:type="dxa"/>
            <w:tcBorders>
              <w:top w:val="nil"/>
              <w:left w:val="nil"/>
              <w:bottom w:val="nil"/>
              <w:right w:val="nil"/>
            </w:tcBorders>
            <w:shd w:val="clear" w:color="auto" w:fill="E7E6E6" w:themeFill="background2"/>
            <w:vAlign w:val="bottom"/>
          </w:tcPr>
          <w:p w14:paraId="7CF9AD40"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0.00</w:t>
            </w:r>
          </w:p>
        </w:tc>
        <w:tc>
          <w:tcPr>
            <w:tcW w:w="1077" w:type="dxa"/>
            <w:tcBorders>
              <w:top w:val="nil"/>
              <w:left w:val="nil"/>
              <w:bottom w:val="nil"/>
              <w:right w:val="nil"/>
            </w:tcBorders>
            <w:shd w:val="clear" w:color="auto" w:fill="E7E6E6" w:themeFill="background2"/>
            <w:noWrap/>
            <w:vAlign w:val="bottom"/>
          </w:tcPr>
          <w:p w14:paraId="1178757A"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1.00</w:t>
            </w:r>
          </w:p>
        </w:tc>
        <w:tc>
          <w:tcPr>
            <w:tcW w:w="941" w:type="dxa"/>
            <w:tcBorders>
              <w:top w:val="nil"/>
              <w:left w:val="nil"/>
              <w:bottom w:val="nil"/>
              <w:right w:val="nil"/>
            </w:tcBorders>
            <w:shd w:val="clear" w:color="auto" w:fill="E7E6E6" w:themeFill="background2"/>
            <w:noWrap/>
            <w:vAlign w:val="bottom"/>
          </w:tcPr>
          <w:p w14:paraId="553F7B26"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E7E6E6" w:themeFill="background2"/>
            <w:noWrap/>
            <w:vAlign w:val="bottom"/>
          </w:tcPr>
          <w:p w14:paraId="7F64329F"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E7E6E6" w:themeFill="background2"/>
            <w:noWrap/>
            <w:vAlign w:val="bottom"/>
          </w:tcPr>
          <w:p w14:paraId="41F70B74"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612" w:type="dxa"/>
            <w:tcBorders>
              <w:top w:val="nil"/>
              <w:left w:val="nil"/>
              <w:bottom w:val="nil"/>
              <w:right w:val="nil"/>
            </w:tcBorders>
            <w:shd w:val="clear" w:color="auto" w:fill="E7E6E6" w:themeFill="background2"/>
            <w:noWrap/>
            <w:vAlign w:val="bottom"/>
          </w:tcPr>
          <w:p w14:paraId="3D7F2733"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r>
      <w:tr w:rsidR="00AE77D4" w:rsidRPr="00AE77D4" w14:paraId="4C9EBA92" w14:textId="77777777" w:rsidTr="00FB5671">
        <w:trPr>
          <w:trHeight w:val="182"/>
        </w:trPr>
        <w:tc>
          <w:tcPr>
            <w:tcW w:w="1007" w:type="dxa"/>
            <w:tcBorders>
              <w:top w:val="nil"/>
              <w:left w:val="nil"/>
              <w:bottom w:val="nil"/>
              <w:right w:val="single" w:sz="4" w:space="0" w:color="auto"/>
            </w:tcBorders>
            <w:shd w:val="clear" w:color="auto" w:fill="auto"/>
            <w:noWrap/>
            <w:vAlign w:val="bottom"/>
          </w:tcPr>
          <w:p w14:paraId="3CECF7D0"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ADCOM</w:t>
            </w:r>
          </w:p>
        </w:tc>
        <w:tc>
          <w:tcPr>
            <w:tcW w:w="567" w:type="dxa"/>
            <w:tcBorders>
              <w:top w:val="nil"/>
              <w:left w:val="single" w:sz="4" w:space="0" w:color="auto"/>
              <w:bottom w:val="nil"/>
              <w:right w:val="single" w:sz="4" w:space="0" w:color="auto"/>
            </w:tcBorders>
            <w:shd w:val="clear" w:color="auto" w:fill="auto"/>
            <w:noWrap/>
            <w:vAlign w:val="bottom"/>
          </w:tcPr>
          <w:p w14:paraId="69EBC4F8"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1.16</w:t>
            </w:r>
          </w:p>
        </w:tc>
        <w:tc>
          <w:tcPr>
            <w:tcW w:w="898" w:type="dxa"/>
            <w:tcBorders>
              <w:top w:val="nil"/>
              <w:left w:val="single" w:sz="4" w:space="0" w:color="auto"/>
              <w:bottom w:val="nil"/>
              <w:right w:val="nil"/>
            </w:tcBorders>
            <w:shd w:val="clear" w:color="auto" w:fill="auto"/>
            <w:noWrap/>
            <w:vAlign w:val="bottom"/>
          </w:tcPr>
          <w:p w14:paraId="14F05934"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0.08**</w:t>
            </w:r>
          </w:p>
        </w:tc>
        <w:tc>
          <w:tcPr>
            <w:tcW w:w="813" w:type="dxa"/>
            <w:tcBorders>
              <w:top w:val="nil"/>
              <w:left w:val="nil"/>
              <w:bottom w:val="nil"/>
              <w:right w:val="nil"/>
            </w:tcBorders>
            <w:shd w:val="clear" w:color="auto" w:fill="auto"/>
            <w:noWrap/>
            <w:vAlign w:val="bottom"/>
          </w:tcPr>
          <w:p w14:paraId="639AE413"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-0.6*</w:t>
            </w:r>
          </w:p>
        </w:tc>
        <w:tc>
          <w:tcPr>
            <w:tcW w:w="931" w:type="dxa"/>
            <w:tcBorders>
              <w:top w:val="nil"/>
              <w:left w:val="nil"/>
              <w:bottom w:val="nil"/>
              <w:right w:val="nil"/>
            </w:tcBorders>
            <w:shd w:val="clear" w:color="auto" w:fill="auto"/>
            <w:noWrap/>
            <w:vAlign w:val="bottom"/>
          </w:tcPr>
          <w:p w14:paraId="482C91FB"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0.28***</w:t>
            </w:r>
          </w:p>
        </w:tc>
        <w:tc>
          <w:tcPr>
            <w:tcW w:w="1005" w:type="dxa"/>
            <w:tcBorders>
              <w:top w:val="nil"/>
              <w:left w:val="nil"/>
              <w:bottom w:val="nil"/>
              <w:right w:val="nil"/>
            </w:tcBorders>
            <w:shd w:val="clear" w:color="auto" w:fill="auto"/>
            <w:noWrap/>
            <w:vAlign w:val="bottom"/>
          </w:tcPr>
          <w:p w14:paraId="70E9254B"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0.00</w:t>
            </w:r>
          </w:p>
        </w:tc>
        <w:tc>
          <w:tcPr>
            <w:tcW w:w="967" w:type="dxa"/>
            <w:tcBorders>
              <w:top w:val="nil"/>
              <w:left w:val="nil"/>
              <w:bottom w:val="nil"/>
              <w:right w:val="nil"/>
            </w:tcBorders>
            <w:vAlign w:val="bottom"/>
          </w:tcPr>
          <w:p w14:paraId="3B48A9A7"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0.00</w:t>
            </w:r>
          </w:p>
        </w:tc>
        <w:tc>
          <w:tcPr>
            <w:tcW w:w="1077" w:type="dxa"/>
            <w:tcBorders>
              <w:top w:val="nil"/>
              <w:left w:val="nil"/>
              <w:bottom w:val="nil"/>
              <w:right w:val="nil"/>
            </w:tcBorders>
            <w:shd w:val="clear" w:color="auto" w:fill="auto"/>
            <w:noWrap/>
            <w:vAlign w:val="bottom"/>
          </w:tcPr>
          <w:p w14:paraId="6DA14BCC"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-0.09**</w:t>
            </w:r>
          </w:p>
        </w:tc>
        <w:tc>
          <w:tcPr>
            <w:tcW w:w="941" w:type="dxa"/>
            <w:tcBorders>
              <w:top w:val="nil"/>
              <w:left w:val="nil"/>
              <w:bottom w:val="nil"/>
              <w:right w:val="nil"/>
            </w:tcBorders>
            <w:shd w:val="clear" w:color="auto" w:fill="auto"/>
            <w:noWrap/>
            <w:vAlign w:val="bottom"/>
          </w:tcPr>
          <w:p w14:paraId="5FE5D309"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1.00</w:t>
            </w:r>
          </w:p>
        </w:tc>
        <w:tc>
          <w:tcPr>
            <w:tcW w:w="757" w:type="dxa"/>
            <w:tcBorders>
              <w:top w:val="nil"/>
              <w:left w:val="nil"/>
              <w:bottom w:val="nil"/>
              <w:right w:val="nil"/>
            </w:tcBorders>
            <w:shd w:val="clear" w:color="auto" w:fill="auto"/>
            <w:noWrap/>
            <w:vAlign w:val="bottom"/>
          </w:tcPr>
          <w:p w14:paraId="0EDDD8C3"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757" w:type="dxa"/>
            <w:tcBorders>
              <w:top w:val="nil"/>
              <w:left w:val="nil"/>
              <w:bottom w:val="nil"/>
              <w:right w:val="nil"/>
            </w:tcBorders>
            <w:shd w:val="clear" w:color="auto" w:fill="auto"/>
            <w:noWrap/>
            <w:vAlign w:val="bottom"/>
          </w:tcPr>
          <w:p w14:paraId="6FD1782B"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612" w:type="dxa"/>
            <w:tcBorders>
              <w:top w:val="nil"/>
              <w:left w:val="nil"/>
              <w:bottom w:val="nil"/>
              <w:right w:val="nil"/>
            </w:tcBorders>
            <w:shd w:val="clear" w:color="auto" w:fill="auto"/>
            <w:noWrap/>
            <w:vAlign w:val="bottom"/>
          </w:tcPr>
          <w:p w14:paraId="51FC06D3"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r>
      <w:tr w:rsidR="00AE77D4" w:rsidRPr="00AE77D4" w14:paraId="39421ECA" w14:textId="77777777" w:rsidTr="00FB5671">
        <w:trPr>
          <w:trHeight w:val="182"/>
        </w:trPr>
        <w:tc>
          <w:tcPr>
            <w:tcW w:w="1007" w:type="dxa"/>
            <w:tcBorders>
              <w:top w:val="nil"/>
              <w:left w:val="nil"/>
              <w:bottom w:val="nil"/>
              <w:right w:val="single" w:sz="4" w:space="0" w:color="auto"/>
            </w:tcBorders>
            <w:shd w:val="clear" w:color="auto" w:fill="E7E6E6" w:themeFill="background2"/>
            <w:noWrap/>
            <w:vAlign w:val="bottom"/>
          </w:tcPr>
          <w:p w14:paraId="00685ECA"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SIZE</w:t>
            </w:r>
          </w:p>
        </w:tc>
        <w:tc>
          <w:tcPr>
            <w:tcW w:w="567" w:type="dxa"/>
            <w:tcBorders>
              <w:top w:val="nil"/>
              <w:left w:val="single" w:sz="4" w:space="0" w:color="auto"/>
              <w:bottom w:val="nil"/>
              <w:right w:val="single" w:sz="4" w:space="0" w:color="auto"/>
            </w:tcBorders>
            <w:shd w:val="clear" w:color="auto" w:fill="E7E6E6" w:themeFill="background2"/>
            <w:noWrap/>
            <w:vAlign w:val="bottom"/>
          </w:tcPr>
          <w:p w14:paraId="3F092680"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1.05</w:t>
            </w:r>
          </w:p>
        </w:tc>
        <w:tc>
          <w:tcPr>
            <w:tcW w:w="898" w:type="dxa"/>
            <w:tcBorders>
              <w:top w:val="nil"/>
              <w:left w:val="single" w:sz="4" w:space="0" w:color="auto"/>
              <w:bottom w:val="nil"/>
              <w:right w:val="nil"/>
            </w:tcBorders>
            <w:shd w:val="clear" w:color="auto" w:fill="E7E6E6" w:themeFill="background2"/>
            <w:noWrap/>
            <w:vAlign w:val="bottom"/>
          </w:tcPr>
          <w:p w14:paraId="5D16E267"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0.03</w:t>
            </w:r>
          </w:p>
        </w:tc>
        <w:tc>
          <w:tcPr>
            <w:tcW w:w="813" w:type="dxa"/>
            <w:tcBorders>
              <w:top w:val="nil"/>
              <w:left w:val="nil"/>
              <w:bottom w:val="nil"/>
              <w:right w:val="nil"/>
            </w:tcBorders>
            <w:shd w:val="clear" w:color="auto" w:fill="E7E6E6" w:themeFill="background2"/>
            <w:noWrap/>
            <w:vAlign w:val="bottom"/>
          </w:tcPr>
          <w:p w14:paraId="51F872D7"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0.07*</w:t>
            </w:r>
          </w:p>
        </w:tc>
        <w:tc>
          <w:tcPr>
            <w:tcW w:w="931" w:type="dxa"/>
            <w:tcBorders>
              <w:top w:val="nil"/>
              <w:left w:val="nil"/>
              <w:bottom w:val="nil"/>
              <w:right w:val="nil"/>
            </w:tcBorders>
            <w:shd w:val="clear" w:color="auto" w:fill="E7E6E6" w:themeFill="background2"/>
            <w:noWrap/>
            <w:vAlign w:val="bottom"/>
          </w:tcPr>
          <w:p w14:paraId="435A91C0"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0.07*</w:t>
            </w:r>
          </w:p>
        </w:tc>
        <w:tc>
          <w:tcPr>
            <w:tcW w:w="1005" w:type="dxa"/>
            <w:tcBorders>
              <w:top w:val="nil"/>
              <w:left w:val="nil"/>
              <w:bottom w:val="nil"/>
              <w:right w:val="nil"/>
            </w:tcBorders>
            <w:shd w:val="clear" w:color="auto" w:fill="E7E6E6" w:themeFill="background2"/>
            <w:noWrap/>
            <w:vAlign w:val="bottom"/>
          </w:tcPr>
          <w:p w14:paraId="04963EF5"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0.04</w:t>
            </w:r>
          </w:p>
        </w:tc>
        <w:tc>
          <w:tcPr>
            <w:tcW w:w="967" w:type="dxa"/>
            <w:tcBorders>
              <w:top w:val="nil"/>
              <w:left w:val="nil"/>
              <w:bottom w:val="nil"/>
              <w:right w:val="nil"/>
            </w:tcBorders>
            <w:shd w:val="clear" w:color="auto" w:fill="E7E6E6" w:themeFill="background2"/>
            <w:vAlign w:val="bottom"/>
          </w:tcPr>
          <w:p w14:paraId="12F9E611"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-0.08*</w:t>
            </w:r>
          </w:p>
        </w:tc>
        <w:tc>
          <w:tcPr>
            <w:tcW w:w="1077" w:type="dxa"/>
            <w:tcBorders>
              <w:top w:val="nil"/>
              <w:left w:val="nil"/>
              <w:bottom w:val="nil"/>
              <w:right w:val="nil"/>
            </w:tcBorders>
            <w:shd w:val="clear" w:color="auto" w:fill="E7E6E6" w:themeFill="background2"/>
            <w:noWrap/>
            <w:vAlign w:val="bottom"/>
          </w:tcPr>
          <w:p w14:paraId="17FBE256"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-0.01</w:t>
            </w:r>
          </w:p>
        </w:tc>
        <w:tc>
          <w:tcPr>
            <w:tcW w:w="941" w:type="dxa"/>
            <w:tcBorders>
              <w:top w:val="nil"/>
              <w:left w:val="nil"/>
              <w:bottom w:val="nil"/>
              <w:right w:val="nil"/>
            </w:tcBorders>
            <w:shd w:val="clear" w:color="auto" w:fill="E7E6E6" w:themeFill="background2"/>
            <w:noWrap/>
            <w:vAlign w:val="bottom"/>
          </w:tcPr>
          <w:p w14:paraId="3526ADA6"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-0.12***</w:t>
            </w:r>
          </w:p>
        </w:tc>
        <w:tc>
          <w:tcPr>
            <w:tcW w:w="757" w:type="dxa"/>
            <w:tcBorders>
              <w:top w:val="nil"/>
              <w:left w:val="nil"/>
              <w:bottom w:val="nil"/>
              <w:right w:val="nil"/>
            </w:tcBorders>
            <w:shd w:val="clear" w:color="auto" w:fill="E7E6E6" w:themeFill="background2"/>
            <w:noWrap/>
            <w:vAlign w:val="bottom"/>
          </w:tcPr>
          <w:p w14:paraId="27E079D2"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1.00</w:t>
            </w:r>
          </w:p>
        </w:tc>
        <w:tc>
          <w:tcPr>
            <w:tcW w:w="757" w:type="dxa"/>
            <w:tcBorders>
              <w:top w:val="nil"/>
              <w:left w:val="nil"/>
              <w:bottom w:val="nil"/>
              <w:right w:val="nil"/>
            </w:tcBorders>
            <w:shd w:val="clear" w:color="auto" w:fill="E7E6E6" w:themeFill="background2"/>
            <w:noWrap/>
            <w:vAlign w:val="bottom"/>
          </w:tcPr>
          <w:p w14:paraId="69AE2FD3"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c>
          <w:tcPr>
            <w:tcW w:w="612" w:type="dxa"/>
            <w:tcBorders>
              <w:top w:val="nil"/>
              <w:left w:val="nil"/>
              <w:bottom w:val="nil"/>
              <w:right w:val="nil"/>
            </w:tcBorders>
            <w:shd w:val="clear" w:color="auto" w:fill="E7E6E6" w:themeFill="background2"/>
            <w:noWrap/>
            <w:vAlign w:val="bottom"/>
          </w:tcPr>
          <w:p w14:paraId="5A6D96E1"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r>
      <w:tr w:rsidR="00AE77D4" w:rsidRPr="00AE77D4" w14:paraId="7B8BE9AC" w14:textId="77777777" w:rsidTr="00FB5671">
        <w:trPr>
          <w:trHeight w:val="182"/>
        </w:trPr>
        <w:tc>
          <w:tcPr>
            <w:tcW w:w="1007" w:type="dxa"/>
            <w:tcBorders>
              <w:top w:val="nil"/>
              <w:left w:val="nil"/>
              <w:bottom w:val="nil"/>
              <w:right w:val="single" w:sz="4" w:space="0" w:color="auto"/>
            </w:tcBorders>
            <w:shd w:val="clear" w:color="auto" w:fill="auto"/>
            <w:noWrap/>
            <w:vAlign w:val="bottom"/>
          </w:tcPr>
          <w:p w14:paraId="38A3F82F"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ROA</w:t>
            </w:r>
          </w:p>
        </w:tc>
        <w:tc>
          <w:tcPr>
            <w:tcW w:w="567" w:type="dxa"/>
            <w:tcBorders>
              <w:top w:val="nil"/>
              <w:left w:val="single" w:sz="4" w:space="0" w:color="auto"/>
              <w:bottom w:val="nil"/>
              <w:right w:val="single" w:sz="4" w:space="0" w:color="auto"/>
            </w:tcBorders>
            <w:shd w:val="clear" w:color="auto" w:fill="auto"/>
            <w:noWrap/>
            <w:vAlign w:val="bottom"/>
          </w:tcPr>
          <w:p w14:paraId="057503E3"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1.02</w:t>
            </w:r>
          </w:p>
        </w:tc>
        <w:tc>
          <w:tcPr>
            <w:tcW w:w="898" w:type="dxa"/>
            <w:tcBorders>
              <w:top w:val="nil"/>
              <w:left w:val="single" w:sz="4" w:space="0" w:color="auto"/>
              <w:bottom w:val="nil"/>
              <w:right w:val="nil"/>
            </w:tcBorders>
            <w:shd w:val="clear" w:color="auto" w:fill="auto"/>
            <w:noWrap/>
            <w:vAlign w:val="bottom"/>
          </w:tcPr>
          <w:p w14:paraId="7522C2A6"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0.00</w:t>
            </w:r>
          </w:p>
        </w:tc>
        <w:tc>
          <w:tcPr>
            <w:tcW w:w="813" w:type="dxa"/>
            <w:tcBorders>
              <w:top w:val="nil"/>
              <w:left w:val="nil"/>
              <w:bottom w:val="nil"/>
              <w:right w:val="nil"/>
            </w:tcBorders>
            <w:shd w:val="clear" w:color="auto" w:fill="auto"/>
            <w:noWrap/>
            <w:vAlign w:val="bottom"/>
          </w:tcPr>
          <w:p w14:paraId="51925A6E"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-0.00</w:t>
            </w:r>
          </w:p>
        </w:tc>
        <w:tc>
          <w:tcPr>
            <w:tcW w:w="931" w:type="dxa"/>
            <w:tcBorders>
              <w:top w:val="nil"/>
              <w:left w:val="nil"/>
              <w:bottom w:val="nil"/>
              <w:right w:val="nil"/>
            </w:tcBorders>
            <w:shd w:val="clear" w:color="auto" w:fill="auto"/>
            <w:noWrap/>
            <w:vAlign w:val="bottom"/>
          </w:tcPr>
          <w:p w14:paraId="76A41F06"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0.04</w:t>
            </w:r>
          </w:p>
        </w:tc>
        <w:tc>
          <w:tcPr>
            <w:tcW w:w="1005" w:type="dxa"/>
            <w:tcBorders>
              <w:top w:val="nil"/>
              <w:left w:val="nil"/>
              <w:bottom w:val="nil"/>
              <w:right w:val="nil"/>
            </w:tcBorders>
            <w:shd w:val="clear" w:color="auto" w:fill="auto"/>
            <w:noWrap/>
            <w:vAlign w:val="bottom"/>
          </w:tcPr>
          <w:p w14:paraId="11472D0F"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-0.03</w:t>
            </w:r>
          </w:p>
        </w:tc>
        <w:tc>
          <w:tcPr>
            <w:tcW w:w="967" w:type="dxa"/>
            <w:tcBorders>
              <w:top w:val="nil"/>
              <w:left w:val="nil"/>
              <w:bottom w:val="nil"/>
              <w:right w:val="nil"/>
            </w:tcBorders>
            <w:vAlign w:val="bottom"/>
          </w:tcPr>
          <w:p w14:paraId="72983FEF"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0.03</w:t>
            </w:r>
          </w:p>
        </w:tc>
        <w:tc>
          <w:tcPr>
            <w:tcW w:w="1077" w:type="dxa"/>
            <w:tcBorders>
              <w:top w:val="nil"/>
              <w:left w:val="nil"/>
              <w:bottom w:val="nil"/>
              <w:right w:val="nil"/>
            </w:tcBorders>
            <w:shd w:val="clear" w:color="auto" w:fill="auto"/>
            <w:noWrap/>
            <w:vAlign w:val="bottom"/>
          </w:tcPr>
          <w:p w14:paraId="55D9A976"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-0.01</w:t>
            </w:r>
          </w:p>
        </w:tc>
        <w:tc>
          <w:tcPr>
            <w:tcW w:w="941" w:type="dxa"/>
            <w:tcBorders>
              <w:top w:val="nil"/>
              <w:left w:val="nil"/>
              <w:bottom w:val="nil"/>
              <w:right w:val="nil"/>
            </w:tcBorders>
            <w:shd w:val="clear" w:color="auto" w:fill="auto"/>
            <w:noWrap/>
            <w:vAlign w:val="bottom"/>
          </w:tcPr>
          <w:p w14:paraId="1A46F474"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0.08**</w:t>
            </w:r>
          </w:p>
        </w:tc>
        <w:tc>
          <w:tcPr>
            <w:tcW w:w="757" w:type="dxa"/>
            <w:tcBorders>
              <w:top w:val="nil"/>
              <w:left w:val="nil"/>
              <w:bottom w:val="nil"/>
              <w:right w:val="nil"/>
            </w:tcBorders>
            <w:shd w:val="clear" w:color="auto" w:fill="auto"/>
            <w:noWrap/>
            <w:vAlign w:val="bottom"/>
          </w:tcPr>
          <w:p w14:paraId="2F1CBECA"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0.00</w:t>
            </w:r>
          </w:p>
        </w:tc>
        <w:tc>
          <w:tcPr>
            <w:tcW w:w="757" w:type="dxa"/>
            <w:tcBorders>
              <w:top w:val="nil"/>
              <w:left w:val="nil"/>
              <w:bottom w:val="nil"/>
              <w:right w:val="nil"/>
            </w:tcBorders>
            <w:shd w:val="clear" w:color="auto" w:fill="auto"/>
            <w:noWrap/>
            <w:vAlign w:val="bottom"/>
          </w:tcPr>
          <w:p w14:paraId="7CD00B25"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1.00</w:t>
            </w:r>
          </w:p>
        </w:tc>
        <w:tc>
          <w:tcPr>
            <w:tcW w:w="612" w:type="dxa"/>
            <w:tcBorders>
              <w:top w:val="nil"/>
              <w:left w:val="nil"/>
              <w:bottom w:val="nil"/>
              <w:right w:val="nil"/>
            </w:tcBorders>
            <w:shd w:val="clear" w:color="auto" w:fill="auto"/>
            <w:noWrap/>
            <w:vAlign w:val="bottom"/>
          </w:tcPr>
          <w:p w14:paraId="54487A62" w14:textId="77777777" w:rsidR="00403334" w:rsidRPr="00AE77D4" w:rsidRDefault="00403334" w:rsidP="00AE77D4">
            <w:pPr>
              <w:spacing w:after="0" w:line="276" w:lineRule="auto"/>
              <w:jc w:val="both"/>
              <w:rPr>
                <w:rFonts w:ascii="Times New Roman" w:eastAsia="Times New Roman" w:hAnsi="Times New Roman" w:cs="Times New Roman"/>
                <w:sz w:val="16"/>
                <w:szCs w:val="16"/>
                <w:lang w:val="en-GB"/>
              </w:rPr>
            </w:pPr>
          </w:p>
        </w:tc>
      </w:tr>
      <w:tr w:rsidR="00AE77D4" w:rsidRPr="00AE77D4" w14:paraId="01C87E1D" w14:textId="77777777" w:rsidTr="00FB5671">
        <w:trPr>
          <w:trHeight w:val="182"/>
        </w:trPr>
        <w:tc>
          <w:tcPr>
            <w:tcW w:w="1007" w:type="dxa"/>
            <w:tcBorders>
              <w:top w:val="nil"/>
              <w:left w:val="nil"/>
              <w:bottom w:val="nil"/>
              <w:right w:val="single" w:sz="4" w:space="0" w:color="auto"/>
            </w:tcBorders>
            <w:shd w:val="clear" w:color="auto" w:fill="E7E6E6" w:themeFill="background2"/>
            <w:noWrap/>
            <w:vAlign w:val="bottom"/>
          </w:tcPr>
          <w:p w14:paraId="41907727"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LEV</w:t>
            </w:r>
          </w:p>
        </w:tc>
        <w:tc>
          <w:tcPr>
            <w:tcW w:w="567" w:type="dxa"/>
            <w:tcBorders>
              <w:top w:val="nil"/>
              <w:left w:val="single" w:sz="4" w:space="0" w:color="auto"/>
              <w:bottom w:val="nil"/>
              <w:right w:val="single" w:sz="4" w:space="0" w:color="auto"/>
            </w:tcBorders>
            <w:shd w:val="clear" w:color="auto" w:fill="E7E6E6" w:themeFill="background2"/>
            <w:noWrap/>
            <w:vAlign w:val="bottom"/>
          </w:tcPr>
          <w:p w14:paraId="5E37DCD2"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1.03</w:t>
            </w:r>
          </w:p>
        </w:tc>
        <w:tc>
          <w:tcPr>
            <w:tcW w:w="898" w:type="dxa"/>
            <w:tcBorders>
              <w:top w:val="nil"/>
              <w:left w:val="single" w:sz="4" w:space="0" w:color="auto"/>
              <w:bottom w:val="nil"/>
              <w:right w:val="nil"/>
            </w:tcBorders>
            <w:shd w:val="clear" w:color="auto" w:fill="E7E6E6" w:themeFill="background2"/>
            <w:noWrap/>
            <w:vAlign w:val="bottom"/>
          </w:tcPr>
          <w:p w14:paraId="201F5356"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0.08**</w:t>
            </w:r>
          </w:p>
        </w:tc>
        <w:tc>
          <w:tcPr>
            <w:tcW w:w="813" w:type="dxa"/>
            <w:tcBorders>
              <w:top w:val="nil"/>
              <w:left w:val="nil"/>
              <w:bottom w:val="nil"/>
              <w:right w:val="nil"/>
            </w:tcBorders>
            <w:shd w:val="clear" w:color="auto" w:fill="E7E6E6" w:themeFill="background2"/>
            <w:noWrap/>
            <w:vAlign w:val="bottom"/>
          </w:tcPr>
          <w:p w14:paraId="6CCCC50F"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-0.01**</w:t>
            </w:r>
          </w:p>
        </w:tc>
        <w:tc>
          <w:tcPr>
            <w:tcW w:w="931" w:type="dxa"/>
            <w:tcBorders>
              <w:top w:val="nil"/>
              <w:left w:val="nil"/>
              <w:bottom w:val="nil"/>
              <w:right w:val="nil"/>
            </w:tcBorders>
            <w:shd w:val="clear" w:color="auto" w:fill="E7E6E6" w:themeFill="background2"/>
            <w:noWrap/>
            <w:vAlign w:val="bottom"/>
          </w:tcPr>
          <w:p w14:paraId="06B0C0D8"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-0.02</w:t>
            </w:r>
          </w:p>
        </w:tc>
        <w:tc>
          <w:tcPr>
            <w:tcW w:w="1005" w:type="dxa"/>
            <w:tcBorders>
              <w:top w:val="nil"/>
              <w:left w:val="nil"/>
              <w:bottom w:val="nil"/>
              <w:right w:val="nil"/>
            </w:tcBorders>
            <w:shd w:val="clear" w:color="auto" w:fill="E7E6E6" w:themeFill="background2"/>
            <w:noWrap/>
            <w:vAlign w:val="bottom"/>
          </w:tcPr>
          <w:p w14:paraId="45E2E3A1"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0.00</w:t>
            </w:r>
          </w:p>
        </w:tc>
        <w:tc>
          <w:tcPr>
            <w:tcW w:w="967" w:type="dxa"/>
            <w:tcBorders>
              <w:top w:val="nil"/>
              <w:left w:val="nil"/>
              <w:bottom w:val="nil"/>
              <w:right w:val="nil"/>
            </w:tcBorders>
            <w:shd w:val="clear" w:color="auto" w:fill="E7E6E6" w:themeFill="background2"/>
            <w:vAlign w:val="bottom"/>
          </w:tcPr>
          <w:p w14:paraId="2C436411"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0.09</w:t>
            </w:r>
          </w:p>
        </w:tc>
        <w:tc>
          <w:tcPr>
            <w:tcW w:w="1077" w:type="dxa"/>
            <w:tcBorders>
              <w:top w:val="nil"/>
              <w:left w:val="nil"/>
              <w:bottom w:val="nil"/>
              <w:right w:val="nil"/>
            </w:tcBorders>
            <w:shd w:val="clear" w:color="auto" w:fill="E7E6E6" w:themeFill="background2"/>
            <w:noWrap/>
            <w:vAlign w:val="bottom"/>
          </w:tcPr>
          <w:p w14:paraId="3062AC14"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-0.01</w:t>
            </w:r>
          </w:p>
        </w:tc>
        <w:tc>
          <w:tcPr>
            <w:tcW w:w="941" w:type="dxa"/>
            <w:tcBorders>
              <w:top w:val="nil"/>
              <w:left w:val="nil"/>
              <w:bottom w:val="nil"/>
              <w:right w:val="nil"/>
            </w:tcBorders>
            <w:shd w:val="clear" w:color="auto" w:fill="E7E6E6" w:themeFill="background2"/>
            <w:noWrap/>
            <w:vAlign w:val="bottom"/>
          </w:tcPr>
          <w:p w14:paraId="5470552E"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0.05*</w:t>
            </w:r>
          </w:p>
        </w:tc>
        <w:tc>
          <w:tcPr>
            <w:tcW w:w="757" w:type="dxa"/>
            <w:tcBorders>
              <w:top w:val="nil"/>
              <w:left w:val="nil"/>
              <w:bottom w:val="nil"/>
              <w:right w:val="nil"/>
            </w:tcBorders>
            <w:shd w:val="clear" w:color="auto" w:fill="E7E6E6" w:themeFill="background2"/>
            <w:noWrap/>
            <w:vAlign w:val="bottom"/>
          </w:tcPr>
          <w:p w14:paraId="74809E59"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-0.02</w:t>
            </w:r>
          </w:p>
        </w:tc>
        <w:tc>
          <w:tcPr>
            <w:tcW w:w="757" w:type="dxa"/>
            <w:tcBorders>
              <w:top w:val="nil"/>
              <w:left w:val="nil"/>
              <w:bottom w:val="nil"/>
              <w:right w:val="nil"/>
            </w:tcBorders>
            <w:shd w:val="clear" w:color="auto" w:fill="E7E6E6" w:themeFill="background2"/>
            <w:noWrap/>
            <w:vAlign w:val="bottom"/>
          </w:tcPr>
          <w:p w14:paraId="0547B7F8"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bidi="bn-BD"/>
              </w:rPr>
              <w:t>0.08**</w:t>
            </w:r>
          </w:p>
        </w:tc>
        <w:tc>
          <w:tcPr>
            <w:tcW w:w="612" w:type="dxa"/>
            <w:tcBorders>
              <w:top w:val="nil"/>
              <w:left w:val="nil"/>
              <w:bottom w:val="nil"/>
              <w:right w:val="nil"/>
            </w:tcBorders>
            <w:shd w:val="clear" w:color="auto" w:fill="E7E6E6" w:themeFill="background2"/>
            <w:noWrap/>
            <w:vAlign w:val="bottom"/>
          </w:tcPr>
          <w:p w14:paraId="2B694D55" w14:textId="77777777" w:rsidR="00403334" w:rsidRPr="00AE77D4" w:rsidRDefault="00661A05" w:rsidP="00AE77D4">
            <w:pPr>
              <w:spacing w:after="0" w:line="276" w:lineRule="auto"/>
              <w:jc w:val="both"/>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1.00</w:t>
            </w:r>
          </w:p>
        </w:tc>
      </w:tr>
      <w:tr w:rsidR="00AB775B" w:rsidRPr="00AE77D4" w14:paraId="660D0809" w14:textId="77777777" w:rsidTr="00A25231">
        <w:trPr>
          <w:trHeight w:val="182"/>
        </w:trPr>
        <w:tc>
          <w:tcPr>
            <w:tcW w:w="10332" w:type="dxa"/>
            <w:gridSpan w:val="12"/>
            <w:tcBorders>
              <w:top w:val="nil"/>
              <w:left w:val="nil"/>
              <w:bottom w:val="nil"/>
              <w:right w:val="nil"/>
            </w:tcBorders>
          </w:tcPr>
          <w:p w14:paraId="039AD5E9" w14:textId="77777777" w:rsidR="00403334" w:rsidRPr="00AE77D4" w:rsidRDefault="00661A05" w:rsidP="00AE77D4">
            <w:pPr>
              <w:autoSpaceDE w:val="0"/>
              <w:autoSpaceDN w:val="0"/>
              <w:adjustRightInd w:val="0"/>
              <w:spacing w:after="0" w:line="276" w:lineRule="auto"/>
              <w:jc w:val="both"/>
              <w:rPr>
                <w:rFonts w:ascii="Times New Roman" w:hAnsi="Times New Roman" w:cs="Times New Roman"/>
                <w:sz w:val="16"/>
                <w:szCs w:val="16"/>
                <w:lang w:val="en-GB"/>
              </w:rPr>
            </w:pPr>
            <w:r w:rsidRPr="00AE77D4">
              <w:rPr>
                <w:rFonts w:ascii="Times New Roman" w:hAnsi="Times New Roman" w:cs="Times New Roman"/>
                <w:sz w:val="16"/>
                <w:szCs w:val="16"/>
                <w:lang w:val="en-GB"/>
              </w:rPr>
              <w:t>Notes: (1) *, **, *** significance at 10%, 5%, and 1% levels of confidence, respectively. (2) See Table 2 for variable definitions.</w:t>
            </w:r>
          </w:p>
        </w:tc>
      </w:tr>
    </w:tbl>
    <w:p w14:paraId="08B84DFA" w14:textId="77777777" w:rsidR="00403334" w:rsidRPr="00AE77D4" w:rsidRDefault="00403334" w:rsidP="00AE77D4">
      <w:pPr>
        <w:spacing w:line="276" w:lineRule="auto"/>
        <w:jc w:val="both"/>
        <w:rPr>
          <w:rFonts w:ascii="Times New Roman" w:eastAsia="Times New Roman" w:hAnsi="Times New Roman" w:cs="Times New Roman"/>
          <w:sz w:val="24"/>
          <w:szCs w:val="24"/>
          <w:lang w:val="en-GB"/>
        </w:rPr>
      </w:pPr>
    </w:p>
    <w:p w14:paraId="2478C126" w14:textId="502DBED2" w:rsidR="009E5B72"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b/>
          <w:sz w:val="24"/>
          <w:szCs w:val="24"/>
          <w:lang w:val="en-GB"/>
        </w:rPr>
        <w:t xml:space="preserve">6.2 | </w:t>
      </w:r>
      <w:r w:rsidRPr="00AE77D4">
        <w:rPr>
          <w:rFonts w:ascii="Times New Roman" w:hAnsi="Times New Roman" w:cs="Times New Roman"/>
          <w:b/>
          <w:bCs/>
          <w:sz w:val="24"/>
          <w:szCs w:val="24"/>
          <w:lang w:val="en-GB"/>
        </w:rPr>
        <w:t>Multivariate Regression Results</w:t>
      </w:r>
    </w:p>
    <w:p w14:paraId="03497C4B" w14:textId="041463C1" w:rsidR="002E69A8"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Tables 5, 6, and 7 present the outcomes of the analysis exploring the impact of various board characteristics on Climate Change Disclosure (CCD) for distinct periods: 2014-2017 (pre-amendment), 2018-2021 (post-amendment), and 2014-2021 (entire period). Employing regression models, this study assessed the effects of individual and collective board attributes </w:t>
      </w:r>
      <w:r w:rsidRPr="00AE77D4">
        <w:rPr>
          <w:rFonts w:ascii="Times New Roman" w:hAnsi="Times New Roman" w:cs="Times New Roman"/>
          <w:sz w:val="24"/>
          <w:szCs w:val="24"/>
          <w:lang w:val="en-GB"/>
        </w:rPr>
        <w:lastRenderedPageBreak/>
        <w:t>on the CCD of environmentally sensitive firms. Specifically, Models 1 to 7 delineate the influence of specific board attributes on CCD, whereas Model 8 encapsulates the cumulative impact of all board variables.</w:t>
      </w:r>
    </w:p>
    <w:p w14:paraId="5BFADCE3" w14:textId="478FD286" w:rsidR="002E69A8"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In the pre-amendment period of Corporate Governance (CG), Models 1 and 8 in Table 5 reveal a noteworthy positive association between board size (BSIZE) and CCD. This positive correlation persisted in the post-amendment period, as indicated in Table 6, and was consistent across the entire period (Table 7), supporting the empirical validation of Hypothesis 1.</w:t>
      </w:r>
    </w:p>
    <w:p w14:paraId="00702445" w14:textId="738C3B10" w:rsidR="002E69A8"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Conversely, Models 2 and 8 do not yield substantial evidence of a connection between independent directors and CCD in the pre- and post-amendment CG</w:t>
      </w:r>
      <w:r w:rsidRPr="00AE77D4">
        <w:rPr>
          <w:rFonts w:ascii="Times New Roman" w:eastAsia="Calibri" w:hAnsi="Times New Roman" w:cs="Times New Roman"/>
          <w:sz w:val="24"/>
          <w:szCs w:val="24"/>
          <w:lang w:val="en-GB"/>
        </w:rPr>
        <w:t xml:space="preserve"> periods. However, Table 7 reveals a robust association, partially affirming Hypothesis 2.</w:t>
      </w:r>
    </w:p>
    <w:p w14:paraId="5DC77EB8" w14:textId="65C2D397" w:rsidR="002E69A8"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In the pre- and post-amendment periods, Models 3 and 8 exhibit a significant positive correlation between foreign directors and CCD. This positive relationship endures across the entire period, reinforcing Hypothesis 3.</w:t>
      </w:r>
    </w:p>
    <w:p w14:paraId="652FCD9D" w14:textId="65D3E517" w:rsidR="002E69A8"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Examining the impact of gender diversity on CCD in Models 4 and 8, the findings suggest a minor influence during both pre- and post-CG amendment periods. However, Model 4 in Table 7 presents a negative association between gender diversity and CCD, consistent with previous research (Al Kurdi et al., 2023).</w:t>
      </w:r>
    </w:p>
    <w:p w14:paraId="11436CFC" w14:textId="280F731C" w:rsidR="002E69A8"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Models 5 and 8 reveal an insignificant negative relationship between the frequency of board meetings and CCD, contradicting Hypothesis 5. This finding challenges the theoretical notion that frequent board meetings provide an optimal platform to address climate-related concerns.</w:t>
      </w:r>
    </w:p>
    <w:p w14:paraId="63FAB05D" w14:textId="77777777" w:rsidR="002E69A8"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For CEO duality, Models 6 and 8 demonstrate a negatively significant impact on CCD during both </w:t>
      </w:r>
      <w:r w:rsidRPr="00AE77D4">
        <w:rPr>
          <w:rFonts w:ascii="Times New Roman" w:eastAsia="Calibri" w:hAnsi="Times New Roman" w:cs="Times New Roman"/>
          <w:sz w:val="24"/>
          <w:szCs w:val="24"/>
          <w:lang w:val="en-GB"/>
        </w:rPr>
        <w:t>the pre- and post-amendment periods, supporting Hypothesis 6. This aligns with the existing literature emphasizing the potential conflict of interest when the roles of Chairman and CEO are held by the same individual.</w:t>
      </w:r>
    </w:p>
    <w:p w14:paraId="56FA816D" w14:textId="77777777" w:rsidR="002E69A8"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Finally, Models 7 and 8 highlight a highly significant positive relationship between the audit committee and CCD during both </w:t>
      </w:r>
      <w:r w:rsidRPr="00AE77D4">
        <w:rPr>
          <w:rFonts w:ascii="Times New Roman" w:eastAsia="Calibri" w:hAnsi="Times New Roman" w:cs="Times New Roman"/>
          <w:sz w:val="24"/>
          <w:szCs w:val="24"/>
          <w:lang w:val="en-GB"/>
        </w:rPr>
        <w:t>the pre- and post-amendment periods, strongly corroborating Hypothesis 7.</w:t>
      </w:r>
    </w:p>
    <w:p w14:paraId="3A788544" w14:textId="7F82A400" w:rsidR="00E134CB"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In summary, the study identifies board size, foreign director presence, and the audit committee as significant positive factors influencing CCD, supporting the respective hypotheses. Conversely, CEO duality has a negative impact on CCD. The analysis did not reveal robust connections between CCD and independent directors, female directors, or board meetings. Additionally, no significant changes were observed in the pre- and post-amendment periods of CG. Neo-institutional theory provides a theoretical framework for comprehending the varied influences </w:t>
      </w:r>
      <w:r w:rsidRPr="00AE77D4">
        <w:rPr>
          <w:rFonts w:ascii="Times New Roman" w:eastAsia="Calibri" w:hAnsi="Times New Roman" w:cs="Times New Roman"/>
          <w:sz w:val="24"/>
          <w:szCs w:val="24"/>
          <w:lang w:val="en-GB"/>
        </w:rPr>
        <w:t>that shap</w:t>
      </w:r>
      <w:r w:rsidRPr="00AE77D4">
        <w:rPr>
          <w:rFonts w:ascii="Times New Roman" w:hAnsi="Times New Roman" w:cs="Times New Roman"/>
          <w:sz w:val="24"/>
          <w:szCs w:val="24"/>
          <w:lang w:val="en-GB"/>
        </w:rPr>
        <w:t>e firm survival through governance and accountability in disclosures.</w:t>
      </w:r>
    </w:p>
    <w:tbl>
      <w:tblPr>
        <w:tblStyle w:val="TableGrid1"/>
        <w:tblW w:w="90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65"/>
        <w:gridCol w:w="804"/>
        <w:gridCol w:w="954"/>
        <w:gridCol w:w="907"/>
        <w:gridCol w:w="1229"/>
        <w:gridCol w:w="981"/>
        <w:gridCol w:w="989"/>
        <w:gridCol w:w="1101"/>
      </w:tblGrid>
      <w:tr w:rsidR="00AE77D4" w:rsidRPr="00AE77D4" w14:paraId="03E509F8" w14:textId="77777777" w:rsidTr="003452F8">
        <w:trPr>
          <w:trHeight w:val="417"/>
        </w:trPr>
        <w:tc>
          <w:tcPr>
            <w:tcW w:w="9094" w:type="dxa"/>
            <w:gridSpan w:val="9"/>
            <w:tcBorders>
              <w:top w:val="single" w:sz="4" w:space="0" w:color="auto"/>
              <w:bottom w:val="single" w:sz="4" w:space="0" w:color="auto"/>
            </w:tcBorders>
            <w:shd w:val="clear" w:color="auto" w:fill="FFFFFF" w:themeFill="background1"/>
          </w:tcPr>
          <w:p w14:paraId="17D28FD8" w14:textId="77777777" w:rsidR="00F56E67" w:rsidRPr="00AE77D4" w:rsidRDefault="00661A05" w:rsidP="00AE77D4">
            <w:pPr>
              <w:spacing w:line="276" w:lineRule="auto"/>
              <w:rPr>
                <w:rFonts w:ascii="Times New Roman" w:hAnsi="Times New Roman" w:cs="Times New Roman"/>
                <w:noProof/>
                <w:sz w:val="16"/>
                <w:szCs w:val="16"/>
                <w:lang w:val="en-GB"/>
              </w:rPr>
            </w:pPr>
            <w:r w:rsidRPr="00AE77D4">
              <w:rPr>
                <w:rFonts w:ascii="Times New Roman" w:hAnsi="Times New Roman" w:cs="Times New Roman"/>
                <w:b/>
                <w:sz w:val="24"/>
                <w:szCs w:val="24"/>
                <w:lang w:val="en-GB"/>
              </w:rPr>
              <w:t>Table 5.</w:t>
            </w:r>
            <w:r w:rsidRPr="00AE77D4">
              <w:rPr>
                <w:rFonts w:ascii="Times New Roman" w:hAnsi="Times New Roman" w:cs="Times New Roman"/>
                <w:sz w:val="24"/>
                <w:szCs w:val="24"/>
                <w:lang w:val="en-GB"/>
              </w:rPr>
              <w:t xml:space="preserve">  The influence of board characteristics on climate change disclosure practices during the pre-amendment period of 2014-2017</w:t>
            </w:r>
          </w:p>
        </w:tc>
      </w:tr>
      <w:tr w:rsidR="00AE77D4" w:rsidRPr="00AE77D4" w14:paraId="10052AE1" w14:textId="77777777" w:rsidTr="003452F8">
        <w:trPr>
          <w:trHeight w:val="417"/>
        </w:trPr>
        <w:tc>
          <w:tcPr>
            <w:tcW w:w="1164" w:type="dxa"/>
            <w:tcBorders>
              <w:top w:val="single" w:sz="4" w:space="0" w:color="auto"/>
              <w:bottom w:val="single" w:sz="4" w:space="0" w:color="auto"/>
            </w:tcBorders>
            <w:shd w:val="clear" w:color="auto" w:fill="E7E6E6" w:themeFill="background2"/>
          </w:tcPr>
          <w:p w14:paraId="04BC20E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Dep. variable</w:t>
            </w:r>
          </w:p>
        </w:tc>
        <w:tc>
          <w:tcPr>
            <w:tcW w:w="965" w:type="dxa"/>
            <w:tcBorders>
              <w:top w:val="single" w:sz="4" w:space="0" w:color="auto"/>
              <w:bottom w:val="single" w:sz="4" w:space="0" w:color="auto"/>
            </w:tcBorders>
            <w:shd w:val="clear" w:color="auto" w:fill="E7E6E6" w:themeFill="background2"/>
          </w:tcPr>
          <w:p w14:paraId="4047CF8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804" w:type="dxa"/>
            <w:tcBorders>
              <w:top w:val="single" w:sz="4" w:space="0" w:color="auto"/>
              <w:bottom w:val="single" w:sz="4" w:space="0" w:color="auto"/>
            </w:tcBorders>
            <w:shd w:val="clear" w:color="auto" w:fill="E7E6E6" w:themeFill="background2"/>
          </w:tcPr>
          <w:p w14:paraId="1DF261E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954" w:type="dxa"/>
            <w:tcBorders>
              <w:top w:val="single" w:sz="4" w:space="0" w:color="auto"/>
              <w:bottom w:val="single" w:sz="4" w:space="0" w:color="auto"/>
            </w:tcBorders>
            <w:shd w:val="clear" w:color="auto" w:fill="E7E6E6" w:themeFill="background2"/>
          </w:tcPr>
          <w:p w14:paraId="76A313F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907" w:type="dxa"/>
            <w:tcBorders>
              <w:top w:val="single" w:sz="4" w:space="0" w:color="auto"/>
              <w:bottom w:val="single" w:sz="4" w:space="0" w:color="auto"/>
            </w:tcBorders>
            <w:shd w:val="clear" w:color="auto" w:fill="E7E6E6" w:themeFill="background2"/>
          </w:tcPr>
          <w:p w14:paraId="6942C3C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1229" w:type="dxa"/>
            <w:tcBorders>
              <w:top w:val="single" w:sz="4" w:space="0" w:color="auto"/>
              <w:bottom w:val="single" w:sz="4" w:space="0" w:color="auto"/>
            </w:tcBorders>
            <w:shd w:val="clear" w:color="auto" w:fill="E7E6E6" w:themeFill="background2"/>
          </w:tcPr>
          <w:p w14:paraId="415D6E4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981" w:type="dxa"/>
            <w:tcBorders>
              <w:top w:val="single" w:sz="4" w:space="0" w:color="auto"/>
              <w:bottom w:val="single" w:sz="4" w:space="0" w:color="auto"/>
            </w:tcBorders>
            <w:shd w:val="clear" w:color="auto" w:fill="E7E6E6" w:themeFill="background2"/>
          </w:tcPr>
          <w:p w14:paraId="385D64F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989" w:type="dxa"/>
            <w:tcBorders>
              <w:top w:val="single" w:sz="4" w:space="0" w:color="auto"/>
              <w:bottom w:val="single" w:sz="4" w:space="0" w:color="auto"/>
            </w:tcBorders>
            <w:shd w:val="clear" w:color="auto" w:fill="E7E6E6" w:themeFill="background2"/>
          </w:tcPr>
          <w:p w14:paraId="71F79EF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1101" w:type="dxa"/>
            <w:tcBorders>
              <w:top w:val="single" w:sz="4" w:space="0" w:color="auto"/>
              <w:bottom w:val="single" w:sz="4" w:space="0" w:color="auto"/>
            </w:tcBorders>
            <w:shd w:val="clear" w:color="auto" w:fill="E7E6E6" w:themeFill="background2"/>
          </w:tcPr>
          <w:p w14:paraId="439A42E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r>
      <w:tr w:rsidR="00AE77D4" w:rsidRPr="00AE77D4" w14:paraId="774E1177" w14:textId="77777777" w:rsidTr="003452F8">
        <w:trPr>
          <w:trHeight w:val="201"/>
        </w:trPr>
        <w:tc>
          <w:tcPr>
            <w:tcW w:w="1164" w:type="dxa"/>
            <w:tcBorders>
              <w:top w:val="single" w:sz="4" w:space="0" w:color="auto"/>
              <w:bottom w:val="single" w:sz="4" w:space="0" w:color="auto"/>
            </w:tcBorders>
          </w:tcPr>
          <w:p w14:paraId="314AAB7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lastRenderedPageBreak/>
              <w:t>Model</w:t>
            </w:r>
          </w:p>
        </w:tc>
        <w:tc>
          <w:tcPr>
            <w:tcW w:w="965" w:type="dxa"/>
            <w:tcBorders>
              <w:top w:val="single" w:sz="4" w:space="0" w:color="auto"/>
              <w:bottom w:val="single" w:sz="4" w:space="0" w:color="auto"/>
            </w:tcBorders>
          </w:tcPr>
          <w:p w14:paraId="18A1CBA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w:t>
            </w:r>
          </w:p>
        </w:tc>
        <w:tc>
          <w:tcPr>
            <w:tcW w:w="804" w:type="dxa"/>
            <w:tcBorders>
              <w:top w:val="single" w:sz="4" w:space="0" w:color="auto"/>
              <w:bottom w:val="single" w:sz="4" w:space="0" w:color="auto"/>
            </w:tcBorders>
          </w:tcPr>
          <w:p w14:paraId="120DA49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(2)</w:t>
            </w:r>
          </w:p>
        </w:tc>
        <w:tc>
          <w:tcPr>
            <w:tcW w:w="954" w:type="dxa"/>
            <w:tcBorders>
              <w:top w:val="single" w:sz="4" w:space="0" w:color="auto"/>
              <w:bottom w:val="single" w:sz="4" w:space="0" w:color="auto"/>
            </w:tcBorders>
          </w:tcPr>
          <w:p w14:paraId="306F610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(3)</w:t>
            </w:r>
          </w:p>
        </w:tc>
        <w:tc>
          <w:tcPr>
            <w:tcW w:w="907" w:type="dxa"/>
            <w:tcBorders>
              <w:top w:val="single" w:sz="4" w:space="0" w:color="auto"/>
              <w:bottom w:val="single" w:sz="4" w:space="0" w:color="auto"/>
            </w:tcBorders>
          </w:tcPr>
          <w:p w14:paraId="3BE9801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(4)</w:t>
            </w:r>
          </w:p>
        </w:tc>
        <w:tc>
          <w:tcPr>
            <w:tcW w:w="1229" w:type="dxa"/>
            <w:tcBorders>
              <w:top w:val="single" w:sz="4" w:space="0" w:color="auto"/>
              <w:bottom w:val="single" w:sz="4" w:space="0" w:color="auto"/>
            </w:tcBorders>
          </w:tcPr>
          <w:p w14:paraId="07E4B21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(5)</w:t>
            </w:r>
          </w:p>
        </w:tc>
        <w:tc>
          <w:tcPr>
            <w:tcW w:w="981" w:type="dxa"/>
            <w:tcBorders>
              <w:top w:val="single" w:sz="4" w:space="0" w:color="auto"/>
              <w:bottom w:val="single" w:sz="4" w:space="0" w:color="auto"/>
            </w:tcBorders>
          </w:tcPr>
          <w:p w14:paraId="6B905F1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(6)</w:t>
            </w:r>
          </w:p>
        </w:tc>
        <w:tc>
          <w:tcPr>
            <w:tcW w:w="989" w:type="dxa"/>
            <w:tcBorders>
              <w:top w:val="single" w:sz="4" w:space="0" w:color="auto"/>
              <w:bottom w:val="single" w:sz="4" w:space="0" w:color="auto"/>
            </w:tcBorders>
          </w:tcPr>
          <w:p w14:paraId="1C9BD2B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(7)</w:t>
            </w:r>
          </w:p>
        </w:tc>
        <w:tc>
          <w:tcPr>
            <w:tcW w:w="1101" w:type="dxa"/>
            <w:tcBorders>
              <w:top w:val="single" w:sz="4" w:space="0" w:color="auto"/>
              <w:bottom w:val="single" w:sz="4" w:space="0" w:color="auto"/>
            </w:tcBorders>
          </w:tcPr>
          <w:p w14:paraId="20EE76B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(8)</w:t>
            </w:r>
          </w:p>
        </w:tc>
      </w:tr>
      <w:tr w:rsidR="00AE77D4" w:rsidRPr="00AE77D4" w14:paraId="6CA79459" w14:textId="77777777" w:rsidTr="003452F8">
        <w:trPr>
          <w:trHeight w:val="201"/>
        </w:trPr>
        <w:tc>
          <w:tcPr>
            <w:tcW w:w="4794" w:type="dxa"/>
            <w:gridSpan w:val="5"/>
            <w:tcBorders>
              <w:top w:val="single" w:sz="4" w:space="0" w:color="auto"/>
            </w:tcBorders>
            <w:shd w:val="clear" w:color="auto" w:fill="E7E6E6" w:themeFill="background2"/>
          </w:tcPr>
          <w:p w14:paraId="0900F62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Independent variables (CG Matrix):</w:t>
            </w:r>
          </w:p>
        </w:tc>
        <w:tc>
          <w:tcPr>
            <w:tcW w:w="1229" w:type="dxa"/>
            <w:tcBorders>
              <w:top w:val="single" w:sz="4" w:space="0" w:color="auto"/>
            </w:tcBorders>
            <w:shd w:val="clear" w:color="auto" w:fill="E7E6E6" w:themeFill="background2"/>
          </w:tcPr>
          <w:p w14:paraId="04EFC349" w14:textId="77777777" w:rsidR="00F56E67" w:rsidRPr="00AE77D4" w:rsidRDefault="00F56E67" w:rsidP="00AE77D4">
            <w:pPr>
              <w:spacing w:line="276" w:lineRule="auto"/>
              <w:rPr>
                <w:rFonts w:ascii="Times New Roman" w:hAnsi="Times New Roman" w:cs="Times New Roman"/>
                <w:sz w:val="16"/>
                <w:szCs w:val="16"/>
                <w:lang w:val="en-GB"/>
              </w:rPr>
            </w:pPr>
          </w:p>
        </w:tc>
        <w:tc>
          <w:tcPr>
            <w:tcW w:w="981" w:type="dxa"/>
            <w:tcBorders>
              <w:top w:val="single" w:sz="4" w:space="0" w:color="auto"/>
            </w:tcBorders>
            <w:shd w:val="clear" w:color="auto" w:fill="E7E6E6" w:themeFill="background2"/>
          </w:tcPr>
          <w:p w14:paraId="7D2372D3"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tcBorders>
              <w:top w:val="single" w:sz="4" w:space="0" w:color="auto"/>
            </w:tcBorders>
            <w:shd w:val="clear" w:color="auto" w:fill="E7E6E6" w:themeFill="background2"/>
          </w:tcPr>
          <w:p w14:paraId="53F90867" w14:textId="77777777" w:rsidR="00F56E67" w:rsidRPr="00AE77D4" w:rsidRDefault="00F56E67" w:rsidP="00AE77D4">
            <w:pPr>
              <w:spacing w:line="276" w:lineRule="auto"/>
              <w:rPr>
                <w:rFonts w:ascii="Times New Roman" w:hAnsi="Times New Roman" w:cs="Times New Roman"/>
                <w:sz w:val="16"/>
                <w:szCs w:val="16"/>
                <w:lang w:val="en-GB"/>
              </w:rPr>
            </w:pPr>
          </w:p>
        </w:tc>
        <w:tc>
          <w:tcPr>
            <w:tcW w:w="1101" w:type="dxa"/>
            <w:tcBorders>
              <w:top w:val="single" w:sz="4" w:space="0" w:color="auto"/>
            </w:tcBorders>
            <w:shd w:val="clear" w:color="auto" w:fill="E7E6E6" w:themeFill="background2"/>
          </w:tcPr>
          <w:p w14:paraId="13C44C16" w14:textId="77777777" w:rsidR="00F56E67" w:rsidRPr="00AE77D4" w:rsidRDefault="00F56E67" w:rsidP="00AE77D4">
            <w:pPr>
              <w:spacing w:line="276" w:lineRule="auto"/>
              <w:rPr>
                <w:rFonts w:ascii="Times New Roman" w:hAnsi="Times New Roman" w:cs="Times New Roman"/>
                <w:sz w:val="16"/>
                <w:szCs w:val="16"/>
                <w:lang w:val="en-GB"/>
              </w:rPr>
            </w:pPr>
          </w:p>
        </w:tc>
      </w:tr>
      <w:tr w:rsidR="00AE77D4" w:rsidRPr="00AE77D4" w14:paraId="74938244" w14:textId="77777777" w:rsidTr="003452F8">
        <w:trPr>
          <w:trHeight w:val="213"/>
        </w:trPr>
        <w:tc>
          <w:tcPr>
            <w:tcW w:w="1164" w:type="dxa"/>
          </w:tcPr>
          <w:p w14:paraId="73F3088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BSIZE</w:t>
            </w:r>
          </w:p>
        </w:tc>
        <w:tc>
          <w:tcPr>
            <w:tcW w:w="965" w:type="dxa"/>
          </w:tcPr>
          <w:p w14:paraId="4D9BEA8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1.6***</w:t>
            </w:r>
          </w:p>
        </w:tc>
        <w:tc>
          <w:tcPr>
            <w:tcW w:w="804" w:type="dxa"/>
          </w:tcPr>
          <w:p w14:paraId="718221A0" w14:textId="77777777" w:rsidR="00F56E67" w:rsidRPr="00AE77D4" w:rsidRDefault="00F56E67" w:rsidP="00AE77D4">
            <w:pPr>
              <w:spacing w:line="276" w:lineRule="auto"/>
              <w:rPr>
                <w:rFonts w:ascii="Times New Roman" w:hAnsi="Times New Roman" w:cs="Times New Roman"/>
                <w:sz w:val="16"/>
                <w:szCs w:val="16"/>
                <w:lang w:val="en-GB"/>
              </w:rPr>
            </w:pPr>
          </w:p>
        </w:tc>
        <w:tc>
          <w:tcPr>
            <w:tcW w:w="954" w:type="dxa"/>
          </w:tcPr>
          <w:p w14:paraId="2850E160" w14:textId="77777777" w:rsidR="00F56E67" w:rsidRPr="00AE77D4" w:rsidRDefault="00F56E67" w:rsidP="00AE77D4">
            <w:pPr>
              <w:spacing w:line="276" w:lineRule="auto"/>
              <w:rPr>
                <w:rFonts w:ascii="Times New Roman" w:hAnsi="Times New Roman" w:cs="Times New Roman"/>
                <w:sz w:val="16"/>
                <w:szCs w:val="16"/>
                <w:lang w:val="en-GB"/>
              </w:rPr>
            </w:pPr>
          </w:p>
        </w:tc>
        <w:tc>
          <w:tcPr>
            <w:tcW w:w="907" w:type="dxa"/>
          </w:tcPr>
          <w:p w14:paraId="41E2E915" w14:textId="77777777" w:rsidR="00F56E67" w:rsidRPr="00AE77D4" w:rsidRDefault="00F56E67" w:rsidP="00AE77D4">
            <w:pPr>
              <w:spacing w:line="276" w:lineRule="auto"/>
              <w:rPr>
                <w:rFonts w:ascii="Times New Roman" w:hAnsi="Times New Roman" w:cs="Times New Roman"/>
                <w:sz w:val="16"/>
                <w:szCs w:val="16"/>
                <w:lang w:val="en-GB"/>
              </w:rPr>
            </w:pPr>
          </w:p>
        </w:tc>
        <w:tc>
          <w:tcPr>
            <w:tcW w:w="1229" w:type="dxa"/>
          </w:tcPr>
          <w:p w14:paraId="39148FDD" w14:textId="77777777" w:rsidR="00F56E67" w:rsidRPr="00AE77D4" w:rsidRDefault="00F56E67" w:rsidP="00AE77D4">
            <w:pPr>
              <w:spacing w:line="276" w:lineRule="auto"/>
              <w:rPr>
                <w:rFonts w:ascii="Times New Roman" w:hAnsi="Times New Roman" w:cs="Times New Roman"/>
                <w:sz w:val="16"/>
                <w:szCs w:val="16"/>
                <w:lang w:val="en-GB"/>
              </w:rPr>
            </w:pPr>
          </w:p>
        </w:tc>
        <w:tc>
          <w:tcPr>
            <w:tcW w:w="981" w:type="dxa"/>
          </w:tcPr>
          <w:p w14:paraId="64DFE4D4"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tcPr>
          <w:p w14:paraId="7C5A8728" w14:textId="77777777" w:rsidR="00F56E67" w:rsidRPr="00AE77D4" w:rsidRDefault="00F56E67" w:rsidP="00AE77D4">
            <w:pPr>
              <w:spacing w:line="276" w:lineRule="auto"/>
              <w:rPr>
                <w:rFonts w:ascii="Times New Roman" w:hAnsi="Times New Roman" w:cs="Times New Roman"/>
                <w:sz w:val="16"/>
                <w:szCs w:val="16"/>
                <w:lang w:val="en-GB"/>
              </w:rPr>
            </w:pPr>
          </w:p>
        </w:tc>
        <w:tc>
          <w:tcPr>
            <w:tcW w:w="1101" w:type="dxa"/>
          </w:tcPr>
          <w:p w14:paraId="38000A2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1.56***</w:t>
            </w:r>
          </w:p>
        </w:tc>
      </w:tr>
      <w:tr w:rsidR="00AE77D4" w:rsidRPr="00AE77D4" w14:paraId="18B6306F" w14:textId="77777777" w:rsidTr="003452F8">
        <w:trPr>
          <w:trHeight w:val="201"/>
        </w:trPr>
        <w:tc>
          <w:tcPr>
            <w:tcW w:w="1164" w:type="dxa"/>
            <w:shd w:val="clear" w:color="auto" w:fill="E7E6E6" w:themeFill="background2"/>
          </w:tcPr>
          <w:p w14:paraId="59F958B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INDIR</w:t>
            </w:r>
          </w:p>
        </w:tc>
        <w:tc>
          <w:tcPr>
            <w:tcW w:w="965" w:type="dxa"/>
            <w:shd w:val="clear" w:color="auto" w:fill="E7E6E6" w:themeFill="background2"/>
          </w:tcPr>
          <w:p w14:paraId="4DCC9761" w14:textId="77777777" w:rsidR="00F56E67" w:rsidRPr="00AE77D4" w:rsidRDefault="00F56E67" w:rsidP="00AE77D4">
            <w:pPr>
              <w:spacing w:line="276" w:lineRule="auto"/>
              <w:rPr>
                <w:rFonts w:ascii="Times New Roman" w:hAnsi="Times New Roman" w:cs="Times New Roman"/>
                <w:sz w:val="16"/>
                <w:szCs w:val="16"/>
                <w:lang w:val="en-GB"/>
              </w:rPr>
            </w:pPr>
          </w:p>
        </w:tc>
        <w:tc>
          <w:tcPr>
            <w:tcW w:w="804" w:type="dxa"/>
            <w:shd w:val="clear" w:color="auto" w:fill="E7E6E6" w:themeFill="background2"/>
          </w:tcPr>
          <w:p w14:paraId="3CD8419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0.19</w:t>
            </w:r>
          </w:p>
        </w:tc>
        <w:tc>
          <w:tcPr>
            <w:tcW w:w="954" w:type="dxa"/>
            <w:shd w:val="clear" w:color="auto" w:fill="E7E6E6" w:themeFill="background2"/>
          </w:tcPr>
          <w:p w14:paraId="4F5970DC" w14:textId="77777777" w:rsidR="00F56E67" w:rsidRPr="00AE77D4" w:rsidRDefault="00F56E67" w:rsidP="00AE77D4">
            <w:pPr>
              <w:spacing w:line="276" w:lineRule="auto"/>
              <w:rPr>
                <w:rFonts w:ascii="Times New Roman" w:hAnsi="Times New Roman" w:cs="Times New Roman"/>
                <w:sz w:val="16"/>
                <w:szCs w:val="16"/>
                <w:lang w:val="en-GB"/>
              </w:rPr>
            </w:pPr>
          </w:p>
        </w:tc>
        <w:tc>
          <w:tcPr>
            <w:tcW w:w="907" w:type="dxa"/>
            <w:shd w:val="clear" w:color="auto" w:fill="E7E6E6" w:themeFill="background2"/>
          </w:tcPr>
          <w:p w14:paraId="354B7F70" w14:textId="77777777" w:rsidR="00F56E67" w:rsidRPr="00AE77D4" w:rsidRDefault="00F56E67" w:rsidP="00AE77D4">
            <w:pPr>
              <w:spacing w:line="276" w:lineRule="auto"/>
              <w:rPr>
                <w:rFonts w:ascii="Times New Roman" w:hAnsi="Times New Roman" w:cs="Times New Roman"/>
                <w:sz w:val="16"/>
                <w:szCs w:val="16"/>
                <w:lang w:val="en-GB"/>
              </w:rPr>
            </w:pPr>
          </w:p>
        </w:tc>
        <w:tc>
          <w:tcPr>
            <w:tcW w:w="1229" w:type="dxa"/>
            <w:shd w:val="clear" w:color="auto" w:fill="E7E6E6" w:themeFill="background2"/>
          </w:tcPr>
          <w:p w14:paraId="2C64CB86" w14:textId="77777777" w:rsidR="00F56E67" w:rsidRPr="00AE77D4" w:rsidRDefault="00F56E67" w:rsidP="00AE77D4">
            <w:pPr>
              <w:spacing w:line="276" w:lineRule="auto"/>
              <w:rPr>
                <w:rFonts w:ascii="Times New Roman" w:hAnsi="Times New Roman" w:cs="Times New Roman"/>
                <w:sz w:val="16"/>
                <w:szCs w:val="16"/>
                <w:lang w:val="en-GB"/>
              </w:rPr>
            </w:pPr>
          </w:p>
        </w:tc>
        <w:tc>
          <w:tcPr>
            <w:tcW w:w="981" w:type="dxa"/>
            <w:shd w:val="clear" w:color="auto" w:fill="E7E6E6" w:themeFill="background2"/>
          </w:tcPr>
          <w:p w14:paraId="31E0935F"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shd w:val="clear" w:color="auto" w:fill="E7E6E6" w:themeFill="background2"/>
          </w:tcPr>
          <w:p w14:paraId="0F826620" w14:textId="77777777" w:rsidR="00F56E67" w:rsidRPr="00AE77D4" w:rsidRDefault="00F56E67" w:rsidP="00AE77D4">
            <w:pPr>
              <w:spacing w:line="276" w:lineRule="auto"/>
              <w:rPr>
                <w:rFonts w:ascii="Times New Roman" w:hAnsi="Times New Roman" w:cs="Times New Roman"/>
                <w:sz w:val="16"/>
                <w:szCs w:val="16"/>
                <w:lang w:val="en-GB"/>
              </w:rPr>
            </w:pPr>
          </w:p>
        </w:tc>
        <w:tc>
          <w:tcPr>
            <w:tcW w:w="1101" w:type="dxa"/>
            <w:shd w:val="clear" w:color="auto" w:fill="E7E6E6" w:themeFill="background2"/>
          </w:tcPr>
          <w:p w14:paraId="18949F7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0.22</w:t>
            </w:r>
          </w:p>
        </w:tc>
      </w:tr>
      <w:tr w:rsidR="00AE77D4" w:rsidRPr="00AE77D4" w14:paraId="5FA509FE" w14:textId="77777777" w:rsidTr="003452F8">
        <w:trPr>
          <w:trHeight w:val="201"/>
        </w:trPr>
        <w:tc>
          <w:tcPr>
            <w:tcW w:w="1164" w:type="dxa"/>
          </w:tcPr>
          <w:p w14:paraId="206CDF8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FORDIR</w:t>
            </w:r>
          </w:p>
        </w:tc>
        <w:tc>
          <w:tcPr>
            <w:tcW w:w="965" w:type="dxa"/>
          </w:tcPr>
          <w:p w14:paraId="0BC70ECA" w14:textId="77777777" w:rsidR="00F56E67" w:rsidRPr="00AE77D4" w:rsidRDefault="00F56E67" w:rsidP="00AE77D4">
            <w:pPr>
              <w:spacing w:line="276" w:lineRule="auto"/>
              <w:rPr>
                <w:rFonts w:ascii="Times New Roman" w:hAnsi="Times New Roman" w:cs="Times New Roman"/>
                <w:sz w:val="16"/>
                <w:szCs w:val="16"/>
                <w:lang w:val="en-GB"/>
              </w:rPr>
            </w:pPr>
          </w:p>
        </w:tc>
        <w:tc>
          <w:tcPr>
            <w:tcW w:w="804" w:type="dxa"/>
          </w:tcPr>
          <w:p w14:paraId="6E8F1453" w14:textId="77777777" w:rsidR="00F56E67" w:rsidRPr="00AE77D4" w:rsidRDefault="00F56E67" w:rsidP="00AE77D4">
            <w:pPr>
              <w:spacing w:line="276" w:lineRule="auto"/>
              <w:rPr>
                <w:rFonts w:ascii="Times New Roman" w:hAnsi="Times New Roman" w:cs="Times New Roman"/>
                <w:sz w:val="16"/>
                <w:szCs w:val="16"/>
                <w:lang w:val="en-GB"/>
              </w:rPr>
            </w:pPr>
          </w:p>
        </w:tc>
        <w:tc>
          <w:tcPr>
            <w:tcW w:w="954" w:type="dxa"/>
          </w:tcPr>
          <w:p w14:paraId="020BB62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0.44***</w:t>
            </w:r>
          </w:p>
        </w:tc>
        <w:tc>
          <w:tcPr>
            <w:tcW w:w="907" w:type="dxa"/>
          </w:tcPr>
          <w:p w14:paraId="1657D5B4" w14:textId="77777777" w:rsidR="00F56E67" w:rsidRPr="00AE77D4" w:rsidRDefault="00F56E67" w:rsidP="00AE77D4">
            <w:pPr>
              <w:spacing w:line="276" w:lineRule="auto"/>
              <w:rPr>
                <w:rFonts w:ascii="Times New Roman" w:hAnsi="Times New Roman" w:cs="Times New Roman"/>
                <w:sz w:val="16"/>
                <w:szCs w:val="16"/>
                <w:lang w:val="en-GB"/>
              </w:rPr>
            </w:pPr>
          </w:p>
        </w:tc>
        <w:tc>
          <w:tcPr>
            <w:tcW w:w="1229" w:type="dxa"/>
          </w:tcPr>
          <w:p w14:paraId="42AE2492" w14:textId="77777777" w:rsidR="00F56E67" w:rsidRPr="00AE77D4" w:rsidRDefault="00F56E67" w:rsidP="00AE77D4">
            <w:pPr>
              <w:spacing w:line="276" w:lineRule="auto"/>
              <w:rPr>
                <w:rFonts w:ascii="Times New Roman" w:hAnsi="Times New Roman" w:cs="Times New Roman"/>
                <w:sz w:val="16"/>
                <w:szCs w:val="16"/>
                <w:lang w:val="en-GB"/>
              </w:rPr>
            </w:pPr>
          </w:p>
        </w:tc>
        <w:tc>
          <w:tcPr>
            <w:tcW w:w="981" w:type="dxa"/>
          </w:tcPr>
          <w:p w14:paraId="2DBDDF24"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tcPr>
          <w:p w14:paraId="68262358" w14:textId="77777777" w:rsidR="00F56E67" w:rsidRPr="00AE77D4" w:rsidRDefault="00F56E67" w:rsidP="00AE77D4">
            <w:pPr>
              <w:spacing w:line="276" w:lineRule="auto"/>
              <w:rPr>
                <w:rFonts w:ascii="Times New Roman" w:hAnsi="Times New Roman" w:cs="Times New Roman"/>
                <w:sz w:val="16"/>
                <w:szCs w:val="16"/>
                <w:lang w:val="en-GB"/>
              </w:rPr>
            </w:pPr>
          </w:p>
        </w:tc>
        <w:tc>
          <w:tcPr>
            <w:tcW w:w="1101" w:type="dxa"/>
          </w:tcPr>
          <w:p w14:paraId="1A26DAC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0.34***</w:t>
            </w:r>
          </w:p>
        </w:tc>
      </w:tr>
      <w:tr w:rsidR="00AE77D4" w:rsidRPr="00AE77D4" w14:paraId="6DFF5A44" w14:textId="77777777" w:rsidTr="003452F8">
        <w:trPr>
          <w:trHeight w:val="71"/>
        </w:trPr>
        <w:tc>
          <w:tcPr>
            <w:tcW w:w="1164" w:type="dxa"/>
            <w:shd w:val="clear" w:color="auto" w:fill="E7E6E6" w:themeFill="background2"/>
          </w:tcPr>
          <w:p w14:paraId="597D4A7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GENDER</w:t>
            </w:r>
          </w:p>
        </w:tc>
        <w:tc>
          <w:tcPr>
            <w:tcW w:w="965" w:type="dxa"/>
            <w:shd w:val="clear" w:color="auto" w:fill="E7E6E6" w:themeFill="background2"/>
          </w:tcPr>
          <w:p w14:paraId="369E6E01" w14:textId="77777777" w:rsidR="00F56E67" w:rsidRPr="00AE77D4" w:rsidRDefault="00F56E67" w:rsidP="00AE77D4">
            <w:pPr>
              <w:spacing w:line="276" w:lineRule="auto"/>
              <w:rPr>
                <w:rFonts w:ascii="Times New Roman" w:hAnsi="Times New Roman" w:cs="Times New Roman"/>
                <w:sz w:val="16"/>
                <w:szCs w:val="16"/>
                <w:lang w:val="en-GB"/>
              </w:rPr>
            </w:pPr>
          </w:p>
        </w:tc>
        <w:tc>
          <w:tcPr>
            <w:tcW w:w="804" w:type="dxa"/>
            <w:shd w:val="clear" w:color="auto" w:fill="E7E6E6" w:themeFill="background2"/>
          </w:tcPr>
          <w:p w14:paraId="76EEEDBB" w14:textId="77777777" w:rsidR="00F56E67" w:rsidRPr="00AE77D4" w:rsidRDefault="00F56E67" w:rsidP="00AE77D4">
            <w:pPr>
              <w:spacing w:line="276" w:lineRule="auto"/>
              <w:rPr>
                <w:rFonts w:ascii="Times New Roman" w:hAnsi="Times New Roman" w:cs="Times New Roman"/>
                <w:sz w:val="16"/>
                <w:szCs w:val="16"/>
                <w:lang w:val="en-GB"/>
              </w:rPr>
            </w:pPr>
          </w:p>
        </w:tc>
        <w:tc>
          <w:tcPr>
            <w:tcW w:w="954" w:type="dxa"/>
            <w:shd w:val="clear" w:color="auto" w:fill="E7E6E6" w:themeFill="background2"/>
          </w:tcPr>
          <w:p w14:paraId="4723292D" w14:textId="77777777" w:rsidR="00F56E67" w:rsidRPr="00AE77D4" w:rsidRDefault="00F56E67" w:rsidP="00AE77D4">
            <w:pPr>
              <w:spacing w:line="276" w:lineRule="auto"/>
              <w:rPr>
                <w:rFonts w:ascii="Times New Roman" w:hAnsi="Times New Roman" w:cs="Times New Roman"/>
                <w:sz w:val="16"/>
                <w:szCs w:val="16"/>
                <w:lang w:val="en-GB"/>
              </w:rPr>
            </w:pPr>
          </w:p>
        </w:tc>
        <w:tc>
          <w:tcPr>
            <w:tcW w:w="907" w:type="dxa"/>
            <w:shd w:val="clear" w:color="auto" w:fill="E7E6E6" w:themeFill="background2"/>
          </w:tcPr>
          <w:p w14:paraId="2AEF822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-0.13</w:t>
            </w:r>
          </w:p>
        </w:tc>
        <w:tc>
          <w:tcPr>
            <w:tcW w:w="1229" w:type="dxa"/>
            <w:shd w:val="clear" w:color="auto" w:fill="E7E6E6" w:themeFill="background2"/>
          </w:tcPr>
          <w:p w14:paraId="41602393" w14:textId="77777777" w:rsidR="00F56E67" w:rsidRPr="00AE77D4" w:rsidRDefault="00F56E67" w:rsidP="00AE77D4">
            <w:pPr>
              <w:spacing w:line="276" w:lineRule="auto"/>
              <w:rPr>
                <w:rFonts w:ascii="Times New Roman" w:hAnsi="Times New Roman" w:cs="Times New Roman"/>
                <w:sz w:val="16"/>
                <w:szCs w:val="16"/>
                <w:lang w:val="en-GB"/>
              </w:rPr>
            </w:pPr>
          </w:p>
        </w:tc>
        <w:tc>
          <w:tcPr>
            <w:tcW w:w="981" w:type="dxa"/>
            <w:shd w:val="clear" w:color="auto" w:fill="E7E6E6" w:themeFill="background2"/>
          </w:tcPr>
          <w:p w14:paraId="20419459"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shd w:val="clear" w:color="auto" w:fill="E7E6E6" w:themeFill="background2"/>
          </w:tcPr>
          <w:p w14:paraId="0EE4DAEC" w14:textId="77777777" w:rsidR="00F56E67" w:rsidRPr="00AE77D4" w:rsidRDefault="00F56E67" w:rsidP="00AE77D4">
            <w:pPr>
              <w:spacing w:line="276" w:lineRule="auto"/>
              <w:rPr>
                <w:rFonts w:ascii="Times New Roman" w:hAnsi="Times New Roman" w:cs="Times New Roman"/>
                <w:sz w:val="16"/>
                <w:szCs w:val="16"/>
                <w:lang w:val="en-GB"/>
              </w:rPr>
            </w:pPr>
          </w:p>
        </w:tc>
        <w:tc>
          <w:tcPr>
            <w:tcW w:w="1101" w:type="dxa"/>
            <w:shd w:val="clear" w:color="auto" w:fill="E7E6E6" w:themeFill="background2"/>
          </w:tcPr>
          <w:p w14:paraId="7CAF593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0.02</w:t>
            </w:r>
          </w:p>
        </w:tc>
      </w:tr>
      <w:tr w:rsidR="00AE77D4" w:rsidRPr="00AE77D4" w14:paraId="65F3C9B9" w14:textId="77777777" w:rsidTr="003452F8">
        <w:trPr>
          <w:trHeight w:val="71"/>
        </w:trPr>
        <w:tc>
          <w:tcPr>
            <w:tcW w:w="1164" w:type="dxa"/>
          </w:tcPr>
          <w:p w14:paraId="7836CC2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BOMEET</w:t>
            </w:r>
          </w:p>
        </w:tc>
        <w:tc>
          <w:tcPr>
            <w:tcW w:w="965" w:type="dxa"/>
          </w:tcPr>
          <w:p w14:paraId="6941D757" w14:textId="77777777" w:rsidR="00F56E67" w:rsidRPr="00AE77D4" w:rsidRDefault="00F56E67" w:rsidP="00AE77D4">
            <w:pPr>
              <w:spacing w:line="276" w:lineRule="auto"/>
              <w:rPr>
                <w:rFonts w:ascii="Times New Roman" w:hAnsi="Times New Roman" w:cs="Times New Roman"/>
                <w:sz w:val="16"/>
                <w:szCs w:val="16"/>
                <w:lang w:val="en-GB"/>
              </w:rPr>
            </w:pPr>
          </w:p>
        </w:tc>
        <w:tc>
          <w:tcPr>
            <w:tcW w:w="804" w:type="dxa"/>
          </w:tcPr>
          <w:p w14:paraId="1DEF1E37" w14:textId="77777777" w:rsidR="00F56E67" w:rsidRPr="00AE77D4" w:rsidRDefault="00F56E67" w:rsidP="00AE77D4">
            <w:pPr>
              <w:spacing w:line="276" w:lineRule="auto"/>
              <w:rPr>
                <w:rFonts w:ascii="Times New Roman" w:hAnsi="Times New Roman" w:cs="Times New Roman"/>
                <w:sz w:val="16"/>
                <w:szCs w:val="16"/>
                <w:lang w:val="en-GB"/>
              </w:rPr>
            </w:pPr>
          </w:p>
        </w:tc>
        <w:tc>
          <w:tcPr>
            <w:tcW w:w="954" w:type="dxa"/>
          </w:tcPr>
          <w:p w14:paraId="7966F640" w14:textId="77777777" w:rsidR="00F56E67" w:rsidRPr="00AE77D4" w:rsidRDefault="00F56E67" w:rsidP="00AE77D4">
            <w:pPr>
              <w:spacing w:line="276" w:lineRule="auto"/>
              <w:rPr>
                <w:rFonts w:ascii="Times New Roman" w:hAnsi="Times New Roman" w:cs="Times New Roman"/>
                <w:sz w:val="16"/>
                <w:szCs w:val="16"/>
                <w:lang w:val="en-GB"/>
              </w:rPr>
            </w:pPr>
          </w:p>
        </w:tc>
        <w:tc>
          <w:tcPr>
            <w:tcW w:w="907" w:type="dxa"/>
          </w:tcPr>
          <w:p w14:paraId="7E01E005" w14:textId="77777777" w:rsidR="00F56E67" w:rsidRPr="00AE77D4" w:rsidRDefault="00F56E67" w:rsidP="00AE77D4">
            <w:pPr>
              <w:spacing w:line="276" w:lineRule="auto"/>
              <w:rPr>
                <w:rFonts w:ascii="Times New Roman" w:hAnsi="Times New Roman" w:cs="Times New Roman"/>
                <w:sz w:val="16"/>
                <w:szCs w:val="16"/>
                <w:lang w:val="en-GB"/>
              </w:rPr>
            </w:pPr>
          </w:p>
        </w:tc>
        <w:tc>
          <w:tcPr>
            <w:tcW w:w="1229" w:type="dxa"/>
          </w:tcPr>
          <w:p w14:paraId="28FC19E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-0.16</w:t>
            </w:r>
          </w:p>
        </w:tc>
        <w:tc>
          <w:tcPr>
            <w:tcW w:w="981" w:type="dxa"/>
          </w:tcPr>
          <w:p w14:paraId="6A797C2A"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tcPr>
          <w:p w14:paraId="519D56A3" w14:textId="77777777" w:rsidR="00F56E67" w:rsidRPr="00AE77D4" w:rsidRDefault="00F56E67" w:rsidP="00AE77D4">
            <w:pPr>
              <w:spacing w:line="276" w:lineRule="auto"/>
              <w:rPr>
                <w:rFonts w:ascii="Times New Roman" w:hAnsi="Times New Roman" w:cs="Times New Roman"/>
                <w:sz w:val="16"/>
                <w:szCs w:val="16"/>
                <w:lang w:val="en-GB"/>
              </w:rPr>
            </w:pPr>
          </w:p>
        </w:tc>
        <w:tc>
          <w:tcPr>
            <w:tcW w:w="1101" w:type="dxa"/>
          </w:tcPr>
          <w:p w14:paraId="1C117CF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-0.12</w:t>
            </w:r>
          </w:p>
        </w:tc>
      </w:tr>
      <w:tr w:rsidR="00AE77D4" w:rsidRPr="00AE77D4" w14:paraId="1129F514" w14:textId="77777777" w:rsidTr="003452F8">
        <w:trPr>
          <w:trHeight w:val="201"/>
        </w:trPr>
        <w:tc>
          <w:tcPr>
            <w:tcW w:w="1164" w:type="dxa"/>
            <w:shd w:val="clear" w:color="auto" w:fill="E7E6E6" w:themeFill="background2"/>
          </w:tcPr>
          <w:p w14:paraId="548EAEA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DUALITY</w:t>
            </w:r>
          </w:p>
        </w:tc>
        <w:tc>
          <w:tcPr>
            <w:tcW w:w="965" w:type="dxa"/>
            <w:shd w:val="clear" w:color="auto" w:fill="E7E6E6" w:themeFill="background2"/>
          </w:tcPr>
          <w:p w14:paraId="00CFEEFB" w14:textId="77777777" w:rsidR="00F56E67" w:rsidRPr="00AE77D4" w:rsidRDefault="00F56E67" w:rsidP="00AE77D4">
            <w:pPr>
              <w:spacing w:line="276" w:lineRule="auto"/>
              <w:rPr>
                <w:rFonts w:ascii="Times New Roman" w:hAnsi="Times New Roman" w:cs="Times New Roman"/>
                <w:sz w:val="16"/>
                <w:szCs w:val="16"/>
                <w:lang w:val="en-GB"/>
              </w:rPr>
            </w:pPr>
          </w:p>
        </w:tc>
        <w:tc>
          <w:tcPr>
            <w:tcW w:w="804" w:type="dxa"/>
            <w:shd w:val="clear" w:color="auto" w:fill="E7E6E6" w:themeFill="background2"/>
          </w:tcPr>
          <w:p w14:paraId="440FB547" w14:textId="77777777" w:rsidR="00F56E67" w:rsidRPr="00AE77D4" w:rsidRDefault="00F56E67" w:rsidP="00AE77D4">
            <w:pPr>
              <w:spacing w:line="276" w:lineRule="auto"/>
              <w:rPr>
                <w:rFonts w:ascii="Times New Roman" w:hAnsi="Times New Roman" w:cs="Times New Roman"/>
                <w:sz w:val="16"/>
                <w:szCs w:val="16"/>
                <w:lang w:val="en-GB"/>
              </w:rPr>
            </w:pPr>
          </w:p>
        </w:tc>
        <w:tc>
          <w:tcPr>
            <w:tcW w:w="954" w:type="dxa"/>
            <w:shd w:val="clear" w:color="auto" w:fill="E7E6E6" w:themeFill="background2"/>
          </w:tcPr>
          <w:p w14:paraId="29AA3113" w14:textId="77777777" w:rsidR="00F56E67" w:rsidRPr="00AE77D4" w:rsidRDefault="00F56E67" w:rsidP="00AE77D4">
            <w:pPr>
              <w:spacing w:line="276" w:lineRule="auto"/>
              <w:rPr>
                <w:rFonts w:ascii="Times New Roman" w:hAnsi="Times New Roman" w:cs="Times New Roman"/>
                <w:sz w:val="16"/>
                <w:szCs w:val="16"/>
                <w:lang w:val="en-GB"/>
              </w:rPr>
            </w:pPr>
          </w:p>
        </w:tc>
        <w:tc>
          <w:tcPr>
            <w:tcW w:w="907" w:type="dxa"/>
            <w:shd w:val="clear" w:color="auto" w:fill="E7E6E6" w:themeFill="background2"/>
          </w:tcPr>
          <w:p w14:paraId="01296166" w14:textId="77777777" w:rsidR="00F56E67" w:rsidRPr="00AE77D4" w:rsidRDefault="00F56E67" w:rsidP="00AE77D4">
            <w:pPr>
              <w:spacing w:line="276" w:lineRule="auto"/>
              <w:rPr>
                <w:rFonts w:ascii="Times New Roman" w:hAnsi="Times New Roman" w:cs="Times New Roman"/>
                <w:sz w:val="16"/>
                <w:szCs w:val="16"/>
                <w:lang w:val="en-GB"/>
              </w:rPr>
            </w:pPr>
          </w:p>
        </w:tc>
        <w:tc>
          <w:tcPr>
            <w:tcW w:w="1229" w:type="dxa"/>
            <w:shd w:val="clear" w:color="auto" w:fill="E7E6E6" w:themeFill="background2"/>
          </w:tcPr>
          <w:p w14:paraId="2B8A4213" w14:textId="77777777" w:rsidR="00F56E67" w:rsidRPr="00AE77D4" w:rsidRDefault="00F56E67" w:rsidP="00AE77D4">
            <w:pPr>
              <w:spacing w:line="276" w:lineRule="auto"/>
              <w:rPr>
                <w:rFonts w:ascii="Times New Roman" w:hAnsi="Times New Roman" w:cs="Times New Roman"/>
                <w:sz w:val="16"/>
                <w:szCs w:val="16"/>
                <w:lang w:val="en-GB"/>
              </w:rPr>
            </w:pPr>
          </w:p>
        </w:tc>
        <w:tc>
          <w:tcPr>
            <w:tcW w:w="981" w:type="dxa"/>
            <w:shd w:val="clear" w:color="auto" w:fill="E7E6E6" w:themeFill="background2"/>
          </w:tcPr>
          <w:p w14:paraId="7215995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-0.27**</w:t>
            </w:r>
          </w:p>
        </w:tc>
        <w:tc>
          <w:tcPr>
            <w:tcW w:w="989" w:type="dxa"/>
            <w:shd w:val="clear" w:color="auto" w:fill="E7E6E6" w:themeFill="background2"/>
          </w:tcPr>
          <w:p w14:paraId="41A853B1" w14:textId="77777777" w:rsidR="00F56E67" w:rsidRPr="00AE77D4" w:rsidRDefault="00F56E67" w:rsidP="00AE77D4">
            <w:pPr>
              <w:spacing w:line="276" w:lineRule="auto"/>
              <w:rPr>
                <w:rFonts w:ascii="Times New Roman" w:hAnsi="Times New Roman" w:cs="Times New Roman"/>
                <w:sz w:val="16"/>
                <w:szCs w:val="16"/>
                <w:lang w:val="en-GB"/>
              </w:rPr>
            </w:pPr>
          </w:p>
        </w:tc>
        <w:tc>
          <w:tcPr>
            <w:tcW w:w="1101" w:type="dxa"/>
            <w:shd w:val="clear" w:color="auto" w:fill="E7E6E6" w:themeFill="background2"/>
          </w:tcPr>
          <w:p w14:paraId="719F8E7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-0.22*</w:t>
            </w:r>
          </w:p>
        </w:tc>
      </w:tr>
      <w:tr w:rsidR="00AE77D4" w:rsidRPr="00AE77D4" w14:paraId="2C994004" w14:textId="77777777" w:rsidTr="003452F8">
        <w:trPr>
          <w:trHeight w:val="201"/>
        </w:trPr>
        <w:tc>
          <w:tcPr>
            <w:tcW w:w="1164" w:type="dxa"/>
          </w:tcPr>
          <w:p w14:paraId="11ABC56D"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ADCOM</w:t>
            </w:r>
          </w:p>
        </w:tc>
        <w:tc>
          <w:tcPr>
            <w:tcW w:w="965" w:type="dxa"/>
          </w:tcPr>
          <w:p w14:paraId="05C1B32E" w14:textId="77777777" w:rsidR="00F56E67" w:rsidRPr="00AE77D4" w:rsidRDefault="00F56E67" w:rsidP="00AE77D4">
            <w:pPr>
              <w:spacing w:line="276" w:lineRule="auto"/>
              <w:rPr>
                <w:rFonts w:ascii="Times New Roman" w:hAnsi="Times New Roman" w:cs="Times New Roman"/>
                <w:sz w:val="16"/>
                <w:szCs w:val="16"/>
                <w:lang w:val="en-GB"/>
              </w:rPr>
            </w:pPr>
          </w:p>
        </w:tc>
        <w:tc>
          <w:tcPr>
            <w:tcW w:w="804" w:type="dxa"/>
          </w:tcPr>
          <w:p w14:paraId="7303913F" w14:textId="77777777" w:rsidR="00F56E67" w:rsidRPr="00AE77D4" w:rsidRDefault="00F56E67" w:rsidP="00AE77D4">
            <w:pPr>
              <w:spacing w:line="276" w:lineRule="auto"/>
              <w:rPr>
                <w:rFonts w:ascii="Times New Roman" w:hAnsi="Times New Roman" w:cs="Times New Roman"/>
                <w:sz w:val="16"/>
                <w:szCs w:val="16"/>
                <w:lang w:val="en-GB"/>
              </w:rPr>
            </w:pPr>
          </w:p>
        </w:tc>
        <w:tc>
          <w:tcPr>
            <w:tcW w:w="954" w:type="dxa"/>
          </w:tcPr>
          <w:p w14:paraId="6AE81E29" w14:textId="77777777" w:rsidR="00F56E67" w:rsidRPr="00AE77D4" w:rsidRDefault="00F56E67" w:rsidP="00AE77D4">
            <w:pPr>
              <w:spacing w:line="276" w:lineRule="auto"/>
              <w:rPr>
                <w:rFonts w:ascii="Times New Roman" w:hAnsi="Times New Roman" w:cs="Times New Roman"/>
                <w:sz w:val="16"/>
                <w:szCs w:val="16"/>
                <w:lang w:val="en-GB"/>
              </w:rPr>
            </w:pPr>
          </w:p>
        </w:tc>
        <w:tc>
          <w:tcPr>
            <w:tcW w:w="907" w:type="dxa"/>
          </w:tcPr>
          <w:p w14:paraId="65DA09E5" w14:textId="77777777" w:rsidR="00F56E67" w:rsidRPr="00AE77D4" w:rsidRDefault="00F56E67" w:rsidP="00AE77D4">
            <w:pPr>
              <w:spacing w:line="276" w:lineRule="auto"/>
              <w:rPr>
                <w:rFonts w:ascii="Times New Roman" w:hAnsi="Times New Roman" w:cs="Times New Roman"/>
                <w:sz w:val="16"/>
                <w:szCs w:val="16"/>
                <w:lang w:val="en-GB"/>
              </w:rPr>
            </w:pPr>
          </w:p>
        </w:tc>
        <w:tc>
          <w:tcPr>
            <w:tcW w:w="1229" w:type="dxa"/>
          </w:tcPr>
          <w:p w14:paraId="78BA91E5" w14:textId="77777777" w:rsidR="00F56E67" w:rsidRPr="00AE77D4" w:rsidRDefault="00F56E67" w:rsidP="00AE77D4">
            <w:pPr>
              <w:spacing w:line="276" w:lineRule="auto"/>
              <w:rPr>
                <w:rFonts w:ascii="Times New Roman" w:hAnsi="Times New Roman" w:cs="Times New Roman"/>
                <w:sz w:val="16"/>
                <w:szCs w:val="16"/>
                <w:lang w:val="en-GB"/>
              </w:rPr>
            </w:pPr>
          </w:p>
        </w:tc>
        <w:tc>
          <w:tcPr>
            <w:tcW w:w="981" w:type="dxa"/>
          </w:tcPr>
          <w:p w14:paraId="287BFA20"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tcPr>
          <w:p w14:paraId="373761B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7.4***</w:t>
            </w:r>
          </w:p>
        </w:tc>
        <w:tc>
          <w:tcPr>
            <w:tcW w:w="1101" w:type="dxa"/>
          </w:tcPr>
          <w:p w14:paraId="62AD476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4.7***</w:t>
            </w:r>
          </w:p>
        </w:tc>
      </w:tr>
      <w:tr w:rsidR="00AE77D4" w:rsidRPr="00AE77D4" w14:paraId="68A4DE8A" w14:textId="77777777" w:rsidTr="003452F8">
        <w:trPr>
          <w:trHeight w:val="156"/>
        </w:trPr>
        <w:tc>
          <w:tcPr>
            <w:tcW w:w="2129" w:type="dxa"/>
            <w:gridSpan w:val="2"/>
            <w:shd w:val="clear" w:color="auto" w:fill="E7E6E6" w:themeFill="background2"/>
          </w:tcPr>
          <w:p w14:paraId="0E39AE2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Control variables:</w:t>
            </w:r>
          </w:p>
        </w:tc>
        <w:tc>
          <w:tcPr>
            <w:tcW w:w="804" w:type="dxa"/>
            <w:shd w:val="clear" w:color="auto" w:fill="E7E6E6" w:themeFill="background2"/>
          </w:tcPr>
          <w:p w14:paraId="55D9BED7" w14:textId="77777777" w:rsidR="00F56E67" w:rsidRPr="00AE77D4" w:rsidRDefault="00F56E67" w:rsidP="00AE77D4">
            <w:pPr>
              <w:spacing w:line="276" w:lineRule="auto"/>
              <w:rPr>
                <w:rFonts w:ascii="Times New Roman" w:hAnsi="Times New Roman" w:cs="Times New Roman"/>
                <w:sz w:val="16"/>
                <w:szCs w:val="16"/>
                <w:lang w:val="en-GB"/>
              </w:rPr>
            </w:pPr>
          </w:p>
        </w:tc>
        <w:tc>
          <w:tcPr>
            <w:tcW w:w="954" w:type="dxa"/>
            <w:shd w:val="clear" w:color="auto" w:fill="E7E6E6" w:themeFill="background2"/>
          </w:tcPr>
          <w:p w14:paraId="1D7B274F" w14:textId="77777777" w:rsidR="00F56E67" w:rsidRPr="00AE77D4" w:rsidRDefault="00F56E67" w:rsidP="00AE77D4">
            <w:pPr>
              <w:spacing w:line="276" w:lineRule="auto"/>
              <w:rPr>
                <w:rFonts w:ascii="Times New Roman" w:hAnsi="Times New Roman" w:cs="Times New Roman"/>
                <w:sz w:val="16"/>
                <w:szCs w:val="16"/>
                <w:lang w:val="en-GB"/>
              </w:rPr>
            </w:pPr>
          </w:p>
        </w:tc>
        <w:tc>
          <w:tcPr>
            <w:tcW w:w="907" w:type="dxa"/>
            <w:shd w:val="clear" w:color="auto" w:fill="E7E6E6" w:themeFill="background2"/>
          </w:tcPr>
          <w:p w14:paraId="189FB614" w14:textId="77777777" w:rsidR="00F56E67" w:rsidRPr="00AE77D4" w:rsidRDefault="00F56E67" w:rsidP="00AE77D4">
            <w:pPr>
              <w:spacing w:line="276" w:lineRule="auto"/>
              <w:rPr>
                <w:rFonts w:ascii="Times New Roman" w:hAnsi="Times New Roman" w:cs="Times New Roman"/>
                <w:sz w:val="16"/>
                <w:szCs w:val="16"/>
                <w:lang w:val="en-GB"/>
              </w:rPr>
            </w:pPr>
          </w:p>
        </w:tc>
        <w:tc>
          <w:tcPr>
            <w:tcW w:w="1229" w:type="dxa"/>
            <w:shd w:val="clear" w:color="auto" w:fill="E7E6E6" w:themeFill="background2"/>
          </w:tcPr>
          <w:p w14:paraId="4218CF78" w14:textId="77777777" w:rsidR="00F56E67" w:rsidRPr="00AE77D4" w:rsidRDefault="00F56E67" w:rsidP="00AE77D4">
            <w:pPr>
              <w:spacing w:line="276" w:lineRule="auto"/>
              <w:rPr>
                <w:rFonts w:ascii="Times New Roman" w:hAnsi="Times New Roman" w:cs="Times New Roman"/>
                <w:sz w:val="16"/>
                <w:szCs w:val="16"/>
                <w:lang w:val="en-GB"/>
              </w:rPr>
            </w:pPr>
          </w:p>
        </w:tc>
        <w:tc>
          <w:tcPr>
            <w:tcW w:w="981" w:type="dxa"/>
            <w:shd w:val="clear" w:color="auto" w:fill="E7E6E6" w:themeFill="background2"/>
          </w:tcPr>
          <w:p w14:paraId="4CDBFCE5"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shd w:val="clear" w:color="auto" w:fill="E7E6E6" w:themeFill="background2"/>
          </w:tcPr>
          <w:p w14:paraId="2E81AFEA" w14:textId="77777777" w:rsidR="00F56E67" w:rsidRPr="00AE77D4" w:rsidRDefault="00F56E67" w:rsidP="00AE77D4">
            <w:pPr>
              <w:spacing w:line="276" w:lineRule="auto"/>
              <w:rPr>
                <w:rFonts w:ascii="Times New Roman" w:hAnsi="Times New Roman" w:cs="Times New Roman"/>
                <w:sz w:val="16"/>
                <w:szCs w:val="16"/>
                <w:lang w:val="en-GB"/>
              </w:rPr>
            </w:pPr>
          </w:p>
        </w:tc>
        <w:tc>
          <w:tcPr>
            <w:tcW w:w="1101" w:type="dxa"/>
            <w:shd w:val="clear" w:color="auto" w:fill="E7E6E6" w:themeFill="background2"/>
          </w:tcPr>
          <w:p w14:paraId="40466BDD" w14:textId="77777777" w:rsidR="00F56E67" w:rsidRPr="00AE77D4" w:rsidRDefault="00F56E67" w:rsidP="00AE77D4">
            <w:pPr>
              <w:spacing w:line="276" w:lineRule="auto"/>
              <w:rPr>
                <w:rFonts w:ascii="Times New Roman" w:hAnsi="Times New Roman" w:cs="Times New Roman"/>
                <w:sz w:val="16"/>
                <w:szCs w:val="16"/>
                <w:lang w:val="en-GB"/>
              </w:rPr>
            </w:pPr>
          </w:p>
        </w:tc>
      </w:tr>
      <w:tr w:rsidR="00AE77D4" w:rsidRPr="00AE77D4" w14:paraId="7F6312B8" w14:textId="77777777" w:rsidTr="003452F8">
        <w:trPr>
          <w:trHeight w:val="201"/>
        </w:trPr>
        <w:tc>
          <w:tcPr>
            <w:tcW w:w="1164" w:type="dxa"/>
          </w:tcPr>
          <w:p w14:paraId="17FA4B7F"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SIZE</w:t>
            </w:r>
          </w:p>
        </w:tc>
        <w:tc>
          <w:tcPr>
            <w:tcW w:w="965" w:type="dxa"/>
          </w:tcPr>
          <w:p w14:paraId="782F082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04" w:type="dxa"/>
          </w:tcPr>
          <w:p w14:paraId="3F59734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54" w:type="dxa"/>
          </w:tcPr>
          <w:p w14:paraId="65A9196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07" w:type="dxa"/>
          </w:tcPr>
          <w:p w14:paraId="23415D3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29" w:type="dxa"/>
          </w:tcPr>
          <w:p w14:paraId="1DA2C38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1" w:type="dxa"/>
          </w:tcPr>
          <w:p w14:paraId="0834E2A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9" w:type="dxa"/>
          </w:tcPr>
          <w:p w14:paraId="6FE6C4E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01" w:type="dxa"/>
          </w:tcPr>
          <w:p w14:paraId="031CB54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0.02*</w:t>
            </w:r>
          </w:p>
        </w:tc>
      </w:tr>
      <w:tr w:rsidR="00AE77D4" w:rsidRPr="00AE77D4" w14:paraId="327CB1D2" w14:textId="77777777" w:rsidTr="003452F8">
        <w:trPr>
          <w:trHeight w:val="213"/>
        </w:trPr>
        <w:tc>
          <w:tcPr>
            <w:tcW w:w="1164" w:type="dxa"/>
            <w:shd w:val="clear" w:color="auto" w:fill="E7E6E6" w:themeFill="background2"/>
          </w:tcPr>
          <w:p w14:paraId="16D22A50"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ROA</w:t>
            </w:r>
          </w:p>
        </w:tc>
        <w:tc>
          <w:tcPr>
            <w:tcW w:w="965" w:type="dxa"/>
            <w:shd w:val="clear" w:color="auto" w:fill="E7E6E6" w:themeFill="background2"/>
          </w:tcPr>
          <w:p w14:paraId="17AE071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04" w:type="dxa"/>
            <w:shd w:val="clear" w:color="auto" w:fill="E7E6E6" w:themeFill="background2"/>
          </w:tcPr>
          <w:p w14:paraId="0A52065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54" w:type="dxa"/>
            <w:shd w:val="clear" w:color="auto" w:fill="E7E6E6" w:themeFill="background2"/>
          </w:tcPr>
          <w:p w14:paraId="07CB334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07" w:type="dxa"/>
            <w:shd w:val="clear" w:color="auto" w:fill="E7E6E6" w:themeFill="background2"/>
          </w:tcPr>
          <w:p w14:paraId="197A9FD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29" w:type="dxa"/>
            <w:shd w:val="clear" w:color="auto" w:fill="E7E6E6" w:themeFill="background2"/>
          </w:tcPr>
          <w:p w14:paraId="10535A7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1" w:type="dxa"/>
            <w:shd w:val="clear" w:color="auto" w:fill="E7E6E6" w:themeFill="background2"/>
          </w:tcPr>
          <w:p w14:paraId="68C2732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9" w:type="dxa"/>
            <w:shd w:val="clear" w:color="auto" w:fill="E7E6E6" w:themeFill="background2"/>
          </w:tcPr>
          <w:p w14:paraId="06C7820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01" w:type="dxa"/>
            <w:shd w:val="clear" w:color="auto" w:fill="E7E6E6" w:themeFill="background2"/>
          </w:tcPr>
          <w:p w14:paraId="2ED4BDA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2.8</w:t>
            </w:r>
          </w:p>
        </w:tc>
      </w:tr>
      <w:tr w:rsidR="00AE77D4" w:rsidRPr="00AE77D4" w14:paraId="7CEAFFA1" w14:textId="77777777" w:rsidTr="003452F8">
        <w:trPr>
          <w:trHeight w:val="201"/>
        </w:trPr>
        <w:tc>
          <w:tcPr>
            <w:tcW w:w="1164" w:type="dxa"/>
          </w:tcPr>
          <w:p w14:paraId="74BE8C51"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LEV</w:t>
            </w:r>
          </w:p>
        </w:tc>
        <w:tc>
          <w:tcPr>
            <w:tcW w:w="965" w:type="dxa"/>
          </w:tcPr>
          <w:p w14:paraId="4D1A071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04" w:type="dxa"/>
          </w:tcPr>
          <w:p w14:paraId="7A90084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54" w:type="dxa"/>
          </w:tcPr>
          <w:p w14:paraId="029B5C3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07" w:type="dxa"/>
          </w:tcPr>
          <w:p w14:paraId="1D2DBFE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29" w:type="dxa"/>
          </w:tcPr>
          <w:p w14:paraId="7F28393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1" w:type="dxa"/>
          </w:tcPr>
          <w:p w14:paraId="4528EA1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9" w:type="dxa"/>
          </w:tcPr>
          <w:p w14:paraId="4DA8999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01" w:type="dxa"/>
          </w:tcPr>
          <w:p w14:paraId="581A1D8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-1.6</w:t>
            </w:r>
          </w:p>
        </w:tc>
      </w:tr>
      <w:tr w:rsidR="00AE77D4" w:rsidRPr="00AE77D4" w14:paraId="2B750E10" w14:textId="77777777" w:rsidTr="003452F8">
        <w:trPr>
          <w:trHeight w:val="403"/>
        </w:trPr>
        <w:tc>
          <w:tcPr>
            <w:tcW w:w="1164" w:type="dxa"/>
            <w:shd w:val="clear" w:color="auto" w:fill="E7E6E6" w:themeFill="background2"/>
          </w:tcPr>
          <w:p w14:paraId="5E5DC9E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Year fixed effect</w:t>
            </w:r>
          </w:p>
        </w:tc>
        <w:tc>
          <w:tcPr>
            <w:tcW w:w="965" w:type="dxa"/>
            <w:shd w:val="clear" w:color="auto" w:fill="E7E6E6" w:themeFill="background2"/>
          </w:tcPr>
          <w:p w14:paraId="4F17C43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04" w:type="dxa"/>
            <w:shd w:val="clear" w:color="auto" w:fill="E7E6E6" w:themeFill="background2"/>
          </w:tcPr>
          <w:p w14:paraId="5DD034C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54" w:type="dxa"/>
            <w:shd w:val="clear" w:color="auto" w:fill="E7E6E6" w:themeFill="background2"/>
          </w:tcPr>
          <w:p w14:paraId="178556E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07" w:type="dxa"/>
            <w:shd w:val="clear" w:color="auto" w:fill="E7E6E6" w:themeFill="background2"/>
          </w:tcPr>
          <w:p w14:paraId="71631CD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29" w:type="dxa"/>
            <w:shd w:val="clear" w:color="auto" w:fill="E7E6E6" w:themeFill="background2"/>
          </w:tcPr>
          <w:p w14:paraId="0255CD1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1" w:type="dxa"/>
            <w:shd w:val="clear" w:color="auto" w:fill="E7E6E6" w:themeFill="background2"/>
          </w:tcPr>
          <w:p w14:paraId="30AA416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9" w:type="dxa"/>
            <w:shd w:val="clear" w:color="auto" w:fill="E7E6E6" w:themeFill="background2"/>
          </w:tcPr>
          <w:p w14:paraId="0E9CCA6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01" w:type="dxa"/>
            <w:shd w:val="clear" w:color="auto" w:fill="E7E6E6" w:themeFill="background2"/>
          </w:tcPr>
          <w:p w14:paraId="300E30D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r>
      <w:tr w:rsidR="00AE77D4" w:rsidRPr="00AE77D4" w14:paraId="47949F0B" w14:textId="77777777" w:rsidTr="003452F8">
        <w:trPr>
          <w:trHeight w:val="403"/>
        </w:trPr>
        <w:tc>
          <w:tcPr>
            <w:tcW w:w="1164" w:type="dxa"/>
            <w:shd w:val="clear" w:color="auto" w:fill="FFFFFF" w:themeFill="background1"/>
          </w:tcPr>
          <w:p w14:paraId="44A940B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Industry effect</w:t>
            </w:r>
          </w:p>
        </w:tc>
        <w:tc>
          <w:tcPr>
            <w:tcW w:w="965" w:type="dxa"/>
            <w:shd w:val="clear" w:color="auto" w:fill="FFFFFF" w:themeFill="background1"/>
          </w:tcPr>
          <w:p w14:paraId="2C25BD6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04" w:type="dxa"/>
            <w:shd w:val="clear" w:color="auto" w:fill="FFFFFF" w:themeFill="background1"/>
          </w:tcPr>
          <w:p w14:paraId="3EE0B08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54" w:type="dxa"/>
            <w:shd w:val="clear" w:color="auto" w:fill="FFFFFF" w:themeFill="background1"/>
          </w:tcPr>
          <w:p w14:paraId="4CDFF74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07" w:type="dxa"/>
            <w:shd w:val="clear" w:color="auto" w:fill="FFFFFF" w:themeFill="background1"/>
          </w:tcPr>
          <w:p w14:paraId="471EB51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29" w:type="dxa"/>
            <w:shd w:val="clear" w:color="auto" w:fill="FFFFFF" w:themeFill="background1"/>
          </w:tcPr>
          <w:p w14:paraId="0015F9B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1" w:type="dxa"/>
            <w:shd w:val="clear" w:color="auto" w:fill="FFFFFF" w:themeFill="background1"/>
          </w:tcPr>
          <w:p w14:paraId="6619AA7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9" w:type="dxa"/>
            <w:shd w:val="clear" w:color="auto" w:fill="FFFFFF" w:themeFill="background1"/>
          </w:tcPr>
          <w:p w14:paraId="01AD479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01" w:type="dxa"/>
            <w:shd w:val="clear" w:color="auto" w:fill="FFFFFF" w:themeFill="background1"/>
          </w:tcPr>
          <w:p w14:paraId="6F9F267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r>
      <w:tr w:rsidR="00AE77D4" w:rsidRPr="00AE77D4" w14:paraId="735B68F0" w14:textId="77777777" w:rsidTr="003452F8">
        <w:trPr>
          <w:trHeight w:val="201"/>
        </w:trPr>
        <w:tc>
          <w:tcPr>
            <w:tcW w:w="1164" w:type="dxa"/>
            <w:shd w:val="clear" w:color="auto" w:fill="E7E6E6" w:themeFill="background2"/>
          </w:tcPr>
          <w:p w14:paraId="2BA64FB9"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rPr>
              <w:t>No of firm year obs.</w:t>
            </w:r>
          </w:p>
        </w:tc>
        <w:tc>
          <w:tcPr>
            <w:tcW w:w="965" w:type="dxa"/>
            <w:shd w:val="clear" w:color="auto" w:fill="E7E6E6" w:themeFill="background2"/>
          </w:tcPr>
          <w:p w14:paraId="264D472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800</w:t>
            </w:r>
          </w:p>
        </w:tc>
        <w:tc>
          <w:tcPr>
            <w:tcW w:w="804" w:type="dxa"/>
            <w:shd w:val="clear" w:color="auto" w:fill="E7E6E6" w:themeFill="background2"/>
          </w:tcPr>
          <w:p w14:paraId="7DB02A16"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54" w:type="dxa"/>
            <w:shd w:val="clear" w:color="auto" w:fill="E7E6E6" w:themeFill="background2"/>
          </w:tcPr>
          <w:p w14:paraId="6A4B9CA7"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07" w:type="dxa"/>
            <w:shd w:val="clear" w:color="auto" w:fill="E7E6E6" w:themeFill="background2"/>
          </w:tcPr>
          <w:p w14:paraId="71C5ACE0"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1229" w:type="dxa"/>
            <w:shd w:val="clear" w:color="auto" w:fill="E7E6E6" w:themeFill="background2"/>
          </w:tcPr>
          <w:p w14:paraId="4785F108"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81" w:type="dxa"/>
            <w:shd w:val="clear" w:color="auto" w:fill="E7E6E6" w:themeFill="background2"/>
          </w:tcPr>
          <w:p w14:paraId="787C89B5"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89" w:type="dxa"/>
            <w:shd w:val="clear" w:color="auto" w:fill="E7E6E6" w:themeFill="background2"/>
          </w:tcPr>
          <w:p w14:paraId="5CBBE1BC"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1101" w:type="dxa"/>
            <w:shd w:val="clear" w:color="auto" w:fill="E7E6E6" w:themeFill="background2"/>
          </w:tcPr>
          <w:p w14:paraId="2ECFC23D"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r>
      <w:tr w:rsidR="00AE77D4" w:rsidRPr="00AE77D4" w14:paraId="111B8667" w14:textId="77777777" w:rsidTr="003452F8">
        <w:trPr>
          <w:trHeight w:val="213"/>
        </w:trPr>
        <w:tc>
          <w:tcPr>
            <w:tcW w:w="1164" w:type="dxa"/>
          </w:tcPr>
          <w:p w14:paraId="14D5A3A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 xml:space="preserve">R2 </w:t>
            </w:r>
          </w:p>
        </w:tc>
        <w:tc>
          <w:tcPr>
            <w:tcW w:w="965" w:type="dxa"/>
          </w:tcPr>
          <w:p w14:paraId="62F4A0E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0.04</w:t>
            </w:r>
          </w:p>
        </w:tc>
        <w:tc>
          <w:tcPr>
            <w:tcW w:w="804" w:type="dxa"/>
          </w:tcPr>
          <w:p w14:paraId="5DCE7AB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0.01</w:t>
            </w:r>
          </w:p>
        </w:tc>
        <w:tc>
          <w:tcPr>
            <w:tcW w:w="954" w:type="dxa"/>
          </w:tcPr>
          <w:p w14:paraId="5546976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0.09</w:t>
            </w:r>
          </w:p>
        </w:tc>
        <w:tc>
          <w:tcPr>
            <w:tcW w:w="907" w:type="dxa"/>
          </w:tcPr>
          <w:p w14:paraId="102BD50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0.02</w:t>
            </w:r>
          </w:p>
        </w:tc>
        <w:tc>
          <w:tcPr>
            <w:tcW w:w="1229" w:type="dxa"/>
          </w:tcPr>
          <w:p w14:paraId="7C97B89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0.02</w:t>
            </w:r>
          </w:p>
        </w:tc>
        <w:tc>
          <w:tcPr>
            <w:tcW w:w="981" w:type="dxa"/>
          </w:tcPr>
          <w:p w14:paraId="639082C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0.02</w:t>
            </w:r>
          </w:p>
        </w:tc>
        <w:tc>
          <w:tcPr>
            <w:tcW w:w="989" w:type="dxa"/>
          </w:tcPr>
          <w:p w14:paraId="39F58F3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0.07</w:t>
            </w:r>
          </w:p>
        </w:tc>
        <w:tc>
          <w:tcPr>
            <w:tcW w:w="1101" w:type="dxa"/>
          </w:tcPr>
          <w:p w14:paraId="1C840E0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0.016</w:t>
            </w:r>
          </w:p>
        </w:tc>
      </w:tr>
      <w:tr w:rsidR="00AB775B" w:rsidRPr="00AE77D4" w14:paraId="5E1CFA6B" w14:textId="77777777" w:rsidTr="003452F8">
        <w:trPr>
          <w:trHeight w:val="213"/>
        </w:trPr>
        <w:tc>
          <w:tcPr>
            <w:tcW w:w="9094" w:type="dxa"/>
            <w:gridSpan w:val="9"/>
          </w:tcPr>
          <w:p w14:paraId="67FFDF0E" w14:textId="79048EFA"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Notes: (1) *, **, *** significance at 10%, 5%, and 1% levels of confidence, respectively. (2) See Table 2 for variable definitions.</w:t>
            </w:r>
          </w:p>
        </w:tc>
      </w:tr>
    </w:tbl>
    <w:p w14:paraId="3A2AD24C" w14:textId="77777777" w:rsidR="00F56E67" w:rsidRPr="00AE77D4" w:rsidRDefault="00F56E67" w:rsidP="00AE77D4">
      <w:pPr>
        <w:autoSpaceDE w:val="0"/>
        <w:autoSpaceDN w:val="0"/>
        <w:adjustRightInd w:val="0"/>
        <w:spacing w:line="276" w:lineRule="auto"/>
        <w:jc w:val="both"/>
        <w:rPr>
          <w:rFonts w:ascii="Times New Roman" w:hAnsi="Times New Roman" w:cs="Times New Roman"/>
          <w:sz w:val="24"/>
          <w:szCs w:val="24"/>
          <w:lang w:val="en-GB"/>
        </w:rPr>
      </w:pPr>
    </w:p>
    <w:tbl>
      <w:tblPr>
        <w:tblStyle w:val="TableGrid1"/>
        <w:tblW w:w="9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3"/>
        <w:gridCol w:w="974"/>
        <w:gridCol w:w="811"/>
        <w:gridCol w:w="962"/>
        <w:gridCol w:w="914"/>
        <w:gridCol w:w="1239"/>
        <w:gridCol w:w="989"/>
        <w:gridCol w:w="997"/>
        <w:gridCol w:w="1111"/>
      </w:tblGrid>
      <w:tr w:rsidR="00AE77D4" w:rsidRPr="00AE77D4" w14:paraId="76549AF1" w14:textId="77777777" w:rsidTr="003452F8">
        <w:trPr>
          <w:trHeight w:val="358"/>
        </w:trPr>
        <w:tc>
          <w:tcPr>
            <w:tcW w:w="9169" w:type="dxa"/>
            <w:gridSpan w:val="9"/>
            <w:tcBorders>
              <w:top w:val="single" w:sz="4" w:space="0" w:color="auto"/>
              <w:bottom w:val="single" w:sz="4" w:space="0" w:color="auto"/>
            </w:tcBorders>
            <w:shd w:val="clear" w:color="auto" w:fill="FFFFFF" w:themeFill="background1"/>
          </w:tcPr>
          <w:p w14:paraId="1464B3DB" w14:textId="77777777" w:rsidR="00F56E67" w:rsidRPr="00AE77D4" w:rsidRDefault="00661A05" w:rsidP="00AE77D4">
            <w:pPr>
              <w:spacing w:line="276" w:lineRule="auto"/>
              <w:rPr>
                <w:rFonts w:ascii="Times New Roman" w:hAnsi="Times New Roman" w:cs="Times New Roman"/>
                <w:noProof/>
                <w:sz w:val="16"/>
                <w:szCs w:val="16"/>
                <w:lang w:val="en-GB"/>
              </w:rPr>
            </w:pPr>
            <w:r w:rsidRPr="00AE77D4">
              <w:rPr>
                <w:rFonts w:ascii="Times New Roman" w:hAnsi="Times New Roman" w:cs="Times New Roman"/>
                <w:b/>
                <w:sz w:val="24"/>
                <w:szCs w:val="24"/>
                <w:lang w:val="en-GB"/>
              </w:rPr>
              <w:t>Table 6.</w:t>
            </w:r>
            <w:r w:rsidRPr="00AE77D4">
              <w:rPr>
                <w:rFonts w:ascii="Times New Roman" w:hAnsi="Times New Roman" w:cs="Times New Roman"/>
                <w:sz w:val="24"/>
                <w:szCs w:val="24"/>
                <w:lang w:val="en-GB"/>
              </w:rPr>
              <w:t xml:space="preserve">  The influence of board characteristics on climate change disclosure practices during the post-amendment period of 2018-2021</w:t>
            </w:r>
          </w:p>
        </w:tc>
      </w:tr>
      <w:tr w:rsidR="00AE77D4" w:rsidRPr="00AE77D4" w14:paraId="4BDC5B8C" w14:textId="77777777" w:rsidTr="003452F8">
        <w:trPr>
          <w:trHeight w:val="358"/>
        </w:trPr>
        <w:tc>
          <w:tcPr>
            <w:tcW w:w="1173" w:type="dxa"/>
            <w:tcBorders>
              <w:top w:val="single" w:sz="4" w:space="0" w:color="auto"/>
              <w:bottom w:val="single" w:sz="4" w:space="0" w:color="auto"/>
            </w:tcBorders>
            <w:shd w:val="clear" w:color="auto" w:fill="E7E6E6" w:themeFill="background2"/>
          </w:tcPr>
          <w:p w14:paraId="26C90D3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Dep. variable</w:t>
            </w:r>
          </w:p>
        </w:tc>
        <w:tc>
          <w:tcPr>
            <w:tcW w:w="973" w:type="dxa"/>
            <w:tcBorders>
              <w:top w:val="single" w:sz="4" w:space="0" w:color="auto"/>
              <w:bottom w:val="single" w:sz="4" w:space="0" w:color="auto"/>
            </w:tcBorders>
            <w:shd w:val="clear" w:color="auto" w:fill="E7E6E6" w:themeFill="background2"/>
          </w:tcPr>
          <w:p w14:paraId="0A0C754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811" w:type="dxa"/>
            <w:tcBorders>
              <w:top w:val="single" w:sz="4" w:space="0" w:color="auto"/>
              <w:bottom w:val="single" w:sz="4" w:space="0" w:color="auto"/>
            </w:tcBorders>
            <w:shd w:val="clear" w:color="auto" w:fill="E7E6E6" w:themeFill="background2"/>
          </w:tcPr>
          <w:p w14:paraId="1AFB380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962" w:type="dxa"/>
            <w:tcBorders>
              <w:top w:val="single" w:sz="4" w:space="0" w:color="auto"/>
              <w:bottom w:val="single" w:sz="4" w:space="0" w:color="auto"/>
            </w:tcBorders>
            <w:shd w:val="clear" w:color="auto" w:fill="E7E6E6" w:themeFill="background2"/>
          </w:tcPr>
          <w:p w14:paraId="32A0155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914" w:type="dxa"/>
            <w:tcBorders>
              <w:top w:val="single" w:sz="4" w:space="0" w:color="auto"/>
              <w:bottom w:val="single" w:sz="4" w:space="0" w:color="auto"/>
            </w:tcBorders>
            <w:shd w:val="clear" w:color="auto" w:fill="E7E6E6" w:themeFill="background2"/>
          </w:tcPr>
          <w:p w14:paraId="426087E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1239" w:type="dxa"/>
            <w:tcBorders>
              <w:top w:val="single" w:sz="4" w:space="0" w:color="auto"/>
              <w:bottom w:val="single" w:sz="4" w:space="0" w:color="auto"/>
            </w:tcBorders>
            <w:shd w:val="clear" w:color="auto" w:fill="E7E6E6" w:themeFill="background2"/>
          </w:tcPr>
          <w:p w14:paraId="0C4B3B3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989" w:type="dxa"/>
            <w:tcBorders>
              <w:top w:val="single" w:sz="4" w:space="0" w:color="auto"/>
              <w:bottom w:val="single" w:sz="4" w:space="0" w:color="auto"/>
            </w:tcBorders>
            <w:shd w:val="clear" w:color="auto" w:fill="E7E6E6" w:themeFill="background2"/>
          </w:tcPr>
          <w:p w14:paraId="3D2C1FC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997" w:type="dxa"/>
            <w:tcBorders>
              <w:top w:val="single" w:sz="4" w:space="0" w:color="auto"/>
              <w:bottom w:val="single" w:sz="4" w:space="0" w:color="auto"/>
            </w:tcBorders>
            <w:shd w:val="clear" w:color="auto" w:fill="E7E6E6" w:themeFill="background2"/>
          </w:tcPr>
          <w:p w14:paraId="60CAD00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1111" w:type="dxa"/>
            <w:tcBorders>
              <w:top w:val="single" w:sz="4" w:space="0" w:color="auto"/>
              <w:bottom w:val="single" w:sz="4" w:space="0" w:color="auto"/>
            </w:tcBorders>
            <w:shd w:val="clear" w:color="auto" w:fill="E7E6E6" w:themeFill="background2"/>
          </w:tcPr>
          <w:p w14:paraId="5F9AAC9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r>
      <w:tr w:rsidR="00AE77D4" w:rsidRPr="00AE77D4" w14:paraId="18B349FC" w14:textId="77777777" w:rsidTr="003452F8">
        <w:trPr>
          <w:trHeight w:val="172"/>
        </w:trPr>
        <w:tc>
          <w:tcPr>
            <w:tcW w:w="1173" w:type="dxa"/>
            <w:tcBorders>
              <w:top w:val="single" w:sz="4" w:space="0" w:color="auto"/>
            </w:tcBorders>
          </w:tcPr>
          <w:p w14:paraId="5FB0EE4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Model</w:t>
            </w:r>
          </w:p>
        </w:tc>
        <w:tc>
          <w:tcPr>
            <w:tcW w:w="973" w:type="dxa"/>
            <w:tcBorders>
              <w:top w:val="single" w:sz="4" w:space="0" w:color="auto"/>
            </w:tcBorders>
          </w:tcPr>
          <w:p w14:paraId="21B1697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w:t>
            </w:r>
          </w:p>
        </w:tc>
        <w:tc>
          <w:tcPr>
            <w:tcW w:w="811" w:type="dxa"/>
            <w:tcBorders>
              <w:top w:val="single" w:sz="4" w:space="0" w:color="auto"/>
            </w:tcBorders>
          </w:tcPr>
          <w:p w14:paraId="2E27CE0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(2)</w:t>
            </w:r>
          </w:p>
        </w:tc>
        <w:tc>
          <w:tcPr>
            <w:tcW w:w="962" w:type="dxa"/>
            <w:tcBorders>
              <w:top w:val="single" w:sz="4" w:space="0" w:color="auto"/>
            </w:tcBorders>
          </w:tcPr>
          <w:p w14:paraId="4816B2B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(3)</w:t>
            </w:r>
          </w:p>
        </w:tc>
        <w:tc>
          <w:tcPr>
            <w:tcW w:w="914" w:type="dxa"/>
            <w:tcBorders>
              <w:top w:val="single" w:sz="4" w:space="0" w:color="auto"/>
            </w:tcBorders>
          </w:tcPr>
          <w:p w14:paraId="29D1D7D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(4)</w:t>
            </w:r>
          </w:p>
        </w:tc>
        <w:tc>
          <w:tcPr>
            <w:tcW w:w="1239" w:type="dxa"/>
            <w:tcBorders>
              <w:top w:val="single" w:sz="4" w:space="0" w:color="auto"/>
            </w:tcBorders>
          </w:tcPr>
          <w:p w14:paraId="72530F8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(5)</w:t>
            </w:r>
          </w:p>
        </w:tc>
        <w:tc>
          <w:tcPr>
            <w:tcW w:w="989" w:type="dxa"/>
            <w:tcBorders>
              <w:top w:val="single" w:sz="4" w:space="0" w:color="auto"/>
            </w:tcBorders>
          </w:tcPr>
          <w:p w14:paraId="77878A8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(6)</w:t>
            </w:r>
          </w:p>
        </w:tc>
        <w:tc>
          <w:tcPr>
            <w:tcW w:w="997" w:type="dxa"/>
            <w:tcBorders>
              <w:top w:val="single" w:sz="4" w:space="0" w:color="auto"/>
            </w:tcBorders>
          </w:tcPr>
          <w:p w14:paraId="25D9564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(7)</w:t>
            </w:r>
          </w:p>
        </w:tc>
        <w:tc>
          <w:tcPr>
            <w:tcW w:w="1111" w:type="dxa"/>
            <w:tcBorders>
              <w:top w:val="single" w:sz="4" w:space="0" w:color="auto"/>
            </w:tcBorders>
          </w:tcPr>
          <w:p w14:paraId="1DCE919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(8)</w:t>
            </w:r>
          </w:p>
        </w:tc>
      </w:tr>
      <w:tr w:rsidR="00AE77D4" w:rsidRPr="00AE77D4" w14:paraId="484C8B17" w14:textId="77777777" w:rsidTr="003452F8">
        <w:trPr>
          <w:trHeight w:val="172"/>
        </w:trPr>
        <w:tc>
          <w:tcPr>
            <w:tcW w:w="4833" w:type="dxa"/>
            <w:gridSpan w:val="5"/>
            <w:shd w:val="clear" w:color="auto" w:fill="E7E6E6" w:themeFill="background2"/>
          </w:tcPr>
          <w:p w14:paraId="312A080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Independent variables (CG Matrix):</w:t>
            </w:r>
          </w:p>
        </w:tc>
        <w:tc>
          <w:tcPr>
            <w:tcW w:w="1239" w:type="dxa"/>
            <w:shd w:val="clear" w:color="auto" w:fill="E7E6E6" w:themeFill="background2"/>
          </w:tcPr>
          <w:p w14:paraId="34822F29"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shd w:val="clear" w:color="auto" w:fill="E7E6E6" w:themeFill="background2"/>
          </w:tcPr>
          <w:p w14:paraId="01580A18" w14:textId="77777777" w:rsidR="00F56E67" w:rsidRPr="00AE77D4" w:rsidRDefault="00F56E67" w:rsidP="00AE77D4">
            <w:pPr>
              <w:spacing w:line="276" w:lineRule="auto"/>
              <w:rPr>
                <w:rFonts w:ascii="Times New Roman" w:hAnsi="Times New Roman" w:cs="Times New Roman"/>
                <w:sz w:val="16"/>
                <w:szCs w:val="16"/>
                <w:lang w:val="en-GB"/>
              </w:rPr>
            </w:pPr>
          </w:p>
        </w:tc>
        <w:tc>
          <w:tcPr>
            <w:tcW w:w="997" w:type="dxa"/>
            <w:shd w:val="clear" w:color="auto" w:fill="E7E6E6" w:themeFill="background2"/>
          </w:tcPr>
          <w:p w14:paraId="2987F829" w14:textId="77777777" w:rsidR="00F56E67" w:rsidRPr="00AE77D4" w:rsidRDefault="00F56E67" w:rsidP="00AE77D4">
            <w:pPr>
              <w:spacing w:line="276" w:lineRule="auto"/>
              <w:rPr>
                <w:rFonts w:ascii="Times New Roman" w:hAnsi="Times New Roman" w:cs="Times New Roman"/>
                <w:sz w:val="16"/>
                <w:szCs w:val="16"/>
                <w:lang w:val="en-GB"/>
              </w:rPr>
            </w:pPr>
          </w:p>
        </w:tc>
        <w:tc>
          <w:tcPr>
            <w:tcW w:w="1111" w:type="dxa"/>
            <w:shd w:val="clear" w:color="auto" w:fill="E7E6E6" w:themeFill="background2"/>
          </w:tcPr>
          <w:p w14:paraId="604814A3" w14:textId="77777777" w:rsidR="00F56E67" w:rsidRPr="00AE77D4" w:rsidRDefault="00F56E67" w:rsidP="00AE77D4">
            <w:pPr>
              <w:spacing w:line="276" w:lineRule="auto"/>
              <w:rPr>
                <w:rFonts w:ascii="Times New Roman" w:hAnsi="Times New Roman" w:cs="Times New Roman"/>
                <w:sz w:val="16"/>
                <w:szCs w:val="16"/>
                <w:lang w:val="en-GB"/>
              </w:rPr>
            </w:pPr>
          </w:p>
        </w:tc>
      </w:tr>
      <w:tr w:rsidR="00AE77D4" w:rsidRPr="00AE77D4" w14:paraId="2A7F07B1" w14:textId="77777777" w:rsidTr="003452F8">
        <w:trPr>
          <w:trHeight w:val="183"/>
        </w:trPr>
        <w:tc>
          <w:tcPr>
            <w:tcW w:w="1173" w:type="dxa"/>
          </w:tcPr>
          <w:p w14:paraId="3B80D9B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BSIZE</w:t>
            </w:r>
          </w:p>
        </w:tc>
        <w:tc>
          <w:tcPr>
            <w:tcW w:w="973" w:type="dxa"/>
          </w:tcPr>
          <w:p w14:paraId="592DB5B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1.45**</w:t>
            </w:r>
          </w:p>
        </w:tc>
        <w:tc>
          <w:tcPr>
            <w:tcW w:w="811" w:type="dxa"/>
          </w:tcPr>
          <w:p w14:paraId="49A23FEC" w14:textId="77777777" w:rsidR="00F56E67" w:rsidRPr="00AE77D4" w:rsidRDefault="00F56E67" w:rsidP="00AE77D4">
            <w:pPr>
              <w:spacing w:line="276" w:lineRule="auto"/>
              <w:rPr>
                <w:rFonts w:ascii="Times New Roman" w:hAnsi="Times New Roman" w:cs="Times New Roman"/>
                <w:sz w:val="16"/>
                <w:szCs w:val="16"/>
                <w:lang w:val="en-GB"/>
              </w:rPr>
            </w:pPr>
          </w:p>
        </w:tc>
        <w:tc>
          <w:tcPr>
            <w:tcW w:w="962" w:type="dxa"/>
          </w:tcPr>
          <w:p w14:paraId="707B0AE9" w14:textId="77777777" w:rsidR="00F56E67" w:rsidRPr="00AE77D4" w:rsidRDefault="00F56E67" w:rsidP="00AE77D4">
            <w:pPr>
              <w:spacing w:line="276" w:lineRule="auto"/>
              <w:rPr>
                <w:rFonts w:ascii="Times New Roman" w:hAnsi="Times New Roman" w:cs="Times New Roman"/>
                <w:sz w:val="16"/>
                <w:szCs w:val="16"/>
                <w:lang w:val="en-GB"/>
              </w:rPr>
            </w:pPr>
          </w:p>
        </w:tc>
        <w:tc>
          <w:tcPr>
            <w:tcW w:w="914" w:type="dxa"/>
          </w:tcPr>
          <w:p w14:paraId="3B5E861B" w14:textId="77777777" w:rsidR="00F56E67" w:rsidRPr="00AE77D4" w:rsidRDefault="00F56E67" w:rsidP="00AE77D4">
            <w:pPr>
              <w:spacing w:line="276" w:lineRule="auto"/>
              <w:rPr>
                <w:rFonts w:ascii="Times New Roman" w:hAnsi="Times New Roman" w:cs="Times New Roman"/>
                <w:sz w:val="16"/>
                <w:szCs w:val="16"/>
                <w:lang w:val="en-GB"/>
              </w:rPr>
            </w:pPr>
          </w:p>
        </w:tc>
        <w:tc>
          <w:tcPr>
            <w:tcW w:w="1239" w:type="dxa"/>
          </w:tcPr>
          <w:p w14:paraId="344B7E38"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tcPr>
          <w:p w14:paraId="4F35FDF7" w14:textId="77777777" w:rsidR="00F56E67" w:rsidRPr="00AE77D4" w:rsidRDefault="00F56E67" w:rsidP="00AE77D4">
            <w:pPr>
              <w:spacing w:line="276" w:lineRule="auto"/>
              <w:rPr>
                <w:rFonts w:ascii="Times New Roman" w:hAnsi="Times New Roman" w:cs="Times New Roman"/>
                <w:sz w:val="16"/>
                <w:szCs w:val="16"/>
                <w:lang w:val="en-GB"/>
              </w:rPr>
            </w:pPr>
          </w:p>
        </w:tc>
        <w:tc>
          <w:tcPr>
            <w:tcW w:w="997" w:type="dxa"/>
          </w:tcPr>
          <w:p w14:paraId="655CBB7A" w14:textId="77777777" w:rsidR="00F56E67" w:rsidRPr="00AE77D4" w:rsidRDefault="00F56E67" w:rsidP="00AE77D4">
            <w:pPr>
              <w:spacing w:line="276" w:lineRule="auto"/>
              <w:rPr>
                <w:rFonts w:ascii="Times New Roman" w:hAnsi="Times New Roman" w:cs="Times New Roman"/>
                <w:sz w:val="16"/>
                <w:szCs w:val="16"/>
                <w:lang w:val="en-GB"/>
              </w:rPr>
            </w:pPr>
          </w:p>
        </w:tc>
        <w:tc>
          <w:tcPr>
            <w:tcW w:w="1111" w:type="dxa"/>
          </w:tcPr>
          <w:p w14:paraId="319133D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1.76***</w:t>
            </w:r>
          </w:p>
        </w:tc>
      </w:tr>
      <w:tr w:rsidR="00AE77D4" w:rsidRPr="00AE77D4" w14:paraId="15E47B0C" w14:textId="77777777" w:rsidTr="003452F8">
        <w:trPr>
          <w:trHeight w:val="172"/>
        </w:trPr>
        <w:tc>
          <w:tcPr>
            <w:tcW w:w="1173" w:type="dxa"/>
            <w:shd w:val="clear" w:color="auto" w:fill="E7E6E6" w:themeFill="background2"/>
          </w:tcPr>
          <w:p w14:paraId="6656CE7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INDIR</w:t>
            </w:r>
          </w:p>
        </w:tc>
        <w:tc>
          <w:tcPr>
            <w:tcW w:w="973" w:type="dxa"/>
            <w:shd w:val="clear" w:color="auto" w:fill="E7E6E6" w:themeFill="background2"/>
          </w:tcPr>
          <w:p w14:paraId="2B3AA749" w14:textId="77777777" w:rsidR="00F56E67" w:rsidRPr="00AE77D4" w:rsidRDefault="00F56E67" w:rsidP="00AE77D4">
            <w:pPr>
              <w:spacing w:line="276" w:lineRule="auto"/>
              <w:rPr>
                <w:rFonts w:ascii="Times New Roman" w:hAnsi="Times New Roman" w:cs="Times New Roman"/>
                <w:sz w:val="16"/>
                <w:szCs w:val="16"/>
                <w:lang w:val="en-GB"/>
              </w:rPr>
            </w:pPr>
          </w:p>
        </w:tc>
        <w:tc>
          <w:tcPr>
            <w:tcW w:w="811" w:type="dxa"/>
            <w:shd w:val="clear" w:color="auto" w:fill="E7E6E6" w:themeFill="background2"/>
          </w:tcPr>
          <w:p w14:paraId="0430540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0.27</w:t>
            </w:r>
          </w:p>
        </w:tc>
        <w:tc>
          <w:tcPr>
            <w:tcW w:w="962" w:type="dxa"/>
            <w:shd w:val="clear" w:color="auto" w:fill="E7E6E6" w:themeFill="background2"/>
          </w:tcPr>
          <w:p w14:paraId="4D13F5A5" w14:textId="77777777" w:rsidR="00F56E67" w:rsidRPr="00AE77D4" w:rsidRDefault="00F56E67" w:rsidP="00AE77D4">
            <w:pPr>
              <w:spacing w:line="276" w:lineRule="auto"/>
              <w:rPr>
                <w:rFonts w:ascii="Times New Roman" w:hAnsi="Times New Roman" w:cs="Times New Roman"/>
                <w:sz w:val="16"/>
                <w:szCs w:val="16"/>
                <w:lang w:val="en-GB"/>
              </w:rPr>
            </w:pPr>
          </w:p>
        </w:tc>
        <w:tc>
          <w:tcPr>
            <w:tcW w:w="914" w:type="dxa"/>
            <w:shd w:val="clear" w:color="auto" w:fill="E7E6E6" w:themeFill="background2"/>
          </w:tcPr>
          <w:p w14:paraId="11C38CC4" w14:textId="77777777" w:rsidR="00F56E67" w:rsidRPr="00AE77D4" w:rsidRDefault="00F56E67" w:rsidP="00AE77D4">
            <w:pPr>
              <w:spacing w:line="276" w:lineRule="auto"/>
              <w:rPr>
                <w:rFonts w:ascii="Times New Roman" w:hAnsi="Times New Roman" w:cs="Times New Roman"/>
                <w:sz w:val="16"/>
                <w:szCs w:val="16"/>
                <w:lang w:val="en-GB"/>
              </w:rPr>
            </w:pPr>
          </w:p>
        </w:tc>
        <w:tc>
          <w:tcPr>
            <w:tcW w:w="1239" w:type="dxa"/>
            <w:shd w:val="clear" w:color="auto" w:fill="E7E6E6" w:themeFill="background2"/>
          </w:tcPr>
          <w:p w14:paraId="15FBFC2B"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shd w:val="clear" w:color="auto" w:fill="E7E6E6" w:themeFill="background2"/>
          </w:tcPr>
          <w:p w14:paraId="7F05C39A" w14:textId="77777777" w:rsidR="00F56E67" w:rsidRPr="00AE77D4" w:rsidRDefault="00F56E67" w:rsidP="00AE77D4">
            <w:pPr>
              <w:spacing w:line="276" w:lineRule="auto"/>
              <w:rPr>
                <w:rFonts w:ascii="Times New Roman" w:hAnsi="Times New Roman" w:cs="Times New Roman"/>
                <w:sz w:val="16"/>
                <w:szCs w:val="16"/>
                <w:lang w:val="en-GB"/>
              </w:rPr>
            </w:pPr>
          </w:p>
        </w:tc>
        <w:tc>
          <w:tcPr>
            <w:tcW w:w="997" w:type="dxa"/>
            <w:shd w:val="clear" w:color="auto" w:fill="E7E6E6" w:themeFill="background2"/>
          </w:tcPr>
          <w:p w14:paraId="1B2DDDD0" w14:textId="77777777" w:rsidR="00F56E67" w:rsidRPr="00AE77D4" w:rsidRDefault="00F56E67" w:rsidP="00AE77D4">
            <w:pPr>
              <w:spacing w:line="276" w:lineRule="auto"/>
              <w:rPr>
                <w:rFonts w:ascii="Times New Roman" w:hAnsi="Times New Roman" w:cs="Times New Roman"/>
                <w:sz w:val="16"/>
                <w:szCs w:val="16"/>
                <w:lang w:val="en-GB"/>
              </w:rPr>
            </w:pPr>
          </w:p>
        </w:tc>
        <w:tc>
          <w:tcPr>
            <w:tcW w:w="1111" w:type="dxa"/>
            <w:shd w:val="clear" w:color="auto" w:fill="E7E6E6" w:themeFill="background2"/>
          </w:tcPr>
          <w:p w14:paraId="49A3399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0.27</w:t>
            </w:r>
          </w:p>
        </w:tc>
      </w:tr>
      <w:tr w:rsidR="00AE77D4" w:rsidRPr="00AE77D4" w14:paraId="3148F8EE" w14:textId="77777777" w:rsidTr="003452F8">
        <w:trPr>
          <w:trHeight w:val="172"/>
        </w:trPr>
        <w:tc>
          <w:tcPr>
            <w:tcW w:w="1173" w:type="dxa"/>
          </w:tcPr>
          <w:p w14:paraId="7951292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FORDIR</w:t>
            </w:r>
          </w:p>
        </w:tc>
        <w:tc>
          <w:tcPr>
            <w:tcW w:w="973" w:type="dxa"/>
          </w:tcPr>
          <w:p w14:paraId="39A4233E" w14:textId="77777777" w:rsidR="00F56E67" w:rsidRPr="00AE77D4" w:rsidRDefault="00F56E67" w:rsidP="00AE77D4">
            <w:pPr>
              <w:spacing w:line="276" w:lineRule="auto"/>
              <w:rPr>
                <w:rFonts w:ascii="Times New Roman" w:hAnsi="Times New Roman" w:cs="Times New Roman"/>
                <w:sz w:val="16"/>
                <w:szCs w:val="16"/>
                <w:lang w:val="en-GB"/>
              </w:rPr>
            </w:pPr>
          </w:p>
        </w:tc>
        <w:tc>
          <w:tcPr>
            <w:tcW w:w="811" w:type="dxa"/>
          </w:tcPr>
          <w:p w14:paraId="68E8E134" w14:textId="77777777" w:rsidR="00F56E67" w:rsidRPr="00AE77D4" w:rsidRDefault="00F56E67" w:rsidP="00AE77D4">
            <w:pPr>
              <w:spacing w:line="276" w:lineRule="auto"/>
              <w:rPr>
                <w:rFonts w:ascii="Times New Roman" w:hAnsi="Times New Roman" w:cs="Times New Roman"/>
                <w:sz w:val="16"/>
                <w:szCs w:val="16"/>
                <w:lang w:val="en-GB"/>
              </w:rPr>
            </w:pPr>
          </w:p>
        </w:tc>
        <w:tc>
          <w:tcPr>
            <w:tcW w:w="962" w:type="dxa"/>
          </w:tcPr>
          <w:p w14:paraId="4914865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0.45***</w:t>
            </w:r>
          </w:p>
        </w:tc>
        <w:tc>
          <w:tcPr>
            <w:tcW w:w="914" w:type="dxa"/>
          </w:tcPr>
          <w:p w14:paraId="3373B55E" w14:textId="77777777" w:rsidR="00F56E67" w:rsidRPr="00AE77D4" w:rsidRDefault="00F56E67" w:rsidP="00AE77D4">
            <w:pPr>
              <w:spacing w:line="276" w:lineRule="auto"/>
              <w:rPr>
                <w:rFonts w:ascii="Times New Roman" w:hAnsi="Times New Roman" w:cs="Times New Roman"/>
                <w:sz w:val="16"/>
                <w:szCs w:val="16"/>
                <w:lang w:val="en-GB"/>
              </w:rPr>
            </w:pPr>
          </w:p>
        </w:tc>
        <w:tc>
          <w:tcPr>
            <w:tcW w:w="1239" w:type="dxa"/>
          </w:tcPr>
          <w:p w14:paraId="79019C3B"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tcPr>
          <w:p w14:paraId="4DD36F68" w14:textId="77777777" w:rsidR="00F56E67" w:rsidRPr="00AE77D4" w:rsidRDefault="00F56E67" w:rsidP="00AE77D4">
            <w:pPr>
              <w:spacing w:line="276" w:lineRule="auto"/>
              <w:rPr>
                <w:rFonts w:ascii="Times New Roman" w:hAnsi="Times New Roman" w:cs="Times New Roman"/>
                <w:sz w:val="16"/>
                <w:szCs w:val="16"/>
                <w:lang w:val="en-GB"/>
              </w:rPr>
            </w:pPr>
          </w:p>
        </w:tc>
        <w:tc>
          <w:tcPr>
            <w:tcW w:w="997" w:type="dxa"/>
          </w:tcPr>
          <w:p w14:paraId="4365B8E1" w14:textId="77777777" w:rsidR="00F56E67" w:rsidRPr="00AE77D4" w:rsidRDefault="00F56E67" w:rsidP="00AE77D4">
            <w:pPr>
              <w:spacing w:line="276" w:lineRule="auto"/>
              <w:rPr>
                <w:rFonts w:ascii="Times New Roman" w:hAnsi="Times New Roman" w:cs="Times New Roman"/>
                <w:sz w:val="16"/>
                <w:szCs w:val="16"/>
                <w:lang w:val="en-GB"/>
              </w:rPr>
            </w:pPr>
          </w:p>
        </w:tc>
        <w:tc>
          <w:tcPr>
            <w:tcW w:w="1111" w:type="dxa"/>
          </w:tcPr>
          <w:p w14:paraId="3072703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0.39***</w:t>
            </w:r>
          </w:p>
        </w:tc>
      </w:tr>
      <w:tr w:rsidR="00AE77D4" w:rsidRPr="00AE77D4" w14:paraId="047CA72F" w14:textId="77777777" w:rsidTr="003452F8">
        <w:trPr>
          <w:trHeight w:val="61"/>
        </w:trPr>
        <w:tc>
          <w:tcPr>
            <w:tcW w:w="1173" w:type="dxa"/>
            <w:shd w:val="clear" w:color="auto" w:fill="E7E6E6" w:themeFill="background2"/>
          </w:tcPr>
          <w:p w14:paraId="5782865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GENDER</w:t>
            </w:r>
          </w:p>
        </w:tc>
        <w:tc>
          <w:tcPr>
            <w:tcW w:w="973" w:type="dxa"/>
            <w:shd w:val="clear" w:color="auto" w:fill="E7E6E6" w:themeFill="background2"/>
          </w:tcPr>
          <w:p w14:paraId="4568CD89" w14:textId="77777777" w:rsidR="00F56E67" w:rsidRPr="00AE77D4" w:rsidRDefault="00F56E67" w:rsidP="00AE77D4">
            <w:pPr>
              <w:spacing w:line="276" w:lineRule="auto"/>
              <w:rPr>
                <w:rFonts w:ascii="Times New Roman" w:hAnsi="Times New Roman" w:cs="Times New Roman"/>
                <w:sz w:val="16"/>
                <w:szCs w:val="16"/>
                <w:lang w:val="en-GB"/>
              </w:rPr>
            </w:pPr>
          </w:p>
        </w:tc>
        <w:tc>
          <w:tcPr>
            <w:tcW w:w="811" w:type="dxa"/>
            <w:shd w:val="clear" w:color="auto" w:fill="E7E6E6" w:themeFill="background2"/>
          </w:tcPr>
          <w:p w14:paraId="60A1EC5D" w14:textId="77777777" w:rsidR="00F56E67" w:rsidRPr="00AE77D4" w:rsidRDefault="00F56E67" w:rsidP="00AE77D4">
            <w:pPr>
              <w:spacing w:line="276" w:lineRule="auto"/>
              <w:rPr>
                <w:rFonts w:ascii="Times New Roman" w:hAnsi="Times New Roman" w:cs="Times New Roman"/>
                <w:sz w:val="16"/>
                <w:szCs w:val="16"/>
                <w:lang w:val="en-GB"/>
              </w:rPr>
            </w:pPr>
          </w:p>
        </w:tc>
        <w:tc>
          <w:tcPr>
            <w:tcW w:w="962" w:type="dxa"/>
            <w:shd w:val="clear" w:color="auto" w:fill="E7E6E6" w:themeFill="background2"/>
          </w:tcPr>
          <w:p w14:paraId="3EF5A5B2" w14:textId="77777777" w:rsidR="00F56E67" w:rsidRPr="00AE77D4" w:rsidRDefault="00F56E67" w:rsidP="00AE77D4">
            <w:pPr>
              <w:spacing w:line="276" w:lineRule="auto"/>
              <w:rPr>
                <w:rFonts w:ascii="Times New Roman" w:hAnsi="Times New Roman" w:cs="Times New Roman"/>
                <w:sz w:val="16"/>
                <w:szCs w:val="16"/>
                <w:lang w:val="en-GB"/>
              </w:rPr>
            </w:pPr>
          </w:p>
        </w:tc>
        <w:tc>
          <w:tcPr>
            <w:tcW w:w="914" w:type="dxa"/>
            <w:shd w:val="clear" w:color="auto" w:fill="E7E6E6" w:themeFill="background2"/>
          </w:tcPr>
          <w:p w14:paraId="70E2657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-0.45</w:t>
            </w:r>
          </w:p>
        </w:tc>
        <w:tc>
          <w:tcPr>
            <w:tcW w:w="1239" w:type="dxa"/>
            <w:shd w:val="clear" w:color="auto" w:fill="E7E6E6" w:themeFill="background2"/>
          </w:tcPr>
          <w:p w14:paraId="385AA0B4"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shd w:val="clear" w:color="auto" w:fill="E7E6E6" w:themeFill="background2"/>
          </w:tcPr>
          <w:p w14:paraId="07D3EE96" w14:textId="77777777" w:rsidR="00F56E67" w:rsidRPr="00AE77D4" w:rsidRDefault="00F56E67" w:rsidP="00AE77D4">
            <w:pPr>
              <w:spacing w:line="276" w:lineRule="auto"/>
              <w:rPr>
                <w:rFonts w:ascii="Times New Roman" w:hAnsi="Times New Roman" w:cs="Times New Roman"/>
                <w:sz w:val="16"/>
                <w:szCs w:val="16"/>
                <w:lang w:val="en-GB"/>
              </w:rPr>
            </w:pPr>
          </w:p>
        </w:tc>
        <w:tc>
          <w:tcPr>
            <w:tcW w:w="997" w:type="dxa"/>
            <w:shd w:val="clear" w:color="auto" w:fill="E7E6E6" w:themeFill="background2"/>
          </w:tcPr>
          <w:p w14:paraId="6874B81F" w14:textId="77777777" w:rsidR="00F56E67" w:rsidRPr="00AE77D4" w:rsidRDefault="00F56E67" w:rsidP="00AE77D4">
            <w:pPr>
              <w:spacing w:line="276" w:lineRule="auto"/>
              <w:rPr>
                <w:rFonts w:ascii="Times New Roman" w:hAnsi="Times New Roman" w:cs="Times New Roman"/>
                <w:sz w:val="16"/>
                <w:szCs w:val="16"/>
                <w:lang w:val="en-GB"/>
              </w:rPr>
            </w:pPr>
          </w:p>
        </w:tc>
        <w:tc>
          <w:tcPr>
            <w:tcW w:w="1111" w:type="dxa"/>
            <w:shd w:val="clear" w:color="auto" w:fill="E7E6E6" w:themeFill="background2"/>
          </w:tcPr>
          <w:p w14:paraId="60C86FF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-0.01</w:t>
            </w:r>
          </w:p>
        </w:tc>
      </w:tr>
      <w:tr w:rsidR="00AE77D4" w:rsidRPr="00AE77D4" w14:paraId="30E12D71" w14:textId="77777777" w:rsidTr="003452F8">
        <w:trPr>
          <w:trHeight w:val="61"/>
        </w:trPr>
        <w:tc>
          <w:tcPr>
            <w:tcW w:w="1173" w:type="dxa"/>
          </w:tcPr>
          <w:p w14:paraId="3D2675F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BOMEET</w:t>
            </w:r>
          </w:p>
        </w:tc>
        <w:tc>
          <w:tcPr>
            <w:tcW w:w="973" w:type="dxa"/>
          </w:tcPr>
          <w:p w14:paraId="0789426E" w14:textId="77777777" w:rsidR="00F56E67" w:rsidRPr="00AE77D4" w:rsidRDefault="00F56E67" w:rsidP="00AE77D4">
            <w:pPr>
              <w:spacing w:line="276" w:lineRule="auto"/>
              <w:rPr>
                <w:rFonts w:ascii="Times New Roman" w:hAnsi="Times New Roman" w:cs="Times New Roman"/>
                <w:sz w:val="16"/>
                <w:szCs w:val="16"/>
                <w:lang w:val="en-GB"/>
              </w:rPr>
            </w:pPr>
          </w:p>
        </w:tc>
        <w:tc>
          <w:tcPr>
            <w:tcW w:w="811" w:type="dxa"/>
          </w:tcPr>
          <w:p w14:paraId="37C62F6F" w14:textId="77777777" w:rsidR="00F56E67" w:rsidRPr="00AE77D4" w:rsidRDefault="00F56E67" w:rsidP="00AE77D4">
            <w:pPr>
              <w:spacing w:line="276" w:lineRule="auto"/>
              <w:rPr>
                <w:rFonts w:ascii="Times New Roman" w:hAnsi="Times New Roman" w:cs="Times New Roman"/>
                <w:sz w:val="16"/>
                <w:szCs w:val="16"/>
                <w:lang w:val="en-GB"/>
              </w:rPr>
            </w:pPr>
          </w:p>
        </w:tc>
        <w:tc>
          <w:tcPr>
            <w:tcW w:w="962" w:type="dxa"/>
          </w:tcPr>
          <w:p w14:paraId="49167503" w14:textId="77777777" w:rsidR="00F56E67" w:rsidRPr="00AE77D4" w:rsidRDefault="00F56E67" w:rsidP="00AE77D4">
            <w:pPr>
              <w:spacing w:line="276" w:lineRule="auto"/>
              <w:rPr>
                <w:rFonts w:ascii="Times New Roman" w:hAnsi="Times New Roman" w:cs="Times New Roman"/>
                <w:sz w:val="16"/>
                <w:szCs w:val="16"/>
                <w:lang w:val="en-GB"/>
              </w:rPr>
            </w:pPr>
          </w:p>
        </w:tc>
        <w:tc>
          <w:tcPr>
            <w:tcW w:w="914" w:type="dxa"/>
          </w:tcPr>
          <w:p w14:paraId="7D93DD10" w14:textId="77777777" w:rsidR="00F56E67" w:rsidRPr="00AE77D4" w:rsidRDefault="00F56E67" w:rsidP="00AE77D4">
            <w:pPr>
              <w:spacing w:line="276" w:lineRule="auto"/>
              <w:rPr>
                <w:rFonts w:ascii="Times New Roman" w:hAnsi="Times New Roman" w:cs="Times New Roman"/>
                <w:sz w:val="16"/>
                <w:szCs w:val="16"/>
                <w:lang w:val="en-GB"/>
              </w:rPr>
            </w:pPr>
          </w:p>
        </w:tc>
        <w:tc>
          <w:tcPr>
            <w:tcW w:w="1239" w:type="dxa"/>
          </w:tcPr>
          <w:p w14:paraId="2C949B0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-0.1</w:t>
            </w:r>
          </w:p>
        </w:tc>
        <w:tc>
          <w:tcPr>
            <w:tcW w:w="989" w:type="dxa"/>
          </w:tcPr>
          <w:p w14:paraId="5C0B80A7" w14:textId="77777777" w:rsidR="00F56E67" w:rsidRPr="00AE77D4" w:rsidRDefault="00F56E67" w:rsidP="00AE77D4">
            <w:pPr>
              <w:spacing w:line="276" w:lineRule="auto"/>
              <w:rPr>
                <w:rFonts w:ascii="Times New Roman" w:hAnsi="Times New Roman" w:cs="Times New Roman"/>
                <w:sz w:val="16"/>
                <w:szCs w:val="16"/>
                <w:lang w:val="en-GB"/>
              </w:rPr>
            </w:pPr>
          </w:p>
        </w:tc>
        <w:tc>
          <w:tcPr>
            <w:tcW w:w="997" w:type="dxa"/>
          </w:tcPr>
          <w:p w14:paraId="40537A35" w14:textId="77777777" w:rsidR="00F56E67" w:rsidRPr="00AE77D4" w:rsidRDefault="00F56E67" w:rsidP="00AE77D4">
            <w:pPr>
              <w:spacing w:line="276" w:lineRule="auto"/>
              <w:rPr>
                <w:rFonts w:ascii="Times New Roman" w:hAnsi="Times New Roman" w:cs="Times New Roman"/>
                <w:sz w:val="16"/>
                <w:szCs w:val="16"/>
                <w:lang w:val="en-GB"/>
              </w:rPr>
            </w:pPr>
          </w:p>
        </w:tc>
        <w:tc>
          <w:tcPr>
            <w:tcW w:w="1111" w:type="dxa"/>
          </w:tcPr>
          <w:p w14:paraId="5D84208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-0.48*</w:t>
            </w:r>
          </w:p>
        </w:tc>
      </w:tr>
      <w:tr w:rsidR="00AE77D4" w:rsidRPr="00AE77D4" w14:paraId="29A2EAA2" w14:textId="77777777" w:rsidTr="003452F8">
        <w:trPr>
          <w:trHeight w:val="172"/>
        </w:trPr>
        <w:tc>
          <w:tcPr>
            <w:tcW w:w="1173" w:type="dxa"/>
            <w:shd w:val="clear" w:color="auto" w:fill="E7E6E6" w:themeFill="background2"/>
          </w:tcPr>
          <w:p w14:paraId="499923B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DUALITY</w:t>
            </w:r>
          </w:p>
        </w:tc>
        <w:tc>
          <w:tcPr>
            <w:tcW w:w="973" w:type="dxa"/>
            <w:shd w:val="clear" w:color="auto" w:fill="E7E6E6" w:themeFill="background2"/>
          </w:tcPr>
          <w:p w14:paraId="12FAF666" w14:textId="77777777" w:rsidR="00F56E67" w:rsidRPr="00AE77D4" w:rsidRDefault="00F56E67" w:rsidP="00AE77D4">
            <w:pPr>
              <w:spacing w:line="276" w:lineRule="auto"/>
              <w:rPr>
                <w:rFonts w:ascii="Times New Roman" w:hAnsi="Times New Roman" w:cs="Times New Roman"/>
                <w:sz w:val="16"/>
                <w:szCs w:val="16"/>
                <w:lang w:val="en-GB"/>
              </w:rPr>
            </w:pPr>
          </w:p>
        </w:tc>
        <w:tc>
          <w:tcPr>
            <w:tcW w:w="811" w:type="dxa"/>
            <w:shd w:val="clear" w:color="auto" w:fill="E7E6E6" w:themeFill="background2"/>
          </w:tcPr>
          <w:p w14:paraId="40CB6A44" w14:textId="77777777" w:rsidR="00F56E67" w:rsidRPr="00AE77D4" w:rsidRDefault="00F56E67" w:rsidP="00AE77D4">
            <w:pPr>
              <w:spacing w:line="276" w:lineRule="auto"/>
              <w:rPr>
                <w:rFonts w:ascii="Times New Roman" w:hAnsi="Times New Roman" w:cs="Times New Roman"/>
                <w:sz w:val="16"/>
                <w:szCs w:val="16"/>
                <w:lang w:val="en-GB"/>
              </w:rPr>
            </w:pPr>
          </w:p>
        </w:tc>
        <w:tc>
          <w:tcPr>
            <w:tcW w:w="962" w:type="dxa"/>
            <w:shd w:val="clear" w:color="auto" w:fill="E7E6E6" w:themeFill="background2"/>
          </w:tcPr>
          <w:p w14:paraId="56B889EB" w14:textId="77777777" w:rsidR="00F56E67" w:rsidRPr="00AE77D4" w:rsidRDefault="00F56E67" w:rsidP="00AE77D4">
            <w:pPr>
              <w:spacing w:line="276" w:lineRule="auto"/>
              <w:rPr>
                <w:rFonts w:ascii="Times New Roman" w:hAnsi="Times New Roman" w:cs="Times New Roman"/>
                <w:sz w:val="16"/>
                <w:szCs w:val="16"/>
                <w:lang w:val="en-GB"/>
              </w:rPr>
            </w:pPr>
          </w:p>
        </w:tc>
        <w:tc>
          <w:tcPr>
            <w:tcW w:w="914" w:type="dxa"/>
            <w:shd w:val="clear" w:color="auto" w:fill="E7E6E6" w:themeFill="background2"/>
          </w:tcPr>
          <w:p w14:paraId="008FE6B3" w14:textId="77777777" w:rsidR="00F56E67" w:rsidRPr="00AE77D4" w:rsidRDefault="00F56E67" w:rsidP="00AE77D4">
            <w:pPr>
              <w:spacing w:line="276" w:lineRule="auto"/>
              <w:rPr>
                <w:rFonts w:ascii="Times New Roman" w:hAnsi="Times New Roman" w:cs="Times New Roman"/>
                <w:sz w:val="16"/>
                <w:szCs w:val="16"/>
                <w:lang w:val="en-GB"/>
              </w:rPr>
            </w:pPr>
          </w:p>
        </w:tc>
        <w:tc>
          <w:tcPr>
            <w:tcW w:w="1239" w:type="dxa"/>
            <w:shd w:val="clear" w:color="auto" w:fill="E7E6E6" w:themeFill="background2"/>
          </w:tcPr>
          <w:p w14:paraId="2B920AD7"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shd w:val="clear" w:color="auto" w:fill="E7E6E6" w:themeFill="background2"/>
          </w:tcPr>
          <w:p w14:paraId="1CB69B3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-0.28**</w:t>
            </w:r>
          </w:p>
        </w:tc>
        <w:tc>
          <w:tcPr>
            <w:tcW w:w="997" w:type="dxa"/>
            <w:shd w:val="clear" w:color="auto" w:fill="E7E6E6" w:themeFill="background2"/>
          </w:tcPr>
          <w:p w14:paraId="246D92C4" w14:textId="77777777" w:rsidR="00F56E67" w:rsidRPr="00AE77D4" w:rsidRDefault="00F56E67" w:rsidP="00AE77D4">
            <w:pPr>
              <w:spacing w:line="276" w:lineRule="auto"/>
              <w:rPr>
                <w:rFonts w:ascii="Times New Roman" w:hAnsi="Times New Roman" w:cs="Times New Roman"/>
                <w:sz w:val="16"/>
                <w:szCs w:val="16"/>
                <w:lang w:val="en-GB"/>
              </w:rPr>
            </w:pPr>
          </w:p>
        </w:tc>
        <w:tc>
          <w:tcPr>
            <w:tcW w:w="1111" w:type="dxa"/>
            <w:shd w:val="clear" w:color="auto" w:fill="E7E6E6" w:themeFill="background2"/>
          </w:tcPr>
          <w:p w14:paraId="1AA43C1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-23*</w:t>
            </w:r>
          </w:p>
        </w:tc>
      </w:tr>
      <w:tr w:rsidR="00AE77D4" w:rsidRPr="00AE77D4" w14:paraId="53413103" w14:textId="77777777" w:rsidTr="003452F8">
        <w:trPr>
          <w:trHeight w:val="172"/>
        </w:trPr>
        <w:tc>
          <w:tcPr>
            <w:tcW w:w="1173" w:type="dxa"/>
          </w:tcPr>
          <w:p w14:paraId="6A100C9F"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ADCOM</w:t>
            </w:r>
          </w:p>
        </w:tc>
        <w:tc>
          <w:tcPr>
            <w:tcW w:w="973" w:type="dxa"/>
          </w:tcPr>
          <w:p w14:paraId="04C12810" w14:textId="77777777" w:rsidR="00F56E67" w:rsidRPr="00AE77D4" w:rsidRDefault="00F56E67" w:rsidP="00AE77D4">
            <w:pPr>
              <w:spacing w:line="276" w:lineRule="auto"/>
              <w:rPr>
                <w:rFonts w:ascii="Times New Roman" w:hAnsi="Times New Roman" w:cs="Times New Roman"/>
                <w:sz w:val="16"/>
                <w:szCs w:val="16"/>
                <w:lang w:val="en-GB"/>
              </w:rPr>
            </w:pPr>
          </w:p>
        </w:tc>
        <w:tc>
          <w:tcPr>
            <w:tcW w:w="811" w:type="dxa"/>
          </w:tcPr>
          <w:p w14:paraId="012AA616" w14:textId="77777777" w:rsidR="00F56E67" w:rsidRPr="00AE77D4" w:rsidRDefault="00F56E67" w:rsidP="00AE77D4">
            <w:pPr>
              <w:spacing w:line="276" w:lineRule="auto"/>
              <w:rPr>
                <w:rFonts w:ascii="Times New Roman" w:hAnsi="Times New Roman" w:cs="Times New Roman"/>
                <w:sz w:val="16"/>
                <w:szCs w:val="16"/>
                <w:lang w:val="en-GB"/>
              </w:rPr>
            </w:pPr>
          </w:p>
        </w:tc>
        <w:tc>
          <w:tcPr>
            <w:tcW w:w="962" w:type="dxa"/>
          </w:tcPr>
          <w:p w14:paraId="5C325D47" w14:textId="77777777" w:rsidR="00F56E67" w:rsidRPr="00AE77D4" w:rsidRDefault="00F56E67" w:rsidP="00AE77D4">
            <w:pPr>
              <w:spacing w:line="276" w:lineRule="auto"/>
              <w:rPr>
                <w:rFonts w:ascii="Times New Roman" w:hAnsi="Times New Roman" w:cs="Times New Roman"/>
                <w:sz w:val="16"/>
                <w:szCs w:val="16"/>
                <w:lang w:val="en-GB"/>
              </w:rPr>
            </w:pPr>
          </w:p>
        </w:tc>
        <w:tc>
          <w:tcPr>
            <w:tcW w:w="914" w:type="dxa"/>
          </w:tcPr>
          <w:p w14:paraId="13314AFB" w14:textId="77777777" w:rsidR="00F56E67" w:rsidRPr="00AE77D4" w:rsidRDefault="00F56E67" w:rsidP="00AE77D4">
            <w:pPr>
              <w:spacing w:line="276" w:lineRule="auto"/>
              <w:rPr>
                <w:rFonts w:ascii="Times New Roman" w:hAnsi="Times New Roman" w:cs="Times New Roman"/>
                <w:sz w:val="16"/>
                <w:szCs w:val="16"/>
                <w:lang w:val="en-GB"/>
              </w:rPr>
            </w:pPr>
          </w:p>
        </w:tc>
        <w:tc>
          <w:tcPr>
            <w:tcW w:w="1239" w:type="dxa"/>
          </w:tcPr>
          <w:p w14:paraId="65164A7C"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tcPr>
          <w:p w14:paraId="233465F1" w14:textId="77777777" w:rsidR="00F56E67" w:rsidRPr="00AE77D4" w:rsidRDefault="00F56E67" w:rsidP="00AE77D4">
            <w:pPr>
              <w:spacing w:line="276" w:lineRule="auto"/>
              <w:rPr>
                <w:rFonts w:ascii="Times New Roman" w:hAnsi="Times New Roman" w:cs="Times New Roman"/>
                <w:sz w:val="16"/>
                <w:szCs w:val="16"/>
                <w:lang w:val="en-GB"/>
              </w:rPr>
            </w:pPr>
          </w:p>
        </w:tc>
        <w:tc>
          <w:tcPr>
            <w:tcW w:w="997" w:type="dxa"/>
          </w:tcPr>
          <w:p w14:paraId="2C37A1C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5.7***</w:t>
            </w:r>
          </w:p>
        </w:tc>
        <w:tc>
          <w:tcPr>
            <w:tcW w:w="1111" w:type="dxa"/>
          </w:tcPr>
          <w:p w14:paraId="6D46E16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2.92*</w:t>
            </w:r>
          </w:p>
        </w:tc>
      </w:tr>
      <w:tr w:rsidR="00AE77D4" w:rsidRPr="00AE77D4" w14:paraId="6CA08A96" w14:textId="77777777" w:rsidTr="003452F8">
        <w:trPr>
          <w:trHeight w:val="134"/>
        </w:trPr>
        <w:tc>
          <w:tcPr>
            <w:tcW w:w="2147" w:type="dxa"/>
            <w:gridSpan w:val="2"/>
            <w:shd w:val="clear" w:color="auto" w:fill="E7E6E6" w:themeFill="background2"/>
          </w:tcPr>
          <w:p w14:paraId="070213C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Control variables:</w:t>
            </w:r>
          </w:p>
        </w:tc>
        <w:tc>
          <w:tcPr>
            <w:tcW w:w="811" w:type="dxa"/>
            <w:shd w:val="clear" w:color="auto" w:fill="E7E6E6" w:themeFill="background2"/>
          </w:tcPr>
          <w:p w14:paraId="75BDDBBC" w14:textId="77777777" w:rsidR="00F56E67" w:rsidRPr="00AE77D4" w:rsidRDefault="00F56E67" w:rsidP="00AE77D4">
            <w:pPr>
              <w:spacing w:line="276" w:lineRule="auto"/>
              <w:rPr>
                <w:rFonts w:ascii="Times New Roman" w:hAnsi="Times New Roman" w:cs="Times New Roman"/>
                <w:sz w:val="16"/>
                <w:szCs w:val="16"/>
                <w:lang w:val="en-GB"/>
              </w:rPr>
            </w:pPr>
          </w:p>
        </w:tc>
        <w:tc>
          <w:tcPr>
            <w:tcW w:w="962" w:type="dxa"/>
            <w:shd w:val="clear" w:color="auto" w:fill="E7E6E6" w:themeFill="background2"/>
          </w:tcPr>
          <w:p w14:paraId="0FA3B3B6" w14:textId="77777777" w:rsidR="00F56E67" w:rsidRPr="00AE77D4" w:rsidRDefault="00F56E67" w:rsidP="00AE77D4">
            <w:pPr>
              <w:spacing w:line="276" w:lineRule="auto"/>
              <w:rPr>
                <w:rFonts w:ascii="Times New Roman" w:hAnsi="Times New Roman" w:cs="Times New Roman"/>
                <w:sz w:val="16"/>
                <w:szCs w:val="16"/>
                <w:lang w:val="en-GB"/>
              </w:rPr>
            </w:pPr>
          </w:p>
        </w:tc>
        <w:tc>
          <w:tcPr>
            <w:tcW w:w="914" w:type="dxa"/>
            <w:shd w:val="clear" w:color="auto" w:fill="E7E6E6" w:themeFill="background2"/>
          </w:tcPr>
          <w:p w14:paraId="1631FCB3" w14:textId="77777777" w:rsidR="00F56E67" w:rsidRPr="00AE77D4" w:rsidRDefault="00F56E67" w:rsidP="00AE77D4">
            <w:pPr>
              <w:spacing w:line="276" w:lineRule="auto"/>
              <w:rPr>
                <w:rFonts w:ascii="Times New Roman" w:hAnsi="Times New Roman" w:cs="Times New Roman"/>
                <w:sz w:val="16"/>
                <w:szCs w:val="16"/>
                <w:lang w:val="en-GB"/>
              </w:rPr>
            </w:pPr>
          </w:p>
        </w:tc>
        <w:tc>
          <w:tcPr>
            <w:tcW w:w="1239" w:type="dxa"/>
            <w:shd w:val="clear" w:color="auto" w:fill="E7E6E6" w:themeFill="background2"/>
          </w:tcPr>
          <w:p w14:paraId="16B81F9E" w14:textId="77777777" w:rsidR="00F56E67" w:rsidRPr="00AE77D4" w:rsidRDefault="00F56E67" w:rsidP="00AE77D4">
            <w:pPr>
              <w:spacing w:line="276" w:lineRule="auto"/>
              <w:rPr>
                <w:rFonts w:ascii="Times New Roman" w:hAnsi="Times New Roman" w:cs="Times New Roman"/>
                <w:sz w:val="16"/>
                <w:szCs w:val="16"/>
                <w:lang w:val="en-GB"/>
              </w:rPr>
            </w:pPr>
          </w:p>
        </w:tc>
        <w:tc>
          <w:tcPr>
            <w:tcW w:w="989" w:type="dxa"/>
            <w:shd w:val="clear" w:color="auto" w:fill="E7E6E6" w:themeFill="background2"/>
          </w:tcPr>
          <w:p w14:paraId="30A1B9E8" w14:textId="77777777" w:rsidR="00F56E67" w:rsidRPr="00AE77D4" w:rsidRDefault="00F56E67" w:rsidP="00AE77D4">
            <w:pPr>
              <w:spacing w:line="276" w:lineRule="auto"/>
              <w:rPr>
                <w:rFonts w:ascii="Times New Roman" w:hAnsi="Times New Roman" w:cs="Times New Roman"/>
                <w:sz w:val="16"/>
                <w:szCs w:val="16"/>
                <w:lang w:val="en-GB"/>
              </w:rPr>
            </w:pPr>
          </w:p>
        </w:tc>
        <w:tc>
          <w:tcPr>
            <w:tcW w:w="997" w:type="dxa"/>
            <w:shd w:val="clear" w:color="auto" w:fill="E7E6E6" w:themeFill="background2"/>
          </w:tcPr>
          <w:p w14:paraId="4765B406" w14:textId="77777777" w:rsidR="00F56E67" w:rsidRPr="00AE77D4" w:rsidRDefault="00F56E67" w:rsidP="00AE77D4">
            <w:pPr>
              <w:spacing w:line="276" w:lineRule="auto"/>
              <w:rPr>
                <w:rFonts w:ascii="Times New Roman" w:hAnsi="Times New Roman" w:cs="Times New Roman"/>
                <w:sz w:val="16"/>
                <w:szCs w:val="16"/>
                <w:lang w:val="en-GB"/>
              </w:rPr>
            </w:pPr>
          </w:p>
        </w:tc>
        <w:tc>
          <w:tcPr>
            <w:tcW w:w="1111" w:type="dxa"/>
            <w:shd w:val="clear" w:color="auto" w:fill="E7E6E6" w:themeFill="background2"/>
          </w:tcPr>
          <w:p w14:paraId="23B8339B" w14:textId="77777777" w:rsidR="00F56E67" w:rsidRPr="00AE77D4" w:rsidRDefault="00F56E67" w:rsidP="00AE77D4">
            <w:pPr>
              <w:spacing w:line="276" w:lineRule="auto"/>
              <w:rPr>
                <w:rFonts w:ascii="Times New Roman" w:hAnsi="Times New Roman" w:cs="Times New Roman"/>
                <w:sz w:val="16"/>
                <w:szCs w:val="16"/>
                <w:lang w:val="en-GB"/>
              </w:rPr>
            </w:pPr>
          </w:p>
        </w:tc>
      </w:tr>
      <w:tr w:rsidR="00AE77D4" w:rsidRPr="00AE77D4" w14:paraId="58F6A8D3" w14:textId="77777777" w:rsidTr="003452F8">
        <w:trPr>
          <w:trHeight w:val="172"/>
        </w:trPr>
        <w:tc>
          <w:tcPr>
            <w:tcW w:w="1173" w:type="dxa"/>
          </w:tcPr>
          <w:p w14:paraId="65F18F0E"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SIZE</w:t>
            </w:r>
          </w:p>
        </w:tc>
        <w:tc>
          <w:tcPr>
            <w:tcW w:w="973" w:type="dxa"/>
          </w:tcPr>
          <w:p w14:paraId="7F0A01F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11" w:type="dxa"/>
          </w:tcPr>
          <w:p w14:paraId="3DF9966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62" w:type="dxa"/>
          </w:tcPr>
          <w:p w14:paraId="2B0BC01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14" w:type="dxa"/>
          </w:tcPr>
          <w:p w14:paraId="7CD40D0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39" w:type="dxa"/>
          </w:tcPr>
          <w:p w14:paraId="6E06043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9" w:type="dxa"/>
          </w:tcPr>
          <w:p w14:paraId="77DB9C7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97" w:type="dxa"/>
          </w:tcPr>
          <w:p w14:paraId="3F0FA61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11" w:type="dxa"/>
          </w:tcPr>
          <w:p w14:paraId="566417E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0.01*</w:t>
            </w:r>
          </w:p>
        </w:tc>
      </w:tr>
      <w:tr w:rsidR="00AE77D4" w:rsidRPr="00AE77D4" w14:paraId="7DC13506" w14:textId="77777777" w:rsidTr="003452F8">
        <w:trPr>
          <w:trHeight w:val="183"/>
        </w:trPr>
        <w:tc>
          <w:tcPr>
            <w:tcW w:w="1173" w:type="dxa"/>
            <w:shd w:val="clear" w:color="auto" w:fill="E7E6E6" w:themeFill="background2"/>
          </w:tcPr>
          <w:p w14:paraId="09B79CAB"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ROA</w:t>
            </w:r>
          </w:p>
        </w:tc>
        <w:tc>
          <w:tcPr>
            <w:tcW w:w="973" w:type="dxa"/>
            <w:shd w:val="clear" w:color="auto" w:fill="E7E6E6" w:themeFill="background2"/>
          </w:tcPr>
          <w:p w14:paraId="640202D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11" w:type="dxa"/>
            <w:shd w:val="clear" w:color="auto" w:fill="E7E6E6" w:themeFill="background2"/>
          </w:tcPr>
          <w:p w14:paraId="3C32FCB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62" w:type="dxa"/>
            <w:shd w:val="clear" w:color="auto" w:fill="E7E6E6" w:themeFill="background2"/>
          </w:tcPr>
          <w:p w14:paraId="0B14FA4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14" w:type="dxa"/>
            <w:shd w:val="clear" w:color="auto" w:fill="E7E6E6" w:themeFill="background2"/>
          </w:tcPr>
          <w:p w14:paraId="3ED33A4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39" w:type="dxa"/>
            <w:shd w:val="clear" w:color="auto" w:fill="E7E6E6" w:themeFill="background2"/>
          </w:tcPr>
          <w:p w14:paraId="4870B67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9" w:type="dxa"/>
            <w:shd w:val="clear" w:color="auto" w:fill="E7E6E6" w:themeFill="background2"/>
          </w:tcPr>
          <w:p w14:paraId="27152EA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97" w:type="dxa"/>
            <w:shd w:val="clear" w:color="auto" w:fill="E7E6E6" w:themeFill="background2"/>
          </w:tcPr>
          <w:p w14:paraId="72AA94D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11" w:type="dxa"/>
            <w:shd w:val="clear" w:color="auto" w:fill="E7E6E6" w:themeFill="background2"/>
          </w:tcPr>
          <w:p w14:paraId="151C67A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17**</w:t>
            </w:r>
          </w:p>
        </w:tc>
      </w:tr>
      <w:tr w:rsidR="00AE77D4" w:rsidRPr="00AE77D4" w14:paraId="04C2A844" w14:textId="77777777" w:rsidTr="003452F8">
        <w:trPr>
          <w:trHeight w:val="172"/>
        </w:trPr>
        <w:tc>
          <w:tcPr>
            <w:tcW w:w="1173" w:type="dxa"/>
          </w:tcPr>
          <w:p w14:paraId="781C32B1"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LEV</w:t>
            </w:r>
          </w:p>
        </w:tc>
        <w:tc>
          <w:tcPr>
            <w:tcW w:w="973" w:type="dxa"/>
          </w:tcPr>
          <w:p w14:paraId="6CD1B8B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11" w:type="dxa"/>
          </w:tcPr>
          <w:p w14:paraId="44A9486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62" w:type="dxa"/>
          </w:tcPr>
          <w:p w14:paraId="2D4ABF1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14" w:type="dxa"/>
          </w:tcPr>
          <w:p w14:paraId="2791363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39" w:type="dxa"/>
          </w:tcPr>
          <w:p w14:paraId="08D893B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9" w:type="dxa"/>
          </w:tcPr>
          <w:p w14:paraId="77A6FFB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97" w:type="dxa"/>
          </w:tcPr>
          <w:p w14:paraId="5CACC01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11" w:type="dxa"/>
          </w:tcPr>
          <w:p w14:paraId="6A52C7A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-3.16</w:t>
            </w:r>
          </w:p>
        </w:tc>
      </w:tr>
      <w:tr w:rsidR="00AE77D4" w:rsidRPr="00AE77D4" w14:paraId="57B96C62" w14:textId="77777777" w:rsidTr="003452F8">
        <w:trPr>
          <w:trHeight w:val="346"/>
        </w:trPr>
        <w:tc>
          <w:tcPr>
            <w:tcW w:w="1173" w:type="dxa"/>
            <w:shd w:val="clear" w:color="auto" w:fill="E7E6E6" w:themeFill="background2"/>
          </w:tcPr>
          <w:p w14:paraId="3ABDF49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Year fixed effect</w:t>
            </w:r>
          </w:p>
        </w:tc>
        <w:tc>
          <w:tcPr>
            <w:tcW w:w="973" w:type="dxa"/>
            <w:shd w:val="clear" w:color="auto" w:fill="E7E6E6" w:themeFill="background2"/>
          </w:tcPr>
          <w:p w14:paraId="245C63E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11" w:type="dxa"/>
            <w:shd w:val="clear" w:color="auto" w:fill="E7E6E6" w:themeFill="background2"/>
          </w:tcPr>
          <w:p w14:paraId="077146C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62" w:type="dxa"/>
            <w:shd w:val="clear" w:color="auto" w:fill="E7E6E6" w:themeFill="background2"/>
          </w:tcPr>
          <w:p w14:paraId="1FB3DF3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14" w:type="dxa"/>
            <w:shd w:val="clear" w:color="auto" w:fill="E7E6E6" w:themeFill="background2"/>
          </w:tcPr>
          <w:p w14:paraId="5286DB9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39" w:type="dxa"/>
            <w:shd w:val="clear" w:color="auto" w:fill="E7E6E6" w:themeFill="background2"/>
          </w:tcPr>
          <w:p w14:paraId="1AA2A91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9" w:type="dxa"/>
            <w:shd w:val="clear" w:color="auto" w:fill="E7E6E6" w:themeFill="background2"/>
          </w:tcPr>
          <w:p w14:paraId="6D3E8A0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97" w:type="dxa"/>
            <w:shd w:val="clear" w:color="auto" w:fill="E7E6E6" w:themeFill="background2"/>
          </w:tcPr>
          <w:p w14:paraId="1342669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11" w:type="dxa"/>
            <w:shd w:val="clear" w:color="auto" w:fill="E7E6E6" w:themeFill="background2"/>
          </w:tcPr>
          <w:p w14:paraId="7565A6B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r>
      <w:tr w:rsidR="00AE77D4" w:rsidRPr="00AE77D4" w14:paraId="16F37D91" w14:textId="77777777" w:rsidTr="003452F8">
        <w:trPr>
          <w:trHeight w:val="346"/>
        </w:trPr>
        <w:tc>
          <w:tcPr>
            <w:tcW w:w="1173" w:type="dxa"/>
            <w:shd w:val="clear" w:color="auto" w:fill="FFFFFF" w:themeFill="background1"/>
          </w:tcPr>
          <w:p w14:paraId="7F7FC46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Industry effect</w:t>
            </w:r>
          </w:p>
        </w:tc>
        <w:tc>
          <w:tcPr>
            <w:tcW w:w="973" w:type="dxa"/>
            <w:shd w:val="clear" w:color="auto" w:fill="FFFFFF" w:themeFill="background1"/>
          </w:tcPr>
          <w:p w14:paraId="639E138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11" w:type="dxa"/>
            <w:shd w:val="clear" w:color="auto" w:fill="FFFFFF" w:themeFill="background1"/>
          </w:tcPr>
          <w:p w14:paraId="4260352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62" w:type="dxa"/>
            <w:shd w:val="clear" w:color="auto" w:fill="FFFFFF" w:themeFill="background1"/>
          </w:tcPr>
          <w:p w14:paraId="7FE2FBF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14" w:type="dxa"/>
            <w:shd w:val="clear" w:color="auto" w:fill="FFFFFF" w:themeFill="background1"/>
          </w:tcPr>
          <w:p w14:paraId="41E92FC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39" w:type="dxa"/>
            <w:shd w:val="clear" w:color="auto" w:fill="FFFFFF" w:themeFill="background1"/>
          </w:tcPr>
          <w:p w14:paraId="29DB120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89" w:type="dxa"/>
            <w:shd w:val="clear" w:color="auto" w:fill="FFFFFF" w:themeFill="background1"/>
          </w:tcPr>
          <w:p w14:paraId="544E7DF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97" w:type="dxa"/>
            <w:shd w:val="clear" w:color="auto" w:fill="FFFFFF" w:themeFill="background1"/>
          </w:tcPr>
          <w:p w14:paraId="624433A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11" w:type="dxa"/>
            <w:shd w:val="clear" w:color="auto" w:fill="FFFFFF" w:themeFill="background1"/>
          </w:tcPr>
          <w:p w14:paraId="6D7E078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r>
      <w:tr w:rsidR="00AE77D4" w:rsidRPr="00AE77D4" w14:paraId="0581F433" w14:textId="77777777" w:rsidTr="003452F8">
        <w:trPr>
          <w:trHeight w:val="77"/>
        </w:trPr>
        <w:tc>
          <w:tcPr>
            <w:tcW w:w="1173" w:type="dxa"/>
            <w:shd w:val="clear" w:color="auto" w:fill="E7E6E6" w:themeFill="background2"/>
          </w:tcPr>
          <w:p w14:paraId="1624EE15"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rPr>
              <w:t>No of firm year obs.</w:t>
            </w:r>
          </w:p>
        </w:tc>
        <w:tc>
          <w:tcPr>
            <w:tcW w:w="973" w:type="dxa"/>
            <w:shd w:val="clear" w:color="auto" w:fill="E7E6E6" w:themeFill="background2"/>
          </w:tcPr>
          <w:p w14:paraId="21CE5D4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800</w:t>
            </w:r>
          </w:p>
        </w:tc>
        <w:tc>
          <w:tcPr>
            <w:tcW w:w="811" w:type="dxa"/>
            <w:shd w:val="clear" w:color="auto" w:fill="E7E6E6" w:themeFill="background2"/>
          </w:tcPr>
          <w:p w14:paraId="04DCD80B"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62" w:type="dxa"/>
            <w:shd w:val="clear" w:color="auto" w:fill="E7E6E6" w:themeFill="background2"/>
          </w:tcPr>
          <w:p w14:paraId="2758C569"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14" w:type="dxa"/>
            <w:shd w:val="clear" w:color="auto" w:fill="E7E6E6" w:themeFill="background2"/>
          </w:tcPr>
          <w:p w14:paraId="139A1574"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1239" w:type="dxa"/>
            <w:shd w:val="clear" w:color="auto" w:fill="E7E6E6" w:themeFill="background2"/>
          </w:tcPr>
          <w:p w14:paraId="1935C17C"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89" w:type="dxa"/>
            <w:shd w:val="clear" w:color="auto" w:fill="E7E6E6" w:themeFill="background2"/>
          </w:tcPr>
          <w:p w14:paraId="3E4C6A52"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97" w:type="dxa"/>
            <w:shd w:val="clear" w:color="auto" w:fill="E7E6E6" w:themeFill="background2"/>
          </w:tcPr>
          <w:p w14:paraId="14978F14"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1111" w:type="dxa"/>
            <w:shd w:val="clear" w:color="auto" w:fill="E7E6E6" w:themeFill="background2"/>
          </w:tcPr>
          <w:p w14:paraId="1558AA17"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r>
      <w:tr w:rsidR="00AE77D4" w:rsidRPr="00AE77D4" w14:paraId="1B8AEE37" w14:textId="77777777" w:rsidTr="003452F8">
        <w:trPr>
          <w:trHeight w:val="183"/>
        </w:trPr>
        <w:tc>
          <w:tcPr>
            <w:tcW w:w="1173" w:type="dxa"/>
          </w:tcPr>
          <w:p w14:paraId="6581F2B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 xml:space="preserve">R2 </w:t>
            </w:r>
          </w:p>
        </w:tc>
        <w:tc>
          <w:tcPr>
            <w:tcW w:w="973" w:type="dxa"/>
          </w:tcPr>
          <w:p w14:paraId="4549141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0.07</w:t>
            </w:r>
          </w:p>
        </w:tc>
        <w:tc>
          <w:tcPr>
            <w:tcW w:w="811" w:type="dxa"/>
          </w:tcPr>
          <w:p w14:paraId="1F93DC3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0.06</w:t>
            </w:r>
          </w:p>
        </w:tc>
        <w:tc>
          <w:tcPr>
            <w:tcW w:w="962" w:type="dxa"/>
          </w:tcPr>
          <w:p w14:paraId="0674167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0.13</w:t>
            </w:r>
          </w:p>
        </w:tc>
        <w:tc>
          <w:tcPr>
            <w:tcW w:w="914" w:type="dxa"/>
          </w:tcPr>
          <w:p w14:paraId="2E8F20C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0.05</w:t>
            </w:r>
          </w:p>
        </w:tc>
        <w:tc>
          <w:tcPr>
            <w:tcW w:w="1239" w:type="dxa"/>
          </w:tcPr>
          <w:p w14:paraId="43E8958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0.06</w:t>
            </w:r>
          </w:p>
        </w:tc>
        <w:tc>
          <w:tcPr>
            <w:tcW w:w="989" w:type="dxa"/>
          </w:tcPr>
          <w:p w14:paraId="4CBD613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0.06</w:t>
            </w:r>
          </w:p>
        </w:tc>
        <w:tc>
          <w:tcPr>
            <w:tcW w:w="997" w:type="dxa"/>
          </w:tcPr>
          <w:p w14:paraId="1846660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0.08</w:t>
            </w:r>
          </w:p>
        </w:tc>
        <w:tc>
          <w:tcPr>
            <w:tcW w:w="1111" w:type="dxa"/>
          </w:tcPr>
          <w:p w14:paraId="5FC4CA1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0.02</w:t>
            </w:r>
          </w:p>
        </w:tc>
      </w:tr>
      <w:tr w:rsidR="00AB775B" w:rsidRPr="00AE77D4" w14:paraId="5497DF27" w14:textId="77777777" w:rsidTr="003452F8">
        <w:trPr>
          <w:trHeight w:val="183"/>
        </w:trPr>
        <w:tc>
          <w:tcPr>
            <w:tcW w:w="9169" w:type="dxa"/>
            <w:gridSpan w:val="9"/>
          </w:tcPr>
          <w:p w14:paraId="3BE17D7C" w14:textId="4996BD78"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Notes: (1) *, **, *** significance at 10%, 5%, and 1% levels of confidence, respectively. (2) See Table 2 for variable definitions.</w:t>
            </w:r>
          </w:p>
        </w:tc>
      </w:tr>
    </w:tbl>
    <w:p w14:paraId="5C611B64" w14:textId="77777777" w:rsidR="00F56E67" w:rsidRPr="00AE77D4" w:rsidRDefault="00F56E67" w:rsidP="00AE77D4">
      <w:pPr>
        <w:autoSpaceDE w:val="0"/>
        <w:autoSpaceDN w:val="0"/>
        <w:adjustRightInd w:val="0"/>
        <w:spacing w:line="276" w:lineRule="auto"/>
        <w:jc w:val="both"/>
        <w:rPr>
          <w:rFonts w:ascii="Times New Roman" w:hAnsi="Times New Roman" w:cs="Times New Roman"/>
          <w:sz w:val="24"/>
          <w:szCs w:val="24"/>
          <w:lang w:val="en-GB"/>
        </w:rPr>
      </w:pPr>
    </w:p>
    <w:tbl>
      <w:tblPr>
        <w:tblStyle w:val="TableGrid1"/>
        <w:tblW w:w="9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8"/>
        <w:gridCol w:w="977"/>
        <w:gridCol w:w="814"/>
        <w:gridCol w:w="966"/>
        <w:gridCol w:w="918"/>
        <w:gridCol w:w="1244"/>
        <w:gridCol w:w="993"/>
        <w:gridCol w:w="1001"/>
        <w:gridCol w:w="1115"/>
      </w:tblGrid>
      <w:tr w:rsidR="00AE77D4" w:rsidRPr="00AE77D4" w14:paraId="2094F97D" w14:textId="77777777" w:rsidTr="003452F8">
        <w:trPr>
          <w:trHeight w:val="418"/>
        </w:trPr>
        <w:tc>
          <w:tcPr>
            <w:tcW w:w="9206" w:type="dxa"/>
            <w:gridSpan w:val="9"/>
            <w:tcBorders>
              <w:top w:val="single" w:sz="4" w:space="0" w:color="auto"/>
              <w:bottom w:val="single" w:sz="4" w:space="0" w:color="auto"/>
            </w:tcBorders>
            <w:shd w:val="clear" w:color="auto" w:fill="FFFFFF" w:themeFill="background1"/>
          </w:tcPr>
          <w:p w14:paraId="67A42E66" w14:textId="77777777" w:rsidR="00F56E67" w:rsidRPr="00AE77D4" w:rsidRDefault="00661A05" w:rsidP="00AE77D4">
            <w:pPr>
              <w:spacing w:line="276" w:lineRule="auto"/>
              <w:rPr>
                <w:rFonts w:ascii="Times New Roman" w:hAnsi="Times New Roman" w:cs="Times New Roman"/>
                <w:noProof/>
                <w:sz w:val="16"/>
                <w:szCs w:val="16"/>
                <w:lang w:val="en-GB"/>
              </w:rPr>
            </w:pPr>
            <w:r w:rsidRPr="00AE77D4">
              <w:rPr>
                <w:rFonts w:ascii="Times New Roman" w:hAnsi="Times New Roman" w:cs="Times New Roman"/>
                <w:b/>
                <w:sz w:val="24"/>
                <w:szCs w:val="24"/>
                <w:lang w:val="en-GB"/>
              </w:rPr>
              <w:t>Table 7.</w:t>
            </w:r>
            <w:r w:rsidRPr="00AE77D4">
              <w:rPr>
                <w:rFonts w:ascii="Times New Roman" w:hAnsi="Times New Roman" w:cs="Times New Roman"/>
                <w:sz w:val="24"/>
                <w:szCs w:val="24"/>
                <w:lang w:val="en-GB"/>
              </w:rPr>
              <w:t xml:space="preserve">  The influence of board characteristics on climate change disclosure practices during the entire period of 2014-2021</w:t>
            </w:r>
          </w:p>
        </w:tc>
      </w:tr>
      <w:tr w:rsidR="00AE77D4" w:rsidRPr="00AE77D4" w14:paraId="192AEDCB" w14:textId="77777777" w:rsidTr="003452F8">
        <w:trPr>
          <w:trHeight w:val="418"/>
        </w:trPr>
        <w:tc>
          <w:tcPr>
            <w:tcW w:w="1178" w:type="dxa"/>
            <w:tcBorders>
              <w:top w:val="single" w:sz="4" w:space="0" w:color="auto"/>
              <w:bottom w:val="single" w:sz="4" w:space="0" w:color="auto"/>
            </w:tcBorders>
            <w:shd w:val="clear" w:color="auto" w:fill="E7E6E6" w:themeFill="background2"/>
          </w:tcPr>
          <w:p w14:paraId="0E34029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Dep. variable</w:t>
            </w:r>
          </w:p>
        </w:tc>
        <w:tc>
          <w:tcPr>
            <w:tcW w:w="977" w:type="dxa"/>
            <w:tcBorders>
              <w:top w:val="single" w:sz="4" w:space="0" w:color="auto"/>
              <w:bottom w:val="single" w:sz="4" w:space="0" w:color="auto"/>
            </w:tcBorders>
            <w:shd w:val="clear" w:color="auto" w:fill="E7E6E6" w:themeFill="background2"/>
          </w:tcPr>
          <w:p w14:paraId="7C54D81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814" w:type="dxa"/>
            <w:tcBorders>
              <w:top w:val="single" w:sz="4" w:space="0" w:color="auto"/>
              <w:bottom w:val="single" w:sz="4" w:space="0" w:color="auto"/>
            </w:tcBorders>
            <w:shd w:val="clear" w:color="auto" w:fill="E7E6E6" w:themeFill="background2"/>
          </w:tcPr>
          <w:p w14:paraId="5DF3A84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966" w:type="dxa"/>
            <w:tcBorders>
              <w:top w:val="single" w:sz="4" w:space="0" w:color="auto"/>
              <w:bottom w:val="single" w:sz="4" w:space="0" w:color="auto"/>
            </w:tcBorders>
            <w:shd w:val="clear" w:color="auto" w:fill="E7E6E6" w:themeFill="background2"/>
          </w:tcPr>
          <w:p w14:paraId="678B7A3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918" w:type="dxa"/>
            <w:tcBorders>
              <w:top w:val="single" w:sz="4" w:space="0" w:color="auto"/>
              <w:bottom w:val="single" w:sz="4" w:space="0" w:color="auto"/>
            </w:tcBorders>
            <w:shd w:val="clear" w:color="auto" w:fill="E7E6E6" w:themeFill="background2"/>
          </w:tcPr>
          <w:p w14:paraId="6CDD7D2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1244" w:type="dxa"/>
            <w:tcBorders>
              <w:top w:val="single" w:sz="4" w:space="0" w:color="auto"/>
              <w:bottom w:val="single" w:sz="4" w:space="0" w:color="auto"/>
            </w:tcBorders>
            <w:shd w:val="clear" w:color="auto" w:fill="E7E6E6" w:themeFill="background2"/>
          </w:tcPr>
          <w:p w14:paraId="081833B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993" w:type="dxa"/>
            <w:tcBorders>
              <w:top w:val="single" w:sz="4" w:space="0" w:color="auto"/>
              <w:bottom w:val="single" w:sz="4" w:space="0" w:color="auto"/>
            </w:tcBorders>
            <w:shd w:val="clear" w:color="auto" w:fill="E7E6E6" w:themeFill="background2"/>
          </w:tcPr>
          <w:p w14:paraId="2383C90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1001" w:type="dxa"/>
            <w:tcBorders>
              <w:top w:val="single" w:sz="4" w:space="0" w:color="auto"/>
              <w:bottom w:val="single" w:sz="4" w:space="0" w:color="auto"/>
            </w:tcBorders>
            <w:shd w:val="clear" w:color="auto" w:fill="E7E6E6" w:themeFill="background2"/>
          </w:tcPr>
          <w:p w14:paraId="11C395B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c>
          <w:tcPr>
            <w:tcW w:w="1115" w:type="dxa"/>
            <w:tcBorders>
              <w:top w:val="single" w:sz="4" w:space="0" w:color="auto"/>
              <w:bottom w:val="single" w:sz="4" w:space="0" w:color="auto"/>
            </w:tcBorders>
            <w:shd w:val="clear" w:color="auto" w:fill="E7E6E6" w:themeFill="background2"/>
          </w:tcPr>
          <w:p w14:paraId="1754541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 </w:t>
            </w:r>
          </w:p>
        </w:tc>
      </w:tr>
      <w:tr w:rsidR="00AE77D4" w:rsidRPr="00AE77D4" w14:paraId="315D5224" w14:textId="77777777" w:rsidTr="003452F8">
        <w:trPr>
          <w:trHeight w:val="201"/>
        </w:trPr>
        <w:tc>
          <w:tcPr>
            <w:tcW w:w="1178" w:type="dxa"/>
            <w:tcBorders>
              <w:top w:val="single" w:sz="4" w:space="0" w:color="auto"/>
            </w:tcBorders>
          </w:tcPr>
          <w:p w14:paraId="1EF14CC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Model</w:t>
            </w:r>
          </w:p>
        </w:tc>
        <w:tc>
          <w:tcPr>
            <w:tcW w:w="977" w:type="dxa"/>
            <w:tcBorders>
              <w:top w:val="single" w:sz="4" w:space="0" w:color="auto"/>
            </w:tcBorders>
          </w:tcPr>
          <w:p w14:paraId="2A1A50F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w:t>
            </w:r>
          </w:p>
        </w:tc>
        <w:tc>
          <w:tcPr>
            <w:tcW w:w="814" w:type="dxa"/>
            <w:tcBorders>
              <w:top w:val="single" w:sz="4" w:space="0" w:color="auto"/>
            </w:tcBorders>
          </w:tcPr>
          <w:p w14:paraId="4EA01CA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(2)</w:t>
            </w:r>
          </w:p>
        </w:tc>
        <w:tc>
          <w:tcPr>
            <w:tcW w:w="966" w:type="dxa"/>
            <w:tcBorders>
              <w:top w:val="single" w:sz="4" w:space="0" w:color="auto"/>
            </w:tcBorders>
          </w:tcPr>
          <w:p w14:paraId="6F78B44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(3)</w:t>
            </w:r>
          </w:p>
        </w:tc>
        <w:tc>
          <w:tcPr>
            <w:tcW w:w="918" w:type="dxa"/>
            <w:tcBorders>
              <w:top w:val="single" w:sz="4" w:space="0" w:color="auto"/>
            </w:tcBorders>
          </w:tcPr>
          <w:p w14:paraId="04A8A75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(4)</w:t>
            </w:r>
          </w:p>
        </w:tc>
        <w:tc>
          <w:tcPr>
            <w:tcW w:w="1244" w:type="dxa"/>
            <w:tcBorders>
              <w:top w:val="single" w:sz="4" w:space="0" w:color="auto"/>
            </w:tcBorders>
          </w:tcPr>
          <w:p w14:paraId="55287A3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(5)</w:t>
            </w:r>
          </w:p>
        </w:tc>
        <w:tc>
          <w:tcPr>
            <w:tcW w:w="993" w:type="dxa"/>
            <w:tcBorders>
              <w:top w:val="single" w:sz="4" w:space="0" w:color="auto"/>
            </w:tcBorders>
          </w:tcPr>
          <w:p w14:paraId="0CE5600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(6)</w:t>
            </w:r>
          </w:p>
        </w:tc>
        <w:tc>
          <w:tcPr>
            <w:tcW w:w="1001" w:type="dxa"/>
            <w:tcBorders>
              <w:top w:val="single" w:sz="4" w:space="0" w:color="auto"/>
            </w:tcBorders>
          </w:tcPr>
          <w:p w14:paraId="56A0DFE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(7)</w:t>
            </w:r>
          </w:p>
        </w:tc>
        <w:tc>
          <w:tcPr>
            <w:tcW w:w="1115" w:type="dxa"/>
            <w:tcBorders>
              <w:top w:val="single" w:sz="4" w:space="0" w:color="auto"/>
            </w:tcBorders>
          </w:tcPr>
          <w:p w14:paraId="74BA7D1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(8)</w:t>
            </w:r>
          </w:p>
        </w:tc>
      </w:tr>
      <w:tr w:rsidR="00AE77D4" w:rsidRPr="00AE77D4" w14:paraId="39B0BABC" w14:textId="77777777" w:rsidTr="003452F8">
        <w:trPr>
          <w:trHeight w:val="201"/>
        </w:trPr>
        <w:tc>
          <w:tcPr>
            <w:tcW w:w="4853" w:type="dxa"/>
            <w:gridSpan w:val="5"/>
            <w:shd w:val="clear" w:color="auto" w:fill="E7E6E6" w:themeFill="background2"/>
          </w:tcPr>
          <w:p w14:paraId="6424FBE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Independent variables (CG Matrix):</w:t>
            </w:r>
          </w:p>
        </w:tc>
        <w:tc>
          <w:tcPr>
            <w:tcW w:w="1244" w:type="dxa"/>
            <w:shd w:val="clear" w:color="auto" w:fill="E7E6E6" w:themeFill="background2"/>
          </w:tcPr>
          <w:p w14:paraId="79DFC78B" w14:textId="77777777" w:rsidR="00F56E67" w:rsidRPr="00AE77D4" w:rsidRDefault="00F56E67" w:rsidP="00AE77D4">
            <w:pPr>
              <w:spacing w:line="276" w:lineRule="auto"/>
              <w:rPr>
                <w:rFonts w:ascii="Times New Roman" w:hAnsi="Times New Roman" w:cs="Times New Roman"/>
                <w:sz w:val="16"/>
                <w:szCs w:val="16"/>
                <w:lang w:val="en-GB"/>
              </w:rPr>
            </w:pPr>
          </w:p>
        </w:tc>
        <w:tc>
          <w:tcPr>
            <w:tcW w:w="993" w:type="dxa"/>
            <w:shd w:val="clear" w:color="auto" w:fill="E7E6E6" w:themeFill="background2"/>
          </w:tcPr>
          <w:p w14:paraId="18F7136A" w14:textId="77777777" w:rsidR="00F56E67" w:rsidRPr="00AE77D4" w:rsidRDefault="00F56E67" w:rsidP="00AE77D4">
            <w:pPr>
              <w:spacing w:line="276" w:lineRule="auto"/>
              <w:rPr>
                <w:rFonts w:ascii="Times New Roman" w:hAnsi="Times New Roman" w:cs="Times New Roman"/>
                <w:sz w:val="16"/>
                <w:szCs w:val="16"/>
                <w:lang w:val="en-GB"/>
              </w:rPr>
            </w:pPr>
          </w:p>
        </w:tc>
        <w:tc>
          <w:tcPr>
            <w:tcW w:w="1001" w:type="dxa"/>
            <w:shd w:val="clear" w:color="auto" w:fill="E7E6E6" w:themeFill="background2"/>
          </w:tcPr>
          <w:p w14:paraId="59B07CFB" w14:textId="77777777" w:rsidR="00F56E67" w:rsidRPr="00AE77D4" w:rsidRDefault="00F56E67" w:rsidP="00AE77D4">
            <w:pPr>
              <w:spacing w:line="276" w:lineRule="auto"/>
              <w:rPr>
                <w:rFonts w:ascii="Times New Roman" w:hAnsi="Times New Roman" w:cs="Times New Roman"/>
                <w:sz w:val="16"/>
                <w:szCs w:val="16"/>
                <w:lang w:val="en-GB"/>
              </w:rPr>
            </w:pPr>
          </w:p>
        </w:tc>
        <w:tc>
          <w:tcPr>
            <w:tcW w:w="1115" w:type="dxa"/>
            <w:shd w:val="clear" w:color="auto" w:fill="E7E6E6" w:themeFill="background2"/>
          </w:tcPr>
          <w:p w14:paraId="62B7A138" w14:textId="77777777" w:rsidR="00F56E67" w:rsidRPr="00AE77D4" w:rsidRDefault="00F56E67" w:rsidP="00AE77D4">
            <w:pPr>
              <w:spacing w:line="276" w:lineRule="auto"/>
              <w:rPr>
                <w:rFonts w:ascii="Times New Roman" w:hAnsi="Times New Roman" w:cs="Times New Roman"/>
                <w:sz w:val="16"/>
                <w:szCs w:val="16"/>
                <w:lang w:val="en-GB"/>
              </w:rPr>
            </w:pPr>
          </w:p>
        </w:tc>
      </w:tr>
      <w:tr w:rsidR="00AE77D4" w:rsidRPr="00AE77D4" w14:paraId="61E7DAFB" w14:textId="77777777" w:rsidTr="003452F8">
        <w:trPr>
          <w:trHeight w:val="213"/>
        </w:trPr>
        <w:tc>
          <w:tcPr>
            <w:tcW w:w="1178" w:type="dxa"/>
          </w:tcPr>
          <w:p w14:paraId="4BF88C8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BSIZE</w:t>
            </w:r>
          </w:p>
        </w:tc>
        <w:tc>
          <w:tcPr>
            <w:tcW w:w="977" w:type="dxa"/>
          </w:tcPr>
          <w:p w14:paraId="1933BC6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1.58***</w:t>
            </w:r>
          </w:p>
        </w:tc>
        <w:tc>
          <w:tcPr>
            <w:tcW w:w="814" w:type="dxa"/>
          </w:tcPr>
          <w:p w14:paraId="70D0BA4D" w14:textId="77777777" w:rsidR="00F56E67" w:rsidRPr="00AE77D4" w:rsidRDefault="00F56E67" w:rsidP="00AE77D4">
            <w:pPr>
              <w:spacing w:line="276" w:lineRule="auto"/>
              <w:rPr>
                <w:rFonts w:ascii="Times New Roman" w:hAnsi="Times New Roman" w:cs="Times New Roman"/>
                <w:sz w:val="16"/>
                <w:szCs w:val="16"/>
                <w:lang w:val="en-GB"/>
              </w:rPr>
            </w:pPr>
          </w:p>
        </w:tc>
        <w:tc>
          <w:tcPr>
            <w:tcW w:w="966" w:type="dxa"/>
          </w:tcPr>
          <w:p w14:paraId="1287FCDC" w14:textId="77777777" w:rsidR="00F56E67" w:rsidRPr="00AE77D4" w:rsidRDefault="00F56E67" w:rsidP="00AE77D4">
            <w:pPr>
              <w:spacing w:line="276" w:lineRule="auto"/>
              <w:rPr>
                <w:rFonts w:ascii="Times New Roman" w:hAnsi="Times New Roman" w:cs="Times New Roman"/>
                <w:sz w:val="16"/>
                <w:szCs w:val="16"/>
                <w:lang w:val="en-GB"/>
              </w:rPr>
            </w:pPr>
          </w:p>
        </w:tc>
        <w:tc>
          <w:tcPr>
            <w:tcW w:w="918" w:type="dxa"/>
          </w:tcPr>
          <w:p w14:paraId="05FC3228" w14:textId="77777777" w:rsidR="00F56E67" w:rsidRPr="00AE77D4" w:rsidRDefault="00F56E67" w:rsidP="00AE77D4">
            <w:pPr>
              <w:spacing w:line="276" w:lineRule="auto"/>
              <w:rPr>
                <w:rFonts w:ascii="Times New Roman" w:hAnsi="Times New Roman" w:cs="Times New Roman"/>
                <w:sz w:val="16"/>
                <w:szCs w:val="16"/>
                <w:lang w:val="en-GB"/>
              </w:rPr>
            </w:pPr>
          </w:p>
        </w:tc>
        <w:tc>
          <w:tcPr>
            <w:tcW w:w="1244" w:type="dxa"/>
          </w:tcPr>
          <w:p w14:paraId="371CDEC8" w14:textId="77777777" w:rsidR="00F56E67" w:rsidRPr="00AE77D4" w:rsidRDefault="00F56E67" w:rsidP="00AE77D4">
            <w:pPr>
              <w:spacing w:line="276" w:lineRule="auto"/>
              <w:rPr>
                <w:rFonts w:ascii="Times New Roman" w:hAnsi="Times New Roman" w:cs="Times New Roman"/>
                <w:sz w:val="16"/>
                <w:szCs w:val="16"/>
                <w:lang w:val="en-GB"/>
              </w:rPr>
            </w:pPr>
          </w:p>
        </w:tc>
        <w:tc>
          <w:tcPr>
            <w:tcW w:w="993" w:type="dxa"/>
          </w:tcPr>
          <w:p w14:paraId="699B659C" w14:textId="77777777" w:rsidR="00F56E67" w:rsidRPr="00AE77D4" w:rsidRDefault="00F56E67" w:rsidP="00AE77D4">
            <w:pPr>
              <w:spacing w:line="276" w:lineRule="auto"/>
              <w:rPr>
                <w:rFonts w:ascii="Times New Roman" w:hAnsi="Times New Roman" w:cs="Times New Roman"/>
                <w:sz w:val="16"/>
                <w:szCs w:val="16"/>
                <w:lang w:val="en-GB"/>
              </w:rPr>
            </w:pPr>
          </w:p>
        </w:tc>
        <w:tc>
          <w:tcPr>
            <w:tcW w:w="1001" w:type="dxa"/>
          </w:tcPr>
          <w:p w14:paraId="09961267" w14:textId="77777777" w:rsidR="00F56E67" w:rsidRPr="00AE77D4" w:rsidRDefault="00F56E67" w:rsidP="00AE77D4">
            <w:pPr>
              <w:spacing w:line="276" w:lineRule="auto"/>
              <w:rPr>
                <w:rFonts w:ascii="Times New Roman" w:hAnsi="Times New Roman" w:cs="Times New Roman"/>
                <w:sz w:val="16"/>
                <w:szCs w:val="16"/>
                <w:lang w:val="en-GB"/>
              </w:rPr>
            </w:pPr>
          </w:p>
        </w:tc>
        <w:tc>
          <w:tcPr>
            <w:tcW w:w="1115" w:type="dxa"/>
          </w:tcPr>
          <w:p w14:paraId="5D4CAF2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1.7***</w:t>
            </w:r>
          </w:p>
        </w:tc>
      </w:tr>
      <w:tr w:rsidR="00AE77D4" w:rsidRPr="00AE77D4" w14:paraId="38C786F8" w14:textId="77777777" w:rsidTr="003452F8">
        <w:trPr>
          <w:trHeight w:val="201"/>
        </w:trPr>
        <w:tc>
          <w:tcPr>
            <w:tcW w:w="1178" w:type="dxa"/>
            <w:shd w:val="clear" w:color="auto" w:fill="E7E6E6" w:themeFill="background2"/>
          </w:tcPr>
          <w:p w14:paraId="16C8C66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INDIR</w:t>
            </w:r>
          </w:p>
        </w:tc>
        <w:tc>
          <w:tcPr>
            <w:tcW w:w="977" w:type="dxa"/>
            <w:shd w:val="clear" w:color="auto" w:fill="E7E6E6" w:themeFill="background2"/>
          </w:tcPr>
          <w:p w14:paraId="2F6FEA28" w14:textId="77777777" w:rsidR="00F56E67" w:rsidRPr="00AE77D4" w:rsidRDefault="00F56E67" w:rsidP="00AE77D4">
            <w:pPr>
              <w:spacing w:line="276" w:lineRule="auto"/>
              <w:rPr>
                <w:rFonts w:ascii="Times New Roman" w:hAnsi="Times New Roman" w:cs="Times New Roman"/>
                <w:sz w:val="16"/>
                <w:szCs w:val="16"/>
                <w:lang w:val="en-GB"/>
              </w:rPr>
            </w:pPr>
          </w:p>
        </w:tc>
        <w:tc>
          <w:tcPr>
            <w:tcW w:w="814" w:type="dxa"/>
            <w:shd w:val="clear" w:color="auto" w:fill="E7E6E6" w:themeFill="background2"/>
          </w:tcPr>
          <w:p w14:paraId="7376D5B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0.28**</w:t>
            </w:r>
          </w:p>
        </w:tc>
        <w:tc>
          <w:tcPr>
            <w:tcW w:w="966" w:type="dxa"/>
            <w:shd w:val="clear" w:color="auto" w:fill="E7E6E6" w:themeFill="background2"/>
          </w:tcPr>
          <w:p w14:paraId="30F20834" w14:textId="77777777" w:rsidR="00F56E67" w:rsidRPr="00AE77D4" w:rsidRDefault="00F56E67" w:rsidP="00AE77D4">
            <w:pPr>
              <w:spacing w:line="276" w:lineRule="auto"/>
              <w:rPr>
                <w:rFonts w:ascii="Times New Roman" w:hAnsi="Times New Roman" w:cs="Times New Roman"/>
                <w:sz w:val="16"/>
                <w:szCs w:val="16"/>
                <w:lang w:val="en-GB"/>
              </w:rPr>
            </w:pPr>
          </w:p>
        </w:tc>
        <w:tc>
          <w:tcPr>
            <w:tcW w:w="918" w:type="dxa"/>
            <w:shd w:val="clear" w:color="auto" w:fill="E7E6E6" w:themeFill="background2"/>
          </w:tcPr>
          <w:p w14:paraId="50317F3E" w14:textId="77777777" w:rsidR="00F56E67" w:rsidRPr="00AE77D4" w:rsidRDefault="00F56E67" w:rsidP="00AE77D4">
            <w:pPr>
              <w:spacing w:line="276" w:lineRule="auto"/>
              <w:rPr>
                <w:rFonts w:ascii="Times New Roman" w:hAnsi="Times New Roman" w:cs="Times New Roman"/>
                <w:sz w:val="16"/>
                <w:szCs w:val="16"/>
                <w:lang w:val="en-GB"/>
              </w:rPr>
            </w:pPr>
          </w:p>
        </w:tc>
        <w:tc>
          <w:tcPr>
            <w:tcW w:w="1244" w:type="dxa"/>
            <w:shd w:val="clear" w:color="auto" w:fill="E7E6E6" w:themeFill="background2"/>
          </w:tcPr>
          <w:p w14:paraId="15EB4AE3" w14:textId="77777777" w:rsidR="00F56E67" w:rsidRPr="00AE77D4" w:rsidRDefault="00F56E67" w:rsidP="00AE77D4">
            <w:pPr>
              <w:spacing w:line="276" w:lineRule="auto"/>
              <w:rPr>
                <w:rFonts w:ascii="Times New Roman" w:hAnsi="Times New Roman" w:cs="Times New Roman"/>
                <w:sz w:val="16"/>
                <w:szCs w:val="16"/>
                <w:lang w:val="en-GB"/>
              </w:rPr>
            </w:pPr>
          </w:p>
        </w:tc>
        <w:tc>
          <w:tcPr>
            <w:tcW w:w="993" w:type="dxa"/>
            <w:shd w:val="clear" w:color="auto" w:fill="E7E6E6" w:themeFill="background2"/>
          </w:tcPr>
          <w:p w14:paraId="7EA4A660" w14:textId="77777777" w:rsidR="00F56E67" w:rsidRPr="00AE77D4" w:rsidRDefault="00F56E67" w:rsidP="00AE77D4">
            <w:pPr>
              <w:spacing w:line="276" w:lineRule="auto"/>
              <w:rPr>
                <w:rFonts w:ascii="Times New Roman" w:hAnsi="Times New Roman" w:cs="Times New Roman"/>
                <w:sz w:val="16"/>
                <w:szCs w:val="16"/>
                <w:lang w:val="en-GB"/>
              </w:rPr>
            </w:pPr>
          </w:p>
        </w:tc>
        <w:tc>
          <w:tcPr>
            <w:tcW w:w="1001" w:type="dxa"/>
            <w:shd w:val="clear" w:color="auto" w:fill="E7E6E6" w:themeFill="background2"/>
          </w:tcPr>
          <w:p w14:paraId="0D8FAEC2" w14:textId="77777777" w:rsidR="00F56E67" w:rsidRPr="00AE77D4" w:rsidRDefault="00F56E67" w:rsidP="00AE77D4">
            <w:pPr>
              <w:spacing w:line="276" w:lineRule="auto"/>
              <w:rPr>
                <w:rFonts w:ascii="Times New Roman" w:hAnsi="Times New Roman" w:cs="Times New Roman"/>
                <w:sz w:val="16"/>
                <w:szCs w:val="16"/>
                <w:lang w:val="en-GB"/>
              </w:rPr>
            </w:pPr>
          </w:p>
        </w:tc>
        <w:tc>
          <w:tcPr>
            <w:tcW w:w="1115" w:type="dxa"/>
            <w:shd w:val="clear" w:color="auto" w:fill="E7E6E6" w:themeFill="background2"/>
          </w:tcPr>
          <w:p w14:paraId="5C3001F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0.28**</w:t>
            </w:r>
          </w:p>
        </w:tc>
      </w:tr>
      <w:tr w:rsidR="00AE77D4" w:rsidRPr="00AE77D4" w14:paraId="4F438300" w14:textId="77777777" w:rsidTr="003452F8">
        <w:trPr>
          <w:trHeight w:val="201"/>
        </w:trPr>
        <w:tc>
          <w:tcPr>
            <w:tcW w:w="1178" w:type="dxa"/>
          </w:tcPr>
          <w:p w14:paraId="59919AB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FORDIR</w:t>
            </w:r>
          </w:p>
        </w:tc>
        <w:tc>
          <w:tcPr>
            <w:tcW w:w="977" w:type="dxa"/>
          </w:tcPr>
          <w:p w14:paraId="41E8D796" w14:textId="77777777" w:rsidR="00F56E67" w:rsidRPr="00AE77D4" w:rsidRDefault="00F56E67" w:rsidP="00AE77D4">
            <w:pPr>
              <w:spacing w:line="276" w:lineRule="auto"/>
              <w:rPr>
                <w:rFonts w:ascii="Times New Roman" w:hAnsi="Times New Roman" w:cs="Times New Roman"/>
                <w:sz w:val="16"/>
                <w:szCs w:val="16"/>
                <w:lang w:val="en-GB"/>
              </w:rPr>
            </w:pPr>
          </w:p>
        </w:tc>
        <w:tc>
          <w:tcPr>
            <w:tcW w:w="814" w:type="dxa"/>
          </w:tcPr>
          <w:p w14:paraId="1CA37A6C" w14:textId="77777777" w:rsidR="00F56E67" w:rsidRPr="00AE77D4" w:rsidRDefault="00F56E67" w:rsidP="00AE77D4">
            <w:pPr>
              <w:spacing w:line="276" w:lineRule="auto"/>
              <w:rPr>
                <w:rFonts w:ascii="Times New Roman" w:hAnsi="Times New Roman" w:cs="Times New Roman"/>
                <w:sz w:val="16"/>
                <w:szCs w:val="16"/>
                <w:lang w:val="en-GB"/>
              </w:rPr>
            </w:pPr>
          </w:p>
        </w:tc>
        <w:tc>
          <w:tcPr>
            <w:tcW w:w="966" w:type="dxa"/>
          </w:tcPr>
          <w:p w14:paraId="469C4E6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0.46***</w:t>
            </w:r>
          </w:p>
        </w:tc>
        <w:tc>
          <w:tcPr>
            <w:tcW w:w="918" w:type="dxa"/>
          </w:tcPr>
          <w:p w14:paraId="7578EF6D" w14:textId="77777777" w:rsidR="00F56E67" w:rsidRPr="00AE77D4" w:rsidRDefault="00F56E67" w:rsidP="00AE77D4">
            <w:pPr>
              <w:spacing w:line="276" w:lineRule="auto"/>
              <w:rPr>
                <w:rFonts w:ascii="Times New Roman" w:hAnsi="Times New Roman" w:cs="Times New Roman"/>
                <w:sz w:val="16"/>
                <w:szCs w:val="16"/>
                <w:lang w:val="en-GB"/>
              </w:rPr>
            </w:pPr>
          </w:p>
        </w:tc>
        <w:tc>
          <w:tcPr>
            <w:tcW w:w="1244" w:type="dxa"/>
          </w:tcPr>
          <w:p w14:paraId="3B862E45" w14:textId="77777777" w:rsidR="00F56E67" w:rsidRPr="00AE77D4" w:rsidRDefault="00F56E67" w:rsidP="00AE77D4">
            <w:pPr>
              <w:spacing w:line="276" w:lineRule="auto"/>
              <w:rPr>
                <w:rFonts w:ascii="Times New Roman" w:hAnsi="Times New Roman" w:cs="Times New Roman"/>
                <w:sz w:val="16"/>
                <w:szCs w:val="16"/>
                <w:lang w:val="en-GB"/>
              </w:rPr>
            </w:pPr>
          </w:p>
        </w:tc>
        <w:tc>
          <w:tcPr>
            <w:tcW w:w="993" w:type="dxa"/>
          </w:tcPr>
          <w:p w14:paraId="25A9E8B5" w14:textId="77777777" w:rsidR="00F56E67" w:rsidRPr="00AE77D4" w:rsidRDefault="00F56E67" w:rsidP="00AE77D4">
            <w:pPr>
              <w:spacing w:line="276" w:lineRule="auto"/>
              <w:rPr>
                <w:rFonts w:ascii="Times New Roman" w:hAnsi="Times New Roman" w:cs="Times New Roman"/>
                <w:sz w:val="16"/>
                <w:szCs w:val="16"/>
                <w:lang w:val="en-GB"/>
              </w:rPr>
            </w:pPr>
          </w:p>
        </w:tc>
        <w:tc>
          <w:tcPr>
            <w:tcW w:w="1001" w:type="dxa"/>
          </w:tcPr>
          <w:p w14:paraId="025120DA" w14:textId="77777777" w:rsidR="00F56E67" w:rsidRPr="00AE77D4" w:rsidRDefault="00F56E67" w:rsidP="00AE77D4">
            <w:pPr>
              <w:spacing w:line="276" w:lineRule="auto"/>
              <w:rPr>
                <w:rFonts w:ascii="Times New Roman" w:hAnsi="Times New Roman" w:cs="Times New Roman"/>
                <w:sz w:val="16"/>
                <w:szCs w:val="16"/>
                <w:lang w:val="en-GB"/>
              </w:rPr>
            </w:pPr>
          </w:p>
        </w:tc>
        <w:tc>
          <w:tcPr>
            <w:tcW w:w="1115" w:type="dxa"/>
          </w:tcPr>
          <w:p w14:paraId="7D660E6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0.37***</w:t>
            </w:r>
          </w:p>
        </w:tc>
      </w:tr>
      <w:tr w:rsidR="00AE77D4" w:rsidRPr="00AE77D4" w14:paraId="7DE91BAD" w14:textId="77777777" w:rsidTr="003452F8">
        <w:trPr>
          <w:trHeight w:val="71"/>
        </w:trPr>
        <w:tc>
          <w:tcPr>
            <w:tcW w:w="1178" w:type="dxa"/>
            <w:shd w:val="clear" w:color="auto" w:fill="E7E6E6" w:themeFill="background2"/>
          </w:tcPr>
          <w:p w14:paraId="6C0571E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GENDER</w:t>
            </w:r>
          </w:p>
        </w:tc>
        <w:tc>
          <w:tcPr>
            <w:tcW w:w="977" w:type="dxa"/>
            <w:shd w:val="clear" w:color="auto" w:fill="E7E6E6" w:themeFill="background2"/>
          </w:tcPr>
          <w:p w14:paraId="27EEF7F8" w14:textId="77777777" w:rsidR="00F56E67" w:rsidRPr="00AE77D4" w:rsidRDefault="00F56E67" w:rsidP="00AE77D4">
            <w:pPr>
              <w:spacing w:line="276" w:lineRule="auto"/>
              <w:rPr>
                <w:rFonts w:ascii="Times New Roman" w:hAnsi="Times New Roman" w:cs="Times New Roman"/>
                <w:sz w:val="16"/>
                <w:szCs w:val="16"/>
                <w:lang w:val="en-GB"/>
              </w:rPr>
            </w:pPr>
          </w:p>
        </w:tc>
        <w:tc>
          <w:tcPr>
            <w:tcW w:w="814" w:type="dxa"/>
            <w:shd w:val="clear" w:color="auto" w:fill="E7E6E6" w:themeFill="background2"/>
          </w:tcPr>
          <w:p w14:paraId="15ABAB28" w14:textId="77777777" w:rsidR="00F56E67" w:rsidRPr="00AE77D4" w:rsidRDefault="00F56E67" w:rsidP="00AE77D4">
            <w:pPr>
              <w:spacing w:line="276" w:lineRule="auto"/>
              <w:rPr>
                <w:rFonts w:ascii="Times New Roman" w:hAnsi="Times New Roman" w:cs="Times New Roman"/>
                <w:sz w:val="16"/>
                <w:szCs w:val="16"/>
                <w:lang w:val="en-GB"/>
              </w:rPr>
            </w:pPr>
          </w:p>
        </w:tc>
        <w:tc>
          <w:tcPr>
            <w:tcW w:w="966" w:type="dxa"/>
            <w:shd w:val="clear" w:color="auto" w:fill="E7E6E6" w:themeFill="background2"/>
          </w:tcPr>
          <w:p w14:paraId="75D1CAA3" w14:textId="77777777" w:rsidR="00F56E67" w:rsidRPr="00AE77D4" w:rsidRDefault="00F56E67" w:rsidP="00AE77D4">
            <w:pPr>
              <w:spacing w:line="276" w:lineRule="auto"/>
              <w:rPr>
                <w:rFonts w:ascii="Times New Roman" w:hAnsi="Times New Roman" w:cs="Times New Roman"/>
                <w:sz w:val="16"/>
                <w:szCs w:val="16"/>
                <w:lang w:val="en-GB"/>
              </w:rPr>
            </w:pPr>
          </w:p>
        </w:tc>
        <w:tc>
          <w:tcPr>
            <w:tcW w:w="918" w:type="dxa"/>
            <w:shd w:val="clear" w:color="auto" w:fill="E7E6E6" w:themeFill="background2"/>
          </w:tcPr>
          <w:p w14:paraId="0C57B66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-0.12**</w:t>
            </w:r>
          </w:p>
        </w:tc>
        <w:tc>
          <w:tcPr>
            <w:tcW w:w="1244" w:type="dxa"/>
            <w:shd w:val="clear" w:color="auto" w:fill="E7E6E6" w:themeFill="background2"/>
          </w:tcPr>
          <w:p w14:paraId="1BFCF8D1" w14:textId="77777777" w:rsidR="00F56E67" w:rsidRPr="00AE77D4" w:rsidRDefault="00F56E67" w:rsidP="00AE77D4">
            <w:pPr>
              <w:spacing w:line="276" w:lineRule="auto"/>
              <w:rPr>
                <w:rFonts w:ascii="Times New Roman" w:hAnsi="Times New Roman" w:cs="Times New Roman"/>
                <w:sz w:val="16"/>
                <w:szCs w:val="16"/>
                <w:lang w:val="en-GB"/>
              </w:rPr>
            </w:pPr>
          </w:p>
        </w:tc>
        <w:tc>
          <w:tcPr>
            <w:tcW w:w="993" w:type="dxa"/>
            <w:shd w:val="clear" w:color="auto" w:fill="E7E6E6" w:themeFill="background2"/>
          </w:tcPr>
          <w:p w14:paraId="52E21F46" w14:textId="77777777" w:rsidR="00F56E67" w:rsidRPr="00AE77D4" w:rsidRDefault="00F56E67" w:rsidP="00AE77D4">
            <w:pPr>
              <w:spacing w:line="276" w:lineRule="auto"/>
              <w:rPr>
                <w:rFonts w:ascii="Times New Roman" w:hAnsi="Times New Roman" w:cs="Times New Roman"/>
                <w:sz w:val="16"/>
                <w:szCs w:val="16"/>
                <w:lang w:val="en-GB"/>
              </w:rPr>
            </w:pPr>
          </w:p>
        </w:tc>
        <w:tc>
          <w:tcPr>
            <w:tcW w:w="1001" w:type="dxa"/>
            <w:shd w:val="clear" w:color="auto" w:fill="E7E6E6" w:themeFill="background2"/>
          </w:tcPr>
          <w:p w14:paraId="47D6A6DB" w14:textId="77777777" w:rsidR="00F56E67" w:rsidRPr="00AE77D4" w:rsidRDefault="00F56E67" w:rsidP="00AE77D4">
            <w:pPr>
              <w:spacing w:line="276" w:lineRule="auto"/>
              <w:rPr>
                <w:rFonts w:ascii="Times New Roman" w:hAnsi="Times New Roman" w:cs="Times New Roman"/>
                <w:sz w:val="16"/>
                <w:szCs w:val="16"/>
                <w:lang w:val="en-GB"/>
              </w:rPr>
            </w:pPr>
          </w:p>
        </w:tc>
        <w:tc>
          <w:tcPr>
            <w:tcW w:w="1115" w:type="dxa"/>
            <w:shd w:val="clear" w:color="auto" w:fill="E7E6E6" w:themeFill="background2"/>
          </w:tcPr>
          <w:p w14:paraId="10CC050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0.00</w:t>
            </w:r>
          </w:p>
        </w:tc>
      </w:tr>
      <w:tr w:rsidR="00AE77D4" w:rsidRPr="00AE77D4" w14:paraId="69A8716E" w14:textId="77777777" w:rsidTr="003452F8">
        <w:trPr>
          <w:trHeight w:val="71"/>
        </w:trPr>
        <w:tc>
          <w:tcPr>
            <w:tcW w:w="1178" w:type="dxa"/>
          </w:tcPr>
          <w:p w14:paraId="72D7C90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BOMEET</w:t>
            </w:r>
          </w:p>
        </w:tc>
        <w:tc>
          <w:tcPr>
            <w:tcW w:w="977" w:type="dxa"/>
          </w:tcPr>
          <w:p w14:paraId="5B475A05" w14:textId="77777777" w:rsidR="00F56E67" w:rsidRPr="00AE77D4" w:rsidRDefault="00F56E67" w:rsidP="00AE77D4">
            <w:pPr>
              <w:spacing w:line="276" w:lineRule="auto"/>
              <w:rPr>
                <w:rFonts w:ascii="Times New Roman" w:hAnsi="Times New Roman" w:cs="Times New Roman"/>
                <w:sz w:val="16"/>
                <w:szCs w:val="16"/>
                <w:lang w:val="en-GB"/>
              </w:rPr>
            </w:pPr>
          </w:p>
        </w:tc>
        <w:tc>
          <w:tcPr>
            <w:tcW w:w="814" w:type="dxa"/>
          </w:tcPr>
          <w:p w14:paraId="5B555B3D" w14:textId="77777777" w:rsidR="00F56E67" w:rsidRPr="00AE77D4" w:rsidRDefault="00F56E67" w:rsidP="00AE77D4">
            <w:pPr>
              <w:spacing w:line="276" w:lineRule="auto"/>
              <w:rPr>
                <w:rFonts w:ascii="Times New Roman" w:hAnsi="Times New Roman" w:cs="Times New Roman"/>
                <w:sz w:val="16"/>
                <w:szCs w:val="16"/>
                <w:lang w:val="en-GB"/>
              </w:rPr>
            </w:pPr>
          </w:p>
        </w:tc>
        <w:tc>
          <w:tcPr>
            <w:tcW w:w="966" w:type="dxa"/>
          </w:tcPr>
          <w:p w14:paraId="749A22CD" w14:textId="77777777" w:rsidR="00F56E67" w:rsidRPr="00AE77D4" w:rsidRDefault="00F56E67" w:rsidP="00AE77D4">
            <w:pPr>
              <w:spacing w:line="276" w:lineRule="auto"/>
              <w:rPr>
                <w:rFonts w:ascii="Times New Roman" w:hAnsi="Times New Roman" w:cs="Times New Roman"/>
                <w:sz w:val="16"/>
                <w:szCs w:val="16"/>
                <w:lang w:val="en-GB"/>
              </w:rPr>
            </w:pPr>
          </w:p>
        </w:tc>
        <w:tc>
          <w:tcPr>
            <w:tcW w:w="918" w:type="dxa"/>
          </w:tcPr>
          <w:p w14:paraId="58360509" w14:textId="77777777" w:rsidR="00F56E67" w:rsidRPr="00AE77D4" w:rsidRDefault="00F56E67" w:rsidP="00AE77D4">
            <w:pPr>
              <w:spacing w:line="276" w:lineRule="auto"/>
              <w:rPr>
                <w:rFonts w:ascii="Times New Roman" w:hAnsi="Times New Roman" w:cs="Times New Roman"/>
                <w:sz w:val="16"/>
                <w:szCs w:val="16"/>
                <w:lang w:val="en-GB"/>
              </w:rPr>
            </w:pPr>
          </w:p>
        </w:tc>
        <w:tc>
          <w:tcPr>
            <w:tcW w:w="1244" w:type="dxa"/>
          </w:tcPr>
          <w:p w14:paraId="2B6C202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-0.30</w:t>
            </w:r>
          </w:p>
        </w:tc>
        <w:tc>
          <w:tcPr>
            <w:tcW w:w="993" w:type="dxa"/>
          </w:tcPr>
          <w:p w14:paraId="6E198779" w14:textId="77777777" w:rsidR="00F56E67" w:rsidRPr="00AE77D4" w:rsidRDefault="00F56E67" w:rsidP="00AE77D4">
            <w:pPr>
              <w:spacing w:line="276" w:lineRule="auto"/>
              <w:rPr>
                <w:rFonts w:ascii="Times New Roman" w:hAnsi="Times New Roman" w:cs="Times New Roman"/>
                <w:sz w:val="16"/>
                <w:szCs w:val="16"/>
                <w:lang w:val="en-GB"/>
              </w:rPr>
            </w:pPr>
          </w:p>
        </w:tc>
        <w:tc>
          <w:tcPr>
            <w:tcW w:w="1001" w:type="dxa"/>
          </w:tcPr>
          <w:p w14:paraId="646F25F7" w14:textId="77777777" w:rsidR="00F56E67" w:rsidRPr="00AE77D4" w:rsidRDefault="00F56E67" w:rsidP="00AE77D4">
            <w:pPr>
              <w:spacing w:line="276" w:lineRule="auto"/>
              <w:rPr>
                <w:rFonts w:ascii="Times New Roman" w:hAnsi="Times New Roman" w:cs="Times New Roman"/>
                <w:sz w:val="16"/>
                <w:szCs w:val="16"/>
                <w:lang w:val="en-GB"/>
              </w:rPr>
            </w:pPr>
          </w:p>
        </w:tc>
        <w:tc>
          <w:tcPr>
            <w:tcW w:w="1115" w:type="dxa"/>
          </w:tcPr>
          <w:p w14:paraId="17105C0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-0.31</w:t>
            </w:r>
          </w:p>
        </w:tc>
      </w:tr>
      <w:tr w:rsidR="00AE77D4" w:rsidRPr="00AE77D4" w14:paraId="628B149F" w14:textId="77777777" w:rsidTr="003452F8">
        <w:trPr>
          <w:trHeight w:val="201"/>
        </w:trPr>
        <w:tc>
          <w:tcPr>
            <w:tcW w:w="1178" w:type="dxa"/>
            <w:shd w:val="clear" w:color="auto" w:fill="E7E6E6" w:themeFill="background2"/>
          </w:tcPr>
          <w:p w14:paraId="7E147BD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DUALITY</w:t>
            </w:r>
          </w:p>
        </w:tc>
        <w:tc>
          <w:tcPr>
            <w:tcW w:w="977" w:type="dxa"/>
            <w:shd w:val="clear" w:color="auto" w:fill="E7E6E6" w:themeFill="background2"/>
          </w:tcPr>
          <w:p w14:paraId="72DF38F2" w14:textId="77777777" w:rsidR="00F56E67" w:rsidRPr="00AE77D4" w:rsidRDefault="00F56E67" w:rsidP="00AE77D4">
            <w:pPr>
              <w:spacing w:line="276" w:lineRule="auto"/>
              <w:rPr>
                <w:rFonts w:ascii="Times New Roman" w:hAnsi="Times New Roman" w:cs="Times New Roman"/>
                <w:sz w:val="16"/>
                <w:szCs w:val="16"/>
                <w:lang w:val="en-GB"/>
              </w:rPr>
            </w:pPr>
          </w:p>
        </w:tc>
        <w:tc>
          <w:tcPr>
            <w:tcW w:w="814" w:type="dxa"/>
            <w:shd w:val="clear" w:color="auto" w:fill="E7E6E6" w:themeFill="background2"/>
          </w:tcPr>
          <w:p w14:paraId="7898A04F" w14:textId="77777777" w:rsidR="00F56E67" w:rsidRPr="00AE77D4" w:rsidRDefault="00F56E67" w:rsidP="00AE77D4">
            <w:pPr>
              <w:spacing w:line="276" w:lineRule="auto"/>
              <w:rPr>
                <w:rFonts w:ascii="Times New Roman" w:hAnsi="Times New Roman" w:cs="Times New Roman"/>
                <w:sz w:val="16"/>
                <w:szCs w:val="16"/>
                <w:lang w:val="en-GB"/>
              </w:rPr>
            </w:pPr>
          </w:p>
        </w:tc>
        <w:tc>
          <w:tcPr>
            <w:tcW w:w="966" w:type="dxa"/>
            <w:shd w:val="clear" w:color="auto" w:fill="E7E6E6" w:themeFill="background2"/>
          </w:tcPr>
          <w:p w14:paraId="124AF568" w14:textId="77777777" w:rsidR="00F56E67" w:rsidRPr="00AE77D4" w:rsidRDefault="00F56E67" w:rsidP="00AE77D4">
            <w:pPr>
              <w:spacing w:line="276" w:lineRule="auto"/>
              <w:rPr>
                <w:rFonts w:ascii="Times New Roman" w:hAnsi="Times New Roman" w:cs="Times New Roman"/>
                <w:sz w:val="16"/>
                <w:szCs w:val="16"/>
                <w:lang w:val="en-GB"/>
              </w:rPr>
            </w:pPr>
          </w:p>
        </w:tc>
        <w:tc>
          <w:tcPr>
            <w:tcW w:w="918" w:type="dxa"/>
            <w:shd w:val="clear" w:color="auto" w:fill="E7E6E6" w:themeFill="background2"/>
          </w:tcPr>
          <w:p w14:paraId="60B55040" w14:textId="77777777" w:rsidR="00F56E67" w:rsidRPr="00AE77D4" w:rsidRDefault="00F56E67" w:rsidP="00AE77D4">
            <w:pPr>
              <w:spacing w:line="276" w:lineRule="auto"/>
              <w:rPr>
                <w:rFonts w:ascii="Times New Roman" w:hAnsi="Times New Roman" w:cs="Times New Roman"/>
                <w:sz w:val="16"/>
                <w:szCs w:val="16"/>
                <w:lang w:val="en-GB"/>
              </w:rPr>
            </w:pPr>
          </w:p>
        </w:tc>
        <w:tc>
          <w:tcPr>
            <w:tcW w:w="1244" w:type="dxa"/>
            <w:shd w:val="clear" w:color="auto" w:fill="E7E6E6" w:themeFill="background2"/>
          </w:tcPr>
          <w:p w14:paraId="26D48D4E" w14:textId="77777777" w:rsidR="00F56E67" w:rsidRPr="00AE77D4" w:rsidRDefault="00F56E67" w:rsidP="00AE77D4">
            <w:pPr>
              <w:spacing w:line="276" w:lineRule="auto"/>
              <w:rPr>
                <w:rFonts w:ascii="Times New Roman" w:hAnsi="Times New Roman" w:cs="Times New Roman"/>
                <w:sz w:val="16"/>
                <w:szCs w:val="16"/>
                <w:lang w:val="en-GB"/>
              </w:rPr>
            </w:pPr>
          </w:p>
        </w:tc>
        <w:tc>
          <w:tcPr>
            <w:tcW w:w="993" w:type="dxa"/>
            <w:shd w:val="clear" w:color="auto" w:fill="E7E6E6" w:themeFill="background2"/>
          </w:tcPr>
          <w:p w14:paraId="433DABF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-0.28**</w:t>
            </w:r>
          </w:p>
        </w:tc>
        <w:tc>
          <w:tcPr>
            <w:tcW w:w="1001" w:type="dxa"/>
            <w:shd w:val="clear" w:color="auto" w:fill="E7E6E6" w:themeFill="background2"/>
          </w:tcPr>
          <w:p w14:paraId="2FFA4F1D" w14:textId="77777777" w:rsidR="00F56E67" w:rsidRPr="00AE77D4" w:rsidRDefault="00F56E67" w:rsidP="00AE77D4">
            <w:pPr>
              <w:spacing w:line="276" w:lineRule="auto"/>
              <w:rPr>
                <w:rFonts w:ascii="Times New Roman" w:hAnsi="Times New Roman" w:cs="Times New Roman"/>
                <w:sz w:val="16"/>
                <w:szCs w:val="16"/>
                <w:lang w:val="en-GB"/>
              </w:rPr>
            </w:pPr>
          </w:p>
        </w:tc>
        <w:tc>
          <w:tcPr>
            <w:tcW w:w="1115" w:type="dxa"/>
            <w:shd w:val="clear" w:color="auto" w:fill="E7E6E6" w:themeFill="background2"/>
          </w:tcPr>
          <w:p w14:paraId="30B9CA1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-0.22**</w:t>
            </w:r>
          </w:p>
        </w:tc>
      </w:tr>
      <w:tr w:rsidR="00AE77D4" w:rsidRPr="00AE77D4" w14:paraId="69BE7ABD" w14:textId="77777777" w:rsidTr="003452F8">
        <w:trPr>
          <w:trHeight w:val="201"/>
        </w:trPr>
        <w:tc>
          <w:tcPr>
            <w:tcW w:w="1178" w:type="dxa"/>
          </w:tcPr>
          <w:p w14:paraId="0CA2F50D"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ADCOM</w:t>
            </w:r>
          </w:p>
        </w:tc>
        <w:tc>
          <w:tcPr>
            <w:tcW w:w="977" w:type="dxa"/>
          </w:tcPr>
          <w:p w14:paraId="629FACAB" w14:textId="77777777" w:rsidR="00F56E67" w:rsidRPr="00AE77D4" w:rsidRDefault="00F56E67" w:rsidP="00AE77D4">
            <w:pPr>
              <w:spacing w:line="276" w:lineRule="auto"/>
              <w:rPr>
                <w:rFonts w:ascii="Times New Roman" w:hAnsi="Times New Roman" w:cs="Times New Roman"/>
                <w:sz w:val="16"/>
                <w:szCs w:val="16"/>
                <w:lang w:val="en-GB"/>
              </w:rPr>
            </w:pPr>
          </w:p>
        </w:tc>
        <w:tc>
          <w:tcPr>
            <w:tcW w:w="814" w:type="dxa"/>
          </w:tcPr>
          <w:p w14:paraId="22AFF7C3" w14:textId="77777777" w:rsidR="00F56E67" w:rsidRPr="00AE77D4" w:rsidRDefault="00F56E67" w:rsidP="00AE77D4">
            <w:pPr>
              <w:spacing w:line="276" w:lineRule="auto"/>
              <w:rPr>
                <w:rFonts w:ascii="Times New Roman" w:hAnsi="Times New Roman" w:cs="Times New Roman"/>
                <w:sz w:val="16"/>
                <w:szCs w:val="16"/>
                <w:lang w:val="en-GB"/>
              </w:rPr>
            </w:pPr>
          </w:p>
        </w:tc>
        <w:tc>
          <w:tcPr>
            <w:tcW w:w="966" w:type="dxa"/>
          </w:tcPr>
          <w:p w14:paraId="53C0ACEF" w14:textId="77777777" w:rsidR="00F56E67" w:rsidRPr="00AE77D4" w:rsidRDefault="00F56E67" w:rsidP="00AE77D4">
            <w:pPr>
              <w:spacing w:line="276" w:lineRule="auto"/>
              <w:rPr>
                <w:rFonts w:ascii="Times New Roman" w:hAnsi="Times New Roman" w:cs="Times New Roman"/>
                <w:sz w:val="16"/>
                <w:szCs w:val="16"/>
                <w:lang w:val="en-GB"/>
              </w:rPr>
            </w:pPr>
          </w:p>
        </w:tc>
        <w:tc>
          <w:tcPr>
            <w:tcW w:w="918" w:type="dxa"/>
          </w:tcPr>
          <w:p w14:paraId="21B73666" w14:textId="77777777" w:rsidR="00F56E67" w:rsidRPr="00AE77D4" w:rsidRDefault="00F56E67" w:rsidP="00AE77D4">
            <w:pPr>
              <w:spacing w:line="276" w:lineRule="auto"/>
              <w:rPr>
                <w:rFonts w:ascii="Times New Roman" w:hAnsi="Times New Roman" w:cs="Times New Roman"/>
                <w:sz w:val="16"/>
                <w:szCs w:val="16"/>
                <w:lang w:val="en-GB"/>
              </w:rPr>
            </w:pPr>
          </w:p>
        </w:tc>
        <w:tc>
          <w:tcPr>
            <w:tcW w:w="1244" w:type="dxa"/>
          </w:tcPr>
          <w:p w14:paraId="0CAEBE46" w14:textId="77777777" w:rsidR="00F56E67" w:rsidRPr="00AE77D4" w:rsidRDefault="00F56E67" w:rsidP="00AE77D4">
            <w:pPr>
              <w:spacing w:line="276" w:lineRule="auto"/>
              <w:rPr>
                <w:rFonts w:ascii="Times New Roman" w:hAnsi="Times New Roman" w:cs="Times New Roman"/>
                <w:sz w:val="16"/>
                <w:szCs w:val="16"/>
                <w:lang w:val="en-GB"/>
              </w:rPr>
            </w:pPr>
          </w:p>
        </w:tc>
        <w:tc>
          <w:tcPr>
            <w:tcW w:w="993" w:type="dxa"/>
          </w:tcPr>
          <w:p w14:paraId="26C64764" w14:textId="77777777" w:rsidR="00F56E67" w:rsidRPr="00AE77D4" w:rsidRDefault="00F56E67" w:rsidP="00AE77D4">
            <w:pPr>
              <w:spacing w:line="276" w:lineRule="auto"/>
              <w:rPr>
                <w:rFonts w:ascii="Times New Roman" w:hAnsi="Times New Roman" w:cs="Times New Roman"/>
                <w:sz w:val="16"/>
                <w:szCs w:val="16"/>
                <w:lang w:val="en-GB"/>
              </w:rPr>
            </w:pPr>
          </w:p>
        </w:tc>
        <w:tc>
          <w:tcPr>
            <w:tcW w:w="1001" w:type="dxa"/>
          </w:tcPr>
          <w:p w14:paraId="1FAD978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6.72***</w:t>
            </w:r>
          </w:p>
        </w:tc>
        <w:tc>
          <w:tcPr>
            <w:tcW w:w="1115" w:type="dxa"/>
          </w:tcPr>
          <w:p w14:paraId="6199F0F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3.9***</w:t>
            </w:r>
          </w:p>
        </w:tc>
      </w:tr>
      <w:tr w:rsidR="00AE77D4" w:rsidRPr="00AE77D4" w14:paraId="02B665A4" w14:textId="77777777" w:rsidTr="003452F8">
        <w:trPr>
          <w:trHeight w:val="156"/>
        </w:trPr>
        <w:tc>
          <w:tcPr>
            <w:tcW w:w="2155" w:type="dxa"/>
            <w:gridSpan w:val="2"/>
            <w:shd w:val="clear" w:color="auto" w:fill="E7E6E6" w:themeFill="background2"/>
          </w:tcPr>
          <w:p w14:paraId="4B778F4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lastRenderedPageBreak/>
              <w:t>Control variables:</w:t>
            </w:r>
          </w:p>
        </w:tc>
        <w:tc>
          <w:tcPr>
            <w:tcW w:w="814" w:type="dxa"/>
            <w:shd w:val="clear" w:color="auto" w:fill="E7E6E6" w:themeFill="background2"/>
          </w:tcPr>
          <w:p w14:paraId="44C0A934" w14:textId="77777777" w:rsidR="00F56E67" w:rsidRPr="00AE77D4" w:rsidRDefault="00F56E67" w:rsidP="00AE77D4">
            <w:pPr>
              <w:spacing w:line="276" w:lineRule="auto"/>
              <w:rPr>
                <w:rFonts w:ascii="Times New Roman" w:hAnsi="Times New Roman" w:cs="Times New Roman"/>
                <w:sz w:val="16"/>
                <w:szCs w:val="16"/>
                <w:lang w:val="en-GB"/>
              </w:rPr>
            </w:pPr>
          </w:p>
        </w:tc>
        <w:tc>
          <w:tcPr>
            <w:tcW w:w="966" w:type="dxa"/>
            <w:shd w:val="clear" w:color="auto" w:fill="E7E6E6" w:themeFill="background2"/>
          </w:tcPr>
          <w:p w14:paraId="2E2806E2" w14:textId="77777777" w:rsidR="00F56E67" w:rsidRPr="00AE77D4" w:rsidRDefault="00F56E67" w:rsidP="00AE77D4">
            <w:pPr>
              <w:spacing w:line="276" w:lineRule="auto"/>
              <w:rPr>
                <w:rFonts w:ascii="Times New Roman" w:hAnsi="Times New Roman" w:cs="Times New Roman"/>
                <w:sz w:val="16"/>
                <w:szCs w:val="16"/>
                <w:lang w:val="en-GB"/>
              </w:rPr>
            </w:pPr>
          </w:p>
        </w:tc>
        <w:tc>
          <w:tcPr>
            <w:tcW w:w="918" w:type="dxa"/>
            <w:shd w:val="clear" w:color="auto" w:fill="E7E6E6" w:themeFill="background2"/>
          </w:tcPr>
          <w:p w14:paraId="509CE185" w14:textId="77777777" w:rsidR="00F56E67" w:rsidRPr="00AE77D4" w:rsidRDefault="00F56E67" w:rsidP="00AE77D4">
            <w:pPr>
              <w:spacing w:line="276" w:lineRule="auto"/>
              <w:rPr>
                <w:rFonts w:ascii="Times New Roman" w:hAnsi="Times New Roman" w:cs="Times New Roman"/>
                <w:sz w:val="16"/>
                <w:szCs w:val="16"/>
                <w:lang w:val="en-GB"/>
              </w:rPr>
            </w:pPr>
          </w:p>
        </w:tc>
        <w:tc>
          <w:tcPr>
            <w:tcW w:w="1244" w:type="dxa"/>
            <w:shd w:val="clear" w:color="auto" w:fill="E7E6E6" w:themeFill="background2"/>
          </w:tcPr>
          <w:p w14:paraId="2D8487DB" w14:textId="77777777" w:rsidR="00F56E67" w:rsidRPr="00AE77D4" w:rsidRDefault="00F56E67" w:rsidP="00AE77D4">
            <w:pPr>
              <w:spacing w:line="276" w:lineRule="auto"/>
              <w:rPr>
                <w:rFonts w:ascii="Times New Roman" w:hAnsi="Times New Roman" w:cs="Times New Roman"/>
                <w:sz w:val="16"/>
                <w:szCs w:val="16"/>
                <w:lang w:val="en-GB"/>
              </w:rPr>
            </w:pPr>
          </w:p>
        </w:tc>
        <w:tc>
          <w:tcPr>
            <w:tcW w:w="993" w:type="dxa"/>
            <w:shd w:val="clear" w:color="auto" w:fill="E7E6E6" w:themeFill="background2"/>
          </w:tcPr>
          <w:p w14:paraId="505C9C8C" w14:textId="77777777" w:rsidR="00F56E67" w:rsidRPr="00AE77D4" w:rsidRDefault="00F56E67" w:rsidP="00AE77D4">
            <w:pPr>
              <w:spacing w:line="276" w:lineRule="auto"/>
              <w:rPr>
                <w:rFonts w:ascii="Times New Roman" w:hAnsi="Times New Roman" w:cs="Times New Roman"/>
                <w:sz w:val="16"/>
                <w:szCs w:val="16"/>
                <w:lang w:val="en-GB"/>
              </w:rPr>
            </w:pPr>
          </w:p>
        </w:tc>
        <w:tc>
          <w:tcPr>
            <w:tcW w:w="1001" w:type="dxa"/>
            <w:shd w:val="clear" w:color="auto" w:fill="E7E6E6" w:themeFill="background2"/>
          </w:tcPr>
          <w:p w14:paraId="0BEE8559" w14:textId="77777777" w:rsidR="00F56E67" w:rsidRPr="00AE77D4" w:rsidRDefault="00F56E67" w:rsidP="00AE77D4">
            <w:pPr>
              <w:spacing w:line="276" w:lineRule="auto"/>
              <w:rPr>
                <w:rFonts w:ascii="Times New Roman" w:hAnsi="Times New Roman" w:cs="Times New Roman"/>
                <w:sz w:val="16"/>
                <w:szCs w:val="16"/>
                <w:lang w:val="en-GB"/>
              </w:rPr>
            </w:pPr>
          </w:p>
        </w:tc>
        <w:tc>
          <w:tcPr>
            <w:tcW w:w="1115" w:type="dxa"/>
            <w:shd w:val="clear" w:color="auto" w:fill="E7E6E6" w:themeFill="background2"/>
          </w:tcPr>
          <w:p w14:paraId="587E5CAE" w14:textId="77777777" w:rsidR="00F56E67" w:rsidRPr="00AE77D4" w:rsidRDefault="00F56E67" w:rsidP="00AE77D4">
            <w:pPr>
              <w:spacing w:line="276" w:lineRule="auto"/>
              <w:rPr>
                <w:rFonts w:ascii="Times New Roman" w:hAnsi="Times New Roman" w:cs="Times New Roman"/>
                <w:sz w:val="16"/>
                <w:szCs w:val="16"/>
                <w:lang w:val="en-GB"/>
              </w:rPr>
            </w:pPr>
          </w:p>
        </w:tc>
      </w:tr>
      <w:tr w:rsidR="00AE77D4" w:rsidRPr="00AE77D4" w14:paraId="7ECCC7F5" w14:textId="77777777" w:rsidTr="003452F8">
        <w:trPr>
          <w:trHeight w:val="201"/>
        </w:trPr>
        <w:tc>
          <w:tcPr>
            <w:tcW w:w="1178" w:type="dxa"/>
          </w:tcPr>
          <w:p w14:paraId="2A6603AB"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SIZE</w:t>
            </w:r>
          </w:p>
        </w:tc>
        <w:tc>
          <w:tcPr>
            <w:tcW w:w="977" w:type="dxa"/>
          </w:tcPr>
          <w:p w14:paraId="26A78EB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14" w:type="dxa"/>
          </w:tcPr>
          <w:p w14:paraId="051AD9E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66" w:type="dxa"/>
          </w:tcPr>
          <w:p w14:paraId="72270B9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18" w:type="dxa"/>
          </w:tcPr>
          <w:p w14:paraId="5EF4D6C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44" w:type="dxa"/>
          </w:tcPr>
          <w:p w14:paraId="71DF92C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93" w:type="dxa"/>
          </w:tcPr>
          <w:p w14:paraId="290F1FB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001" w:type="dxa"/>
          </w:tcPr>
          <w:p w14:paraId="444031C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15" w:type="dxa"/>
          </w:tcPr>
          <w:p w14:paraId="6DC3778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0.02*</w:t>
            </w:r>
          </w:p>
        </w:tc>
      </w:tr>
      <w:tr w:rsidR="00AE77D4" w:rsidRPr="00AE77D4" w14:paraId="343C95AA" w14:textId="77777777" w:rsidTr="003452F8">
        <w:trPr>
          <w:trHeight w:val="213"/>
        </w:trPr>
        <w:tc>
          <w:tcPr>
            <w:tcW w:w="1178" w:type="dxa"/>
            <w:shd w:val="clear" w:color="auto" w:fill="E7E6E6" w:themeFill="background2"/>
          </w:tcPr>
          <w:p w14:paraId="11200D73"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ROA</w:t>
            </w:r>
          </w:p>
        </w:tc>
        <w:tc>
          <w:tcPr>
            <w:tcW w:w="977" w:type="dxa"/>
            <w:shd w:val="clear" w:color="auto" w:fill="E7E6E6" w:themeFill="background2"/>
          </w:tcPr>
          <w:p w14:paraId="15B0A99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14" w:type="dxa"/>
            <w:shd w:val="clear" w:color="auto" w:fill="E7E6E6" w:themeFill="background2"/>
          </w:tcPr>
          <w:p w14:paraId="356754F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66" w:type="dxa"/>
            <w:shd w:val="clear" w:color="auto" w:fill="E7E6E6" w:themeFill="background2"/>
          </w:tcPr>
          <w:p w14:paraId="583316F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18" w:type="dxa"/>
            <w:shd w:val="clear" w:color="auto" w:fill="E7E6E6" w:themeFill="background2"/>
          </w:tcPr>
          <w:p w14:paraId="3B03F085"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44" w:type="dxa"/>
            <w:shd w:val="clear" w:color="auto" w:fill="E7E6E6" w:themeFill="background2"/>
          </w:tcPr>
          <w:p w14:paraId="212EF76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93" w:type="dxa"/>
            <w:shd w:val="clear" w:color="auto" w:fill="E7E6E6" w:themeFill="background2"/>
          </w:tcPr>
          <w:p w14:paraId="21D6298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001" w:type="dxa"/>
            <w:shd w:val="clear" w:color="auto" w:fill="E7E6E6" w:themeFill="background2"/>
          </w:tcPr>
          <w:p w14:paraId="3002C96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15" w:type="dxa"/>
            <w:shd w:val="clear" w:color="auto" w:fill="E7E6E6" w:themeFill="background2"/>
          </w:tcPr>
          <w:p w14:paraId="75F4325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4.3**</w:t>
            </w:r>
          </w:p>
        </w:tc>
      </w:tr>
      <w:tr w:rsidR="00AE77D4" w:rsidRPr="00AE77D4" w14:paraId="4A39E63C" w14:textId="77777777" w:rsidTr="003452F8">
        <w:trPr>
          <w:trHeight w:val="201"/>
        </w:trPr>
        <w:tc>
          <w:tcPr>
            <w:tcW w:w="1178" w:type="dxa"/>
          </w:tcPr>
          <w:p w14:paraId="1346750D"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LEV</w:t>
            </w:r>
          </w:p>
        </w:tc>
        <w:tc>
          <w:tcPr>
            <w:tcW w:w="977" w:type="dxa"/>
          </w:tcPr>
          <w:p w14:paraId="1105227B"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14" w:type="dxa"/>
          </w:tcPr>
          <w:p w14:paraId="0D08895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66" w:type="dxa"/>
          </w:tcPr>
          <w:p w14:paraId="1B89EBC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18" w:type="dxa"/>
          </w:tcPr>
          <w:p w14:paraId="15281AD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44" w:type="dxa"/>
          </w:tcPr>
          <w:p w14:paraId="3E99D417"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93" w:type="dxa"/>
          </w:tcPr>
          <w:p w14:paraId="2E6A3C1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001" w:type="dxa"/>
          </w:tcPr>
          <w:p w14:paraId="3C91027F"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15" w:type="dxa"/>
          </w:tcPr>
          <w:p w14:paraId="2219937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-1.9</w:t>
            </w:r>
          </w:p>
        </w:tc>
      </w:tr>
      <w:tr w:rsidR="00AE77D4" w:rsidRPr="00AE77D4" w14:paraId="75CC6DAE" w14:textId="77777777" w:rsidTr="003452F8">
        <w:trPr>
          <w:trHeight w:val="404"/>
        </w:trPr>
        <w:tc>
          <w:tcPr>
            <w:tcW w:w="1178" w:type="dxa"/>
            <w:shd w:val="clear" w:color="auto" w:fill="E7E6E6" w:themeFill="background2"/>
          </w:tcPr>
          <w:p w14:paraId="2A426EA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Year fixed effect</w:t>
            </w:r>
          </w:p>
        </w:tc>
        <w:tc>
          <w:tcPr>
            <w:tcW w:w="977" w:type="dxa"/>
            <w:shd w:val="clear" w:color="auto" w:fill="E7E6E6" w:themeFill="background2"/>
          </w:tcPr>
          <w:p w14:paraId="519AE05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14" w:type="dxa"/>
            <w:shd w:val="clear" w:color="auto" w:fill="E7E6E6" w:themeFill="background2"/>
          </w:tcPr>
          <w:p w14:paraId="3D9E53BC"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66" w:type="dxa"/>
            <w:shd w:val="clear" w:color="auto" w:fill="E7E6E6" w:themeFill="background2"/>
          </w:tcPr>
          <w:p w14:paraId="7DFF281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18" w:type="dxa"/>
            <w:shd w:val="clear" w:color="auto" w:fill="E7E6E6" w:themeFill="background2"/>
          </w:tcPr>
          <w:p w14:paraId="40B2D20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44" w:type="dxa"/>
            <w:shd w:val="clear" w:color="auto" w:fill="E7E6E6" w:themeFill="background2"/>
          </w:tcPr>
          <w:p w14:paraId="27311DC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93" w:type="dxa"/>
            <w:shd w:val="clear" w:color="auto" w:fill="E7E6E6" w:themeFill="background2"/>
          </w:tcPr>
          <w:p w14:paraId="224F579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001" w:type="dxa"/>
            <w:shd w:val="clear" w:color="auto" w:fill="E7E6E6" w:themeFill="background2"/>
          </w:tcPr>
          <w:p w14:paraId="58DF497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15" w:type="dxa"/>
            <w:shd w:val="clear" w:color="auto" w:fill="E7E6E6" w:themeFill="background2"/>
          </w:tcPr>
          <w:p w14:paraId="09113FE2"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r>
      <w:tr w:rsidR="00AE77D4" w:rsidRPr="00AE77D4" w14:paraId="0035D742" w14:textId="77777777" w:rsidTr="003452F8">
        <w:trPr>
          <w:trHeight w:val="404"/>
        </w:trPr>
        <w:tc>
          <w:tcPr>
            <w:tcW w:w="1178" w:type="dxa"/>
            <w:shd w:val="clear" w:color="auto" w:fill="E7E6E6" w:themeFill="background2"/>
          </w:tcPr>
          <w:p w14:paraId="3E98AF5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Industry effect</w:t>
            </w:r>
          </w:p>
        </w:tc>
        <w:tc>
          <w:tcPr>
            <w:tcW w:w="977" w:type="dxa"/>
            <w:shd w:val="clear" w:color="auto" w:fill="E7E6E6" w:themeFill="background2"/>
          </w:tcPr>
          <w:p w14:paraId="028B4B2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14" w:type="dxa"/>
            <w:shd w:val="clear" w:color="auto" w:fill="E7E6E6" w:themeFill="background2"/>
          </w:tcPr>
          <w:p w14:paraId="34CE4FD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66" w:type="dxa"/>
            <w:shd w:val="clear" w:color="auto" w:fill="E7E6E6" w:themeFill="background2"/>
          </w:tcPr>
          <w:p w14:paraId="69D9A194"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18" w:type="dxa"/>
            <w:shd w:val="clear" w:color="auto" w:fill="E7E6E6" w:themeFill="background2"/>
          </w:tcPr>
          <w:p w14:paraId="5D189DA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44" w:type="dxa"/>
            <w:shd w:val="clear" w:color="auto" w:fill="E7E6E6" w:themeFill="background2"/>
          </w:tcPr>
          <w:p w14:paraId="146414C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93" w:type="dxa"/>
            <w:shd w:val="clear" w:color="auto" w:fill="E7E6E6" w:themeFill="background2"/>
          </w:tcPr>
          <w:p w14:paraId="5E7E410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001" w:type="dxa"/>
            <w:shd w:val="clear" w:color="auto" w:fill="E7E6E6" w:themeFill="background2"/>
          </w:tcPr>
          <w:p w14:paraId="2C928E5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15" w:type="dxa"/>
            <w:shd w:val="clear" w:color="auto" w:fill="E7E6E6" w:themeFill="background2"/>
          </w:tcPr>
          <w:p w14:paraId="0D6BEB7D"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r>
      <w:tr w:rsidR="00AE77D4" w:rsidRPr="00AE77D4" w14:paraId="78BF5CF1" w14:textId="77777777" w:rsidTr="003452F8">
        <w:trPr>
          <w:trHeight w:val="201"/>
        </w:trPr>
        <w:tc>
          <w:tcPr>
            <w:tcW w:w="1178" w:type="dxa"/>
            <w:shd w:val="clear" w:color="auto" w:fill="E7E6E6" w:themeFill="background2"/>
          </w:tcPr>
          <w:p w14:paraId="2C8F9EF9" w14:textId="77777777" w:rsidR="00F56E67"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rPr>
              <w:t>No of firm year obs.</w:t>
            </w:r>
          </w:p>
        </w:tc>
        <w:tc>
          <w:tcPr>
            <w:tcW w:w="977" w:type="dxa"/>
            <w:shd w:val="clear" w:color="auto" w:fill="E7E6E6" w:themeFill="background2"/>
          </w:tcPr>
          <w:p w14:paraId="1CD27F7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800</w:t>
            </w:r>
          </w:p>
        </w:tc>
        <w:tc>
          <w:tcPr>
            <w:tcW w:w="814" w:type="dxa"/>
            <w:shd w:val="clear" w:color="auto" w:fill="E7E6E6" w:themeFill="background2"/>
          </w:tcPr>
          <w:p w14:paraId="526FD0C4"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66" w:type="dxa"/>
            <w:shd w:val="clear" w:color="auto" w:fill="E7E6E6" w:themeFill="background2"/>
          </w:tcPr>
          <w:p w14:paraId="26A8CA51"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18" w:type="dxa"/>
            <w:shd w:val="clear" w:color="auto" w:fill="E7E6E6" w:themeFill="background2"/>
          </w:tcPr>
          <w:p w14:paraId="34665A78"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1244" w:type="dxa"/>
            <w:shd w:val="clear" w:color="auto" w:fill="E7E6E6" w:themeFill="background2"/>
          </w:tcPr>
          <w:p w14:paraId="55A98DA7"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93" w:type="dxa"/>
            <w:shd w:val="clear" w:color="auto" w:fill="E7E6E6" w:themeFill="background2"/>
          </w:tcPr>
          <w:p w14:paraId="64AC1443"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1001" w:type="dxa"/>
            <w:shd w:val="clear" w:color="auto" w:fill="E7E6E6" w:themeFill="background2"/>
          </w:tcPr>
          <w:p w14:paraId="38922AF4"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1115" w:type="dxa"/>
            <w:shd w:val="clear" w:color="auto" w:fill="E7E6E6" w:themeFill="background2"/>
          </w:tcPr>
          <w:p w14:paraId="5A869999" w14:textId="77777777" w:rsidR="00F56E67"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r>
      <w:tr w:rsidR="00AE77D4" w:rsidRPr="00AE77D4" w14:paraId="46BF0BF9" w14:textId="77777777" w:rsidTr="003452F8">
        <w:trPr>
          <w:trHeight w:val="213"/>
        </w:trPr>
        <w:tc>
          <w:tcPr>
            <w:tcW w:w="1178" w:type="dxa"/>
          </w:tcPr>
          <w:p w14:paraId="605D8C00"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 xml:space="preserve">R2 </w:t>
            </w:r>
          </w:p>
        </w:tc>
        <w:tc>
          <w:tcPr>
            <w:tcW w:w="977" w:type="dxa"/>
          </w:tcPr>
          <w:p w14:paraId="7FD0BEFA"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0.01</w:t>
            </w:r>
          </w:p>
        </w:tc>
        <w:tc>
          <w:tcPr>
            <w:tcW w:w="814" w:type="dxa"/>
          </w:tcPr>
          <w:p w14:paraId="063B7B01"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0.02</w:t>
            </w:r>
          </w:p>
        </w:tc>
        <w:tc>
          <w:tcPr>
            <w:tcW w:w="966" w:type="dxa"/>
          </w:tcPr>
          <w:p w14:paraId="32EA8458"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0.01</w:t>
            </w:r>
          </w:p>
        </w:tc>
        <w:tc>
          <w:tcPr>
            <w:tcW w:w="918" w:type="dxa"/>
          </w:tcPr>
          <w:p w14:paraId="69E3F98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0.02</w:t>
            </w:r>
          </w:p>
        </w:tc>
        <w:tc>
          <w:tcPr>
            <w:tcW w:w="1244" w:type="dxa"/>
          </w:tcPr>
          <w:p w14:paraId="69E8E73E"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0.02</w:t>
            </w:r>
          </w:p>
        </w:tc>
        <w:tc>
          <w:tcPr>
            <w:tcW w:w="993" w:type="dxa"/>
          </w:tcPr>
          <w:p w14:paraId="26FC13A3"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0.03</w:t>
            </w:r>
          </w:p>
        </w:tc>
        <w:tc>
          <w:tcPr>
            <w:tcW w:w="1001" w:type="dxa"/>
          </w:tcPr>
          <w:p w14:paraId="2F8A0D16"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0.06</w:t>
            </w:r>
          </w:p>
        </w:tc>
        <w:tc>
          <w:tcPr>
            <w:tcW w:w="1115" w:type="dxa"/>
          </w:tcPr>
          <w:p w14:paraId="5E24D9A9" w14:textId="77777777" w:rsidR="00F56E67"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0.016</w:t>
            </w:r>
          </w:p>
        </w:tc>
      </w:tr>
      <w:tr w:rsidR="00AB775B" w:rsidRPr="00AE77D4" w14:paraId="3CF95FC5" w14:textId="77777777" w:rsidTr="003452F8">
        <w:trPr>
          <w:trHeight w:val="213"/>
        </w:trPr>
        <w:tc>
          <w:tcPr>
            <w:tcW w:w="9206" w:type="dxa"/>
            <w:gridSpan w:val="9"/>
          </w:tcPr>
          <w:p w14:paraId="2A3B38A8" w14:textId="1D1A16C4" w:rsidR="00F56E67" w:rsidRPr="00AE77D4" w:rsidRDefault="00661A05" w:rsidP="00AE77D4">
            <w:pPr>
              <w:autoSpaceDE w:val="0"/>
              <w:autoSpaceDN w:val="0"/>
              <w:adjustRightInd w:val="0"/>
              <w:spacing w:line="276" w:lineRule="auto"/>
              <w:rPr>
                <w:rFonts w:ascii="Times New Roman" w:hAnsi="Times New Roman" w:cs="Times New Roman"/>
                <w:b/>
                <w:bCs/>
                <w:sz w:val="24"/>
                <w:szCs w:val="24"/>
                <w:lang w:val="en-GB"/>
              </w:rPr>
            </w:pPr>
            <w:r w:rsidRPr="00AE77D4">
              <w:rPr>
                <w:rFonts w:ascii="Times New Roman" w:hAnsi="Times New Roman" w:cs="Times New Roman"/>
                <w:sz w:val="16"/>
                <w:szCs w:val="16"/>
                <w:lang w:val="en-GB"/>
              </w:rPr>
              <w:t>Notes: (1) *, **, *** significance at 10%, 5%, and 1% levels of confidence, respectively. (2) See Table 2 for variable definitions.</w:t>
            </w:r>
          </w:p>
        </w:tc>
      </w:tr>
    </w:tbl>
    <w:p w14:paraId="3E4C52E5" w14:textId="77777777" w:rsidR="00E134CB" w:rsidRPr="00AE77D4" w:rsidRDefault="00E134CB" w:rsidP="00AE77D4">
      <w:pPr>
        <w:autoSpaceDE w:val="0"/>
        <w:autoSpaceDN w:val="0"/>
        <w:adjustRightInd w:val="0"/>
        <w:spacing w:line="276" w:lineRule="auto"/>
        <w:jc w:val="both"/>
        <w:rPr>
          <w:rFonts w:ascii="Times New Roman" w:hAnsi="Times New Roman" w:cs="Times New Roman"/>
          <w:sz w:val="24"/>
          <w:szCs w:val="24"/>
          <w:lang w:val="en-GB"/>
        </w:rPr>
      </w:pPr>
    </w:p>
    <w:p w14:paraId="0C9743CA" w14:textId="77DBEE78" w:rsidR="00AD7CDB" w:rsidRPr="00AE77D4" w:rsidRDefault="00661A05" w:rsidP="00AE77D4">
      <w:pPr>
        <w:spacing w:after="0" w:line="276" w:lineRule="auto"/>
        <w:jc w:val="both"/>
        <w:rPr>
          <w:rFonts w:ascii="Times New Roman" w:hAnsi="Times New Roman" w:cs="Times New Roman"/>
          <w:b/>
          <w:bCs/>
          <w:sz w:val="24"/>
          <w:szCs w:val="24"/>
          <w:lang w:val="en-GB"/>
        </w:rPr>
      </w:pPr>
      <w:r w:rsidRPr="00AE77D4">
        <w:rPr>
          <w:rFonts w:ascii="Times New Roman" w:hAnsi="Times New Roman" w:cs="Times New Roman"/>
          <w:b/>
          <w:bCs/>
          <w:sz w:val="24"/>
          <w:szCs w:val="24"/>
          <w:lang w:val="en-GB"/>
        </w:rPr>
        <w:t>6.</w:t>
      </w:r>
      <w:r w:rsidR="009E5B72" w:rsidRPr="00AE77D4">
        <w:rPr>
          <w:rFonts w:ascii="Times New Roman" w:hAnsi="Times New Roman" w:cs="Times New Roman"/>
          <w:b/>
          <w:bCs/>
          <w:sz w:val="24"/>
          <w:szCs w:val="24"/>
          <w:lang w:val="en-GB"/>
        </w:rPr>
        <w:t>3</w:t>
      </w:r>
      <w:r w:rsidRPr="00AE77D4">
        <w:rPr>
          <w:rFonts w:ascii="Times New Roman" w:hAnsi="Times New Roman" w:cs="Times New Roman"/>
          <w:b/>
          <w:bCs/>
          <w:sz w:val="24"/>
          <w:szCs w:val="24"/>
          <w:lang w:val="en-GB"/>
        </w:rPr>
        <w:t xml:space="preserve"> </w:t>
      </w:r>
      <w:r w:rsidR="000B0F8A" w:rsidRPr="00AE77D4">
        <w:rPr>
          <w:rFonts w:ascii="Times New Roman" w:hAnsi="Times New Roman" w:cs="Times New Roman"/>
          <w:b/>
          <w:sz w:val="24"/>
          <w:szCs w:val="24"/>
          <w:lang w:val="en-GB"/>
        </w:rPr>
        <w:t xml:space="preserve">| </w:t>
      </w:r>
      <w:r w:rsidR="00AB5658" w:rsidRPr="00AE77D4">
        <w:rPr>
          <w:rFonts w:ascii="Times New Roman" w:hAnsi="Times New Roman" w:cs="Times New Roman"/>
          <w:b/>
          <w:bCs/>
          <w:sz w:val="24"/>
          <w:szCs w:val="24"/>
          <w:lang w:val="en-GB"/>
        </w:rPr>
        <w:t>Robustness Tests</w:t>
      </w:r>
    </w:p>
    <w:p w14:paraId="46A91CBC" w14:textId="77777777" w:rsidR="002418E3" w:rsidRPr="00AE77D4" w:rsidRDefault="00661A05" w:rsidP="00AE77D4">
      <w:pPr>
        <w:spacing w:after="0"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S</w:t>
      </w:r>
      <w:r w:rsidR="00736B43" w:rsidRPr="00AE77D4">
        <w:rPr>
          <w:rFonts w:ascii="Times New Roman" w:hAnsi="Times New Roman" w:cs="Times New Roman"/>
          <w:sz w:val="24"/>
          <w:szCs w:val="24"/>
          <w:lang w:val="en-GB"/>
        </w:rPr>
        <w:t xml:space="preserve">everal </w:t>
      </w:r>
      <w:r w:rsidRPr="00AE77D4">
        <w:rPr>
          <w:rFonts w:ascii="Times New Roman" w:hAnsi="Times New Roman" w:cs="Times New Roman"/>
          <w:sz w:val="24"/>
          <w:szCs w:val="24"/>
          <w:lang w:val="en-GB"/>
        </w:rPr>
        <w:t>robustness checks were conducted to ensure the consistency and stability of our results.</w:t>
      </w:r>
    </w:p>
    <w:p w14:paraId="0643264A" w14:textId="778BD654" w:rsidR="00E134CB" w:rsidRPr="00AE77D4" w:rsidRDefault="00661A05" w:rsidP="00AE77D4">
      <w:pPr>
        <w:spacing w:after="0" w:line="276" w:lineRule="auto"/>
        <w:jc w:val="both"/>
        <w:rPr>
          <w:rFonts w:ascii="Times New Roman" w:hAnsi="Times New Roman" w:cs="Times New Roman"/>
          <w:sz w:val="24"/>
          <w:szCs w:val="24"/>
          <w:lang w:val="en-GB"/>
        </w:rPr>
      </w:pPr>
      <w:r w:rsidRPr="00AE77D4">
        <w:rPr>
          <w:rFonts w:ascii="Times New Roman" w:hAnsi="Times New Roman" w:cs="Times New Roman"/>
          <w:i/>
          <w:iCs/>
          <w:sz w:val="24"/>
          <w:szCs w:val="24"/>
          <w:lang w:val="en-GB"/>
        </w:rPr>
        <w:t>6.3.1</w:t>
      </w:r>
      <w:r w:rsidR="00D727EA" w:rsidRPr="00AE77D4">
        <w:rPr>
          <w:rFonts w:ascii="Times New Roman" w:hAnsi="Times New Roman" w:cs="Times New Roman"/>
          <w:b/>
          <w:bCs/>
          <w:sz w:val="24"/>
          <w:szCs w:val="24"/>
          <w:lang w:val="en-GB"/>
        </w:rPr>
        <w:t xml:space="preserve"> </w:t>
      </w:r>
      <w:r w:rsidR="00D727EA" w:rsidRPr="00AE77D4">
        <w:rPr>
          <w:rFonts w:ascii="Times New Roman" w:hAnsi="Times New Roman" w:cs="Times New Roman"/>
          <w:b/>
          <w:sz w:val="24"/>
          <w:szCs w:val="24"/>
          <w:lang w:val="en-GB"/>
        </w:rPr>
        <w:t xml:space="preserve">| </w:t>
      </w:r>
      <w:r w:rsidR="000E4057" w:rsidRPr="00AE77D4">
        <w:rPr>
          <w:rFonts w:ascii="Times New Roman" w:hAnsi="Times New Roman" w:cs="Times New Roman"/>
          <w:i/>
          <w:iCs/>
          <w:sz w:val="24"/>
          <w:szCs w:val="24"/>
          <w:lang w:val="en-GB"/>
        </w:rPr>
        <w:t>Alternative Definition of CCD</w:t>
      </w:r>
      <w:r w:rsidRPr="00AE77D4">
        <w:rPr>
          <w:rFonts w:ascii="Times New Roman" w:hAnsi="Times New Roman" w:cs="Times New Roman"/>
          <w:i/>
          <w:iCs/>
          <w:sz w:val="24"/>
          <w:szCs w:val="24"/>
          <w:lang w:val="en-GB"/>
        </w:rPr>
        <w:t>:</w:t>
      </w:r>
      <w:r w:rsidRPr="00AE77D4">
        <w:rPr>
          <w:rFonts w:ascii="Times New Roman" w:hAnsi="Times New Roman" w:cs="Times New Roman"/>
          <w:sz w:val="24"/>
          <w:szCs w:val="24"/>
          <w:lang w:val="en-GB"/>
        </w:rPr>
        <w:t xml:space="preserve"> </w:t>
      </w:r>
      <w:r w:rsidR="00E16ECD" w:rsidRPr="00AE77D4">
        <w:rPr>
          <w:rFonts w:ascii="Times New Roman" w:hAnsi="Times New Roman" w:cs="Times New Roman"/>
          <w:sz w:val="24"/>
          <w:szCs w:val="24"/>
          <w:lang w:val="en-GB"/>
        </w:rPr>
        <w:t>As part of a robustness check, we sought to replicate our initial findings presented in Table 7 by substituting the quantitative measure (CCD index) with its alternative (CCD word count) (Ntim et al., 2013). The detailed results of this analysis are listed in Table 8. Importantly, the results in Table 8 confirm the original findings. This consistency not only emphasizes the resilience of our dataset</w:t>
      </w:r>
      <w:r w:rsidRPr="00AE77D4">
        <w:rPr>
          <w:rFonts w:ascii="Times New Roman" w:eastAsia="Calibri" w:hAnsi="Times New Roman" w:cs="Times New Roman"/>
          <w:sz w:val="24"/>
          <w:szCs w:val="24"/>
          <w:lang w:val="en-GB"/>
        </w:rPr>
        <w:t xml:space="preserve">, but also highlights the stability of our conclusions, demonstrating that our findings hold true whether utilizing a qualitative measure (disclosure indices) or a quantitative measure (word counts) to assess Climate Change Disclosure (CCD) practices. This robustness check </w:t>
      </w:r>
      <w:r w:rsidR="00E16ECD" w:rsidRPr="00AE77D4">
        <w:rPr>
          <w:rFonts w:ascii="Times New Roman" w:hAnsi="Times New Roman" w:cs="Times New Roman"/>
          <w:sz w:val="24"/>
          <w:szCs w:val="24"/>
          <w:lang w:val="en-GB"/>
        </w:rPr>
        <w:t>replicates our original study results by adding an extra layer of confidence to the reliability and validity of our findings.</w:t>
      </w:r>
    </w:p>
    <w:p w14:paraId="2D4293D3" w14:textId="77777777" w:rsidR="001B4EFA" w:rsidRPr="00AE77D4" w:rsidRDefault="001B4EFA" w:rsidP="00AE77D4">
      <w:pPr>
        <w:spacing w:after="0" w:line="276" w:lineRule="auto"/>
        <w:jc w:val="both"/>
        <w:rPr>
          <w:rFonts w:ascii="Times New Roman" w:hAnsi="Times New Roman" w:cs="Times New Roman"/>
          <w:sz w:val="24"/>
          <w:szCs w:val="24"/>
          <w:lang w:val="en-GB"/>
        </w:rPr>
      </w:pPr>
    </w:p>
    <w:tbl>
      <w:tblPr>
        <w:tblStyle w:val="TableGrid1"/>
        <w:tblW w:w="91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985"/>
        <w:gridCol w:w="821"/>
        <w:gridCol w:w="974"/>
        <w:gridCol w:w="925"/>
        <w:gridCol w:w="1254"/>
        <w:gridCol w:w="1002"/>
        <w:gridCol w:w="894"/>
        <w:gridCol w:w="1149"/>
      </w:tblGrid>
      <w:tr w:rsidR="00AE77D4" w:rsidRPr="00AE77D4" w14:paraId="41ED739A" w14:textId="77777777" w:rsidTr="001F0BF3">
        <w:trPr>
          <w:trHeight w:val="467"/>
        </w:trPr>
        <w:tc>
          <w:tcPr>
            <w:tcW w:w="9192" w:type="dxa"/>
            <w:gridSpan w:val="9"/>
            <w:tcBorders>
              <w:top w:val="single" w:sz="4" w:space="0" w:color="auto"/>
              <w:bottom w:val="single" w:sz="4" w:space="0" w:color="auto"/>
            </w:tcBorders>
            <w:shd w:val="clear" w:color="auto" w:fill="auto"/>
          </w:tcPr>
          <w:p w14:paraId="051641F8" w14:textId="4FC6F281" w:rsidR="00E43EB2" w:rsidRPr="00AE77D4" w:rsidRDefault="00661A05" w:rsidP="00AE77D4">
            <w:pPr>
              <w:spacing w:line="276" w:lineRule="auto"/>
              <w:rPr>
                <w:rFonts w:ascii="Times New Roman" w:hAnsi="Times New Roman" w:cs="Times New Roman"/>
                <w:noProof/>
                <w:sz w:val="16"/>
                <w:szCs w:val="16"/>
                <w:lang w:val="en-GB"/>
              </w:rPr>
            </w:pPr>
            <w:r w:rsidRPr="00AE77D4">
              <w:rPr>
                <w:rFonts w:ascii="Times New Roman" w:hAnsi="Times New Roman" w:cs="Times New Roman"/>
                <w:b/>
                <w:sz w:val="24"/>
                <w:szCs w:val="24"/>
                <w:lang w:val="en-GB"/>
              </w:rPr>
              <w:t>Table 8.</w:t>
            </w:r>
            <w:r w:rsidRPr="00AE77D4">
              <w:rPr>
                <w:rFonts w:ascii="Times New Roman" w:hAnsi="Times New Roman" w:cs="Times New Roman"/>
                <w:sz w:val="24"/>
                <w:szCs w:val="24"/>
                <w:lang w:val="en-GB"/>
              </w:rPr>
              <w:t xml:space="preserve">  The influence of board characteristics on climate change disclosure practices based on word count</w:t>
            </w:r>
          </w:p>
        </w:tc>
      </w:tr>
      <w:tr w:rsidR="00AE77D4" w:rsidRPr="00AE77D4" w14:paraId="396BD126" w14:textId="77777777" w:rsidTr="001F0BF3">
        <w:trPr>
          <w:trHeight w:val="467"/>
        </w:trPr>
        <w:tc>
          <w:tcPr>
            <w:tcW w:w="1188" w:type="dxa"/>
            <w:tcBorders>
              <w:top w:val="single" w:sz="4" w:space="0" w:color="auto"/>
              <w:bottom w:val="single" w:sz="4" w:space="0" w:color="auto"/>
            </w:tcBorders>
            <w:shd w:val="clear" w:color="auto" w:fill="E7E6E6" w:themeFill="background2"/>
          </w:tcPr>
          <w:p w14:paraId="4D78B0BD"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Dep. variable</w:t>
            </w:r>
          </w:p>
        </w:tc>
        <w:tc>
          <w:tcPr>
            <w:tcW w:w="985" w:type="dxa"/>
            <w:tcBorders>
              <w:top w:val="single" w:sz="4" w:space="0" w:color="auto"/>
              <w:bottom w:val="single" w:sz="4" w:space="0" w:color="auto"/>
            </w:tcBorders>
            <w:shd w:val="clear" w:color="auto" w:fill="E7E6E6" w:themeFill="background2"/>
          </w:tcPr>
          <w:p w14:paraId="2A211BAD"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CCDW </w:t>
            </w:r>
          </w:p>
        </w:tc>
        <w:tc>
          <w:tcPr>
            <w:tcW w:w="821" w:type="dxa"/>
            <w:tcBorders>
              <w:top w:val="single" w:sz="4" w:space="0" w:color="auto"/>
              <w:bottom w:val="single" w:sz="4" w:space="0" w:color="auto"/>
            </w:tcBorders>
            <w:shd w:val="clear" w:color="auto" w:fill="E7E6E6" w:themeFill="background2"/>
          </w:tcPr>
          <w:p w14:paraId="532F8D98"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CCDW </w:t>
            </w:r>
          </w:p>
        </w:tc>
        <w:tc>
          <w:tcPr>
            <w:tcW w:w="974" w:type="dxa"/>
            <w:tcBorders>
              <w:top w:val="single" w:sz="4" w:space="0" w:color="auto"/>
              <w:bottom w:val="single" w:sz="4" w:space="0" w:color="auto"/>
            </w:tcBorders>
            <w:shd w:val="clear" w:color="auto" w:fill="E7E6E6" w:themeFill="background2"/>
          </w:tcPr>
          <w:p w14:paraId="6257E093"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CCDW </w:t>
            </w:r>
          </w:p>
        </w:tc>
        <w:tc>
          <w:tcPr>
            <w:tcW w:w="925" w:type="dxa"/>
            <w:tcBorders>
              <w:top w:val="single" w:sz="4" w:space="0" w:color="auto"/>
              <w:bottom w:val="single" w:sz="4" w:space="0" w:color="auto"/>
            </w:tcBorders>
            <w:shd w:val="clear" w:color="auto" w:fill="E7E6E6" w:themeFill="background2"/>
          </w:tcPr>
          <w:p w14:paraId="604F57DE"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CCDW </w:t>
            </w:r>
          </w:p>
        </w:tc>
        <w:tc>
          <w:tcPr>
            <w:tcW w:w="1254" w:type="dxa"/>
            <w:tcBorders>
              <w:top w:val="single" w:sz="4" w:space="0" w:color="auto"/>
              <w:bottom w:val="single" w:sz="4" w:space="0" w:color="auto"/>
            </w:tcBorders>
            <w:shd w:val="clear" w:color="auto" w:fill="E7E6E6" w:themeFill="background2"/>
          </w:tcPr>
          <w:p w14:paraId="5EEAD223"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CCDW </w:t>
            </w:r>
          </w:p>
        </w:tc>
        <w:tc>
          <w:tcPr>
            <w:tcW w:w="1002" w:type="dxa"/>
            <w:tcBorders>
              <w:top w:val="single" w:sz="4" w:space="0" w:color="auto"/>
              <w:bottom w:val="single" w:sz="4" w:space="0" w:color="auto"/>
            </w:tcBorders>
            <w:shd w:val="clear" w:color="auto" w:fill="E7E6E6" w:themeFill="background2"/>
          </w:tcPr>
          <w:p w14:paraId="718C7788"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CCDW </w:t>
            </w:r>
          </w:p>
        </w:tc>
        <w:tc>
          <w:tcPr>
            <w:tcW w:w="894" w:type="dxa"/>
            <w:tcBorders>
              <w:top w:val="single" w:sz="4" w:space="0" w:color="auto"/>
              <w:bottom w:val="single" w:sz="4" w:space="0" w:color="auto"/>
            </w:tcBorders>
            <w:shd w:val="clear" w:color="auto" w:fill="E7E6E6" w:themeFill="background2"/>
          </w:tcPr>
          <w:p w14:paraId="34D28F0C"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CCDW </w:t>
            </w:r>
          </w:p>
        </w:tc>
        <w:tc>
          <w:tcPr>
            <w:tcW w:w="1149" w:type="dxa"/>
            <w:tcBorders>
              <w:top w:val="single" w:sz="4" w:space="0" w:color="auto"/>
              <w:bottom w:val="single" w:sz="4" w:space="0" w:color="auto"/>
            </w:tcBorders>
            <w:shd w:val="clear" w:color="auto" w:fill="E7E6E6" w:themeFill="background2"/>
          </w:tcPr>
          <w:p w14:paraId="0CC695C1"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noProof/>
                <w:sz w:val="16"/>
                <w:szCs w:val="16"/>
                <w:lang w:val="en-GB"/>
              </w:rPr>
              <w:t xml:space="preserve">CCDW </w:t>
            </w:r>
          </w:p>
        </w:tc>
      </w:tr>
      <w:tr w:rsidR="00AE77D4" w:rsidRPr="00AE77D4" w14:paraId="41E6DE05" w14:textId="77777777" w:rsidTr="001F0BF3">
        <w:trPr>
          <w:trHeight w:val="225"/>
        </w:trPr>
        <w:tc>
          <w:tcPr>
            <w:tcW w:w="1188" w:type="dxa"/>
            <w:tcBorders>
              <w:top w:val="single" w:sz="4" w:space="0" w:color="auto"/>
              <w:bottom w:val="single" w:sz="4" w:space="0" w:color="auto"/>
            </w:tcBorders>
          </w:tcPr>
          <w:p w14:paraId="784375F1"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Model</w:t>
            </w:r>
          </w:p>
        </w:tc>
        <w:tc>
          <w:tcPr>
            <w:tcW w:w="985" w:type="dxa"/>
            <w:tcBorders>
              <w:top w:val="single" w:sz="4" w:space="0" w:color="auto"/>
              <w:bottom w:val="single" w:sz="4" w:space="0" w:color="auto"/>
            </w:tcBorders>
          </w:tcPr>
          <w:p w14:paraId="4F10A845"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w:t>
            </w:r>
          </w:p>
        </w:tc>
        <w:tc>
          <w:tcPr>
            <w:tcW w:w="821" w:type="dxa"/>
            <w:tcBorders>
              <w:top w:val="single" w:sz="4" w:space="0" w:color="auto"/>
              <w:bottom w:val="single" w:sz="4" w:space="0" w:color="auto"/>
            </w:tcBorders>
          </w:tcPr>
          <w:p w14:paraId="4D14335C"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(2)</w:t>
            </w:r>
          </w:p>
        </w:tc>
        <w:tc>
          <w:tcPr>
            <w:tcW w:w="974" w:type="dxa"/>
            <w:tcBorders>
              <w:top w:val="single" w:sz="4" w:space="0" w:color="auto"/>
              <w:bottom w:val="single" w:sz="4" w:space="0" w:color="auto"/>
            </w:tcBorders>
          </w:tcPr>
          <w:p w14:paraId="1B033787"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(3)</w:t>
            </w:r>
          </w:p>
        </w:tc>
        <w:tc>
          <w:tcPr>
            <w:tcW w:w="925" w:type="dxa"/>
            <w:tcBorders>
              <w:top w:val="single" w:sz="4" w:space="0" w:color="auto"/>
              <w:bottom w:val="single" w:sz="4" w:space="0" w:color="auto"/>
            </w:tcBorders>
          </w:tcPr>
          <w:p w14:paraId="6575E71E"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(4)</w:t>
            </w:r>
          </w:p>
        </w:tc>
        <w:tc>
          <w:tcPr>
            <w:tcW w:w="1254" w:type="dxa"/>
            <w:tcBorders>
              <w:top w:val="single" w:sz="4" w:space="0" w:color="auto"/>
              <w:bottom w:val="single" w:sz="4" w:space="0" w:color="auto"/>
            </w:tcBorders>
          </w:tcPr>
          <w:p w14:paraId="77306920"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(5)</w:t>
            </w:r>
          </w:p>
        </w:tc>
        <w:tc>
          <w:tcPr>
            <w:tcW w:w="1002" w:type="dxa"/>
            <w:tcBorders>
              <w:top w:val="single" w:sz="4" w:space="0" w:color="auto"/>
              <w:bottom w:val="single" w:sz="4" w:space="0" w:color="auto"/>
            </w:tcBorders>
          </w:tcPr>
          <w:p w14:paraId="173DDACD"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(6)</w:t>
            </w:r>
          </w:p>
        </w:tc>
        <w:tc>
          <w:tcPr>
            <w:tcW w:w="894" w:type="dxa"/>
            <w:tcBorders>
              <w:top w:val="single" w:sz="4" w:space="0" w:color="auto"/>
              <w:bottom w:val="single" w:sz="4" w:space="0" w:color="auto"/>
            </w:tcBorders>
          </w:tcPr>
          <w:p w14:paraId="3AFFACC9"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(7)</w:t>
            </w:r>
          </w:p>
        </w:tc>
        <w:tc>
          <w:tcPr>
            <w:tcW w:w="1149" w:type="dxa"/>
            <w:tcBorders>
              <w:top w:val="single" w:sz="4" w:space="0" w:color="auto"/>
              <w:bottom w:val="single" w:sz="4" w:space="0" w:color="auto"/>
            </w:tcBorders>
          </w:tcPr>
          <w:p w14:paraId="7D946B57"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(8)</w:t>
            </w:r>
          </w:p>
        </w:tc>
      </w:tr>
      <w:tr w:rsidR="00AE77D4" w:rsidRPr="00AE77D4" w14:paraId="2CCD2120" w14:textId="77777777" w:rsidTr="001F0BF3">
        <w:trPr>
          <w:trHeight w:val="225"/>
        </w:trPr>
        <w:tc>
          <w:tcPr>
            <w:tcW w:w="4893" w:type="dxa"/>
            <w:gridSpan w:val="5"/>
            <w:tcBorders>
              <w:top w:val="single" w:sz="4" w:space="0" w:color="auto"/>
            </w:tcBorders>
            <w:shd w:val="clear" w:color="auto" w:fill="E7E6E6" w:themeFill="background2"/>
          </w:tcPr>
          <w:p w14:paraId="50E03191"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Independent variables (CG Matrix):</w:t>
            </w:r>
          </w:p>
        </w:tc>
        <w:tc>
          <w:tcPr>
            <w:tcW w:w="1254" w:type="dxa"/>
            <w:tcBorders>
              <w:top w:val="single" w:sz="4" w:space="0" w:color="auto"/>
            </w:tcBorders>
            <w:shd w:val="clear" w:color="auto" w:fill="E7E6E6" w:themeFill="background2"/>
          </w:tcPr>
          <w:p w14:paraId="43DA7A04" w14:textId="77777777" w:rsidR="00E43EB2" w:rsidRPr="00AE77D4" w:rsidRDefault="00E43EB2" w:rsidP="00AE77D4">
            <w:pPr>
              <w:spacing w:line="276" w:lineRule="auto"/>
              <w:rPr>
                <w:rFonts w:ascii="Times New Roman" w:hAnsi="Times New Roman" w:cs="Times New Roman"/>
                <w:sz w:val="16"/>
                <w:szCs w:val="16"/>
                <w:lang w:val="en-GB"/>
              </w:rPr>
            </w:pPr>
          </w:p>
        </w:tc>
        <w:tc>
          <w:tcPr>
            <w:tcW w:w="1002" w:type="dxa"/>
            <w:tcBorders>
              <w:top w:val="single" w:sz="4" w:space="0" w:color="auto"/>
            </w:tcBorders>
            <w:shd w:val="clear" w:color="auto" w:fill="E7E6E6" w:themeFill="background2"/>
          </w:tcPr>
          <w:p w14:paraId="2F87CC56" w14:textId="77777777" w:rsidR="00E43EB2" w:rsidRPr="00AE77D4" w:rsidRDefault="00E43EB2" w:rsidP="00AE77D4">
            <w:pPr>
              <w:spacing w:line="276" w:lineRule="auto"/>
              <w:rPr>
                <w:rFonts w:ascii="Times New Roman" w:hAnsi="Times New Roman" w:cs="Times New Roman"/>
                <w:sz w:val="16"/>
                <w:szCs w:val="16"/>
                <w:lang w:val="en-GB"/>
              </w:rPr>
            </w:pPr>
          </w:p>
        </w:tc>
        <w:tc>
          <w:tcPr>
            <w:tcW w:w="894" w:type="dxa"/>
            <w:tcBorders>
              <w:top w:val="single" w:sz="4" w:space="0" w:color="auto"/>
            </w:tcBorders>
            <w:shd w:val="clear" w:color="auto" w:fill="E7E6E6" w:themeFill="background2"/>
          </w:tcPr>
          <w:p w14:paraId="07B6D3C4" w14:textId="77777777" w:rsidR="00E43EB2" w:rsidRPr="00AE77D4" w:rsidRDefault="00E43EB2" w:rsidP="00AE77D4">
            <w:pPr>
              <w:spacing w:line="276" w:lineRule="auto"/>
              <w:rPr>
                <w:rFonts w:ascii="Times New Roman" w:hAnsi="Times New Roman" w:cs="Times New Roman"/>
                <w:sz w:val="16"/>
                <w:szCs w:val="16"/>
                <w:lang w:val="en-GB"/>
              </w:rPr>
            </w:pPr>
          </w:p>
        </w:tc>
        <w:tc>
          <w:tcPr>
            <w:tcW w:w="1149" w:type="dxa"/>
            <w:tcBorders>
              <w:top w:val="single" w:sz="4" w:space="0" w:color="auto"/>
            </w:tcBorders>
            <w:shd w:val="clear" w:color="auto" w:fill="E7E6E6" w:themeFill="background2"/>
          </w:tcPr>
          <w:p w14:paraId="0BE6B57D" w14:textId="77777777" w:rsidR="00E43EB2" w:rsidRPr="00AE77D4" w:rsidRDefault="00E43EB2" w:rsidP="00AE77D4">
            <w:pPr>
              <w:spacing w:line="276" w:lineRule="auto"/>
              <w:rPr>
                <w:rFonts w:ascii="Times New Roman" w:hAnsi="Times New Roman" w:cs="Times New Roman"/>
                <w:sz w:val="16"/>
                <w:szCs w:val="16"/>
                <w:lang w:val="en-GB"/>
              </w:rPr>
            </w:pPr>
          </w:p>
        </w:tc>
      </w:tr>
      <w:tr w:rsidR="00AE77D4" w:rsidRPr="00AE77D4" w14:paraId="0A84E9BC" w14:textId="77777777" w:rsidTr="001F0BF3">
        <w:trPr>
          <w:trHeight w:val="239"/>
        </w:trPr>
        <w:tc>
          <w:tcPr>
            <w:tcW w:w="1188" w:type="dxa"/>
          </w:tcPr>
          <w:p w14:paraId="547CA29D"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BSIZE</w:t>
            </w:r>
          </w:p>
        </w:tc>
        <w:tc>
          <w:tcPr>
            <w:tcW w:w="985" w:type="dxa"/>
          </w:tcPr>
          <w:p w14:paraId="4C7740A5"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1.13**</w:t>
            </w:r>
          </w:p>
        </w:tc>
        <w:tc>
          <w:tcPr>
            <w:tcW w:w="821" w:type="dxa"/>
          </w:tcPr>
          <w:p w14:paraId="15F7CB17" w14:textId="77777777" w:rsidR="00E43EB2" w:rsidRPr="00AE77D4" w:rsidRDefault="00E43EB2" w:rsidP="00AE77D4">
            <w:pPr>
              <w:spacing w:line="276" w:lineRule="auto"/>
              <w:rPr>
                <w:rFonts w:ascii="Times New Roman" w:hAnsi="Times New Roman" w:cs="Times New Roman"/>
                <w:sz w:val="16"/>
                <w:szCs w:val="16"/>
                <w:lang w:val="en-GB"/>
              </w:rPr>
            </w:pPr>
          </w:p>
        </w:tc>
        <w:tc>
          <w:tcPr>
            <w:tcW w:w="974" w:type="dxa"/>
          </w:tcPr>
          <w:p w14:paraId="5E370054" w14:textId="77777777" w:rsidR="00E43EB2" w:rsidRPr="00AE77D4" w:rsidRDefault="00E43EB2" w:rsidP="00AE77D4">
            <w:pPr>
              <w:spacing w:line="276" w:lineRule="auto"/>
              <w:rPr>
                <w:rFonts w:ascii="Times New Roman" w:hAnsi="Times New Roman" w:cs="Times New Roman"/>
                <w:sz w:val="16"/>
                <w:szCs w:val="16"/>
                <w:lang w:val="en-GB"/>
              </w:rPr>
            </w:pPr>
          </w:p>
        </w:tc>
        <w:tc>
          <w:tcPr>
            <w:tcW w:w="925" w:type="dxa"/>
          </w:tcPr>
          <w:p w14:paraId="7F148196" w14:textId="77777777" w:rsidR="00E43EB2" w:rsidRPr="00AE77D4" w:rsidRDefault="00E43EB2" w:rsidP="00AE77D4">
            <w:pPr>
              <w:spacing w:line="276" w:lineRule="auto"/>
              <w:rPr>
                <w:rFonts w:ascii="Times New Roman" w:hAnsi="Times New Roman" w:cs="Times New Roman"/>
                <w:sz w:val="16"/>
                <w:szCs w:val="16"/>
                <w:lang w:val="en-GB"/>
              </w:rPr>
            </w:pPr>
          </w:p>
        </w:tc>
        <w:tc>
          <w:tcPr>
            <w:tcW w:w="1254" w:type="dxa"/>
          </w:tcPr>
          <w:p w14:paraId="50BC46FC" w14:textId="77777777" w:rsidR="00E43EB2" w:rsidRPr="00AE77D4" w:rsidRDefault="00E43EB2" w:rsidP="00AE77D4">
            <w:pPr>
              <w:spacing w:line="276" w:lineRule="auto"/>
              <w:rPr>
                <w:rFonts w:ascii="Times New Roman" w:hAnsi="Times New Roman" w:cs="Times New Roman"/>
                <w:sz w:val="16"/>
                <w:szCs w:val="16"/>
                <w:lang w:val="en-GB"/>
              </w:rPr>
            </w:pPr>
          </w:p>
        </w:tc>
        <w:tc>
          <w:tcPr>
            <w:tcW w:w="1002" w:type="dxa"/>
          </w:tcPr>
          <w:p w14:paraId="61FC162C" w14:textId="77777777" w:rsidR="00E43EB2" w:rsidRPr="00AE77D4" w:rsidRDefault="00E43EB2" w:rsidP="00AE77D4">
            <w:pPr>
              <w:spacing w:line="276" w:lineRule="auto"/>
              <w:rPr>
                <w:rFonts w:ascii="Times New Roman" w:hAnsi="Times New Roman" w:cs="Times New Roman"/>
                <w:sz w:val="16"/>
                <w:szCs w:val="16"/>
                <w:lang w:val="en-GB"/>
              </w:rPr>
            </w:pPr>
          </w:p>
        </w:tc>
        <w:tc>
          <w:tcPr>
            <w:tcW w:w="894" w:type="dxa"/>
          </w:tcPr>
          <w:p w14:paraId="1EEB9404" w14:textId="77777777" w:rsidR="00E43EB2" w:rsidRPr="00AE77D4" w:rsidRDefault="00E43EB2" w:rsidP="00AE77D4">
            <w:pPr>
              <w:spacing w:line="276" w:lineRule="auto"/>
              <w:rPr>
                <w:rFonts w:ascii="Times New Roman" w:hAnsi="Times New Roman" w:cs="Times New Roman"/>
                <w:sz w:val="16"/>
                <w:szCs w:val="16"/>
                <w:lang w:val="en-GB"/>
              </w:rPr>
            </w:pPr>
          </w:p>
        </w:tc>
        <w:tc>
          <w:tcPr>
            <w:tcW w:w="1149" w:type="dxa"/>
          </w:tcPr>
          <w:p w14:paraId="4E9A24DC"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0.906***</w:t>
            </w:r>
          </w:p>
        </w:tc>
      </w:tr>
      <w:tr w:rsidR="00AE77D4" w:rsidRPr="00AE77D4" w14:paraId="4847E583" w14:textId="77777777" w:rsidTr="001F0BF3">
        <w:trPr>
          <w:trHeight w:val="225"/>
        </w:trPr>
        <w:tc>
          <w:tcPr>
            <w:tcW w:w="1188" w:type="dxa"/>
            <w:shd w:val="clear" w:color="auto" w:fill="E7E6E6" w:themeFill="background2"/>
          </w:tcPr>
          <w:p w14:paraId="280794A9"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INDIR</w:t>
            </w:r>
          </w:p>
        </w:tc>
        <w:tc>
          <w:tcPr>
            <w:tcW w:w="985" w:type="dxa"/>
            <w:shd w:val="clear" w:color="auto" w:fill="E7E6E6" w:themeFill="background2"/>
          </w:tcPr>
          <w:p w14:paraId="45DED62F" w14:textId="77777777" w:rsidR="00E43EB2" w:rsidRPr="00AE77D4" w:rsidRDefault="00E43EB2" w:rsidP="00AE77D4">
            <w:pPr>
              <w:spacing w:line="276" w:lineRule="auto"/>
              <w:rPr>
                <w:rFonts w:ascii="Times New Roman" w:hAnsi="Times New Roman" w:cs="Times New Roman"/>
                <w:sz w:val="16"/>
                <w:szCs w:val="16"/>
                <w:lang w:val="en-GB"/>
              </w:rPr>
            </w:pPr>
          </w:p>
        </w:tc>
        <w:tc>
          <w:tcPr>
            <w:tcW w:w="821" w:type="dxa"/>
            <w:shd w:val="clear" w:color="auto" w:fill="E7E6E6" w:themeFill="background2"/>
          </w:tcPr>
          <w:p w14:paraId="10CBAB29"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-0.131</w:t>
            </w:r>
          </w:p>
        </w:tc>
        <w:tc>
          <w:tcPr>
            <w:tcW w:w="974" w:type="dxa"/>
            <w:shd w:val="clear" w:color="auto" w:fill="E7E6E6" w:themeFill="background2"/>
          </w:tcPr>
          <w:p w14:paraId="7071EE74" w14:textId="77777777" w:rsidR="00E43EB2" w:rsidRPr="00AE77D4" w:rsidRDefault="00E43EB2" w:rsidP="00AE77D4">
            <w:pPr>
              <w:spacing w:line="276" w:lineRule="auto"/>
              <w:rPr>
                <w:rFonts w:ascii="Times New Roman" w:hAnsi="Times New Roman" w:cs="Times New Roman"/>
                <w:sz w:val="16"/>
                <w:szCs w:val="16"/>
                <w:lang w:val="en-GB"/>
              </w:rPr>
            </w:pPr>
          </w:p>
        </w:tc>
        <w:tc>
          <w:tcPr>
            <w:tcW w:w="925" w:type="dxa"/>
            <w:shd w:val="clear" w:color="auto" w:fill="E7E6E6" w:themeFill="background2"/>
          </w:tcPr>
          <w:p w14:paraId="5DD5B892" w14:textId="77777777" w:rsidR="00E43EB2" w:rsidRPr="00AE77D4" w:rsidRDefault="00E43EB2" w:rsidP="00AE77D4">
            <w:pPr>
              <w:spacing w:line="276" w:lineRule="auto"/>
              <w:rPr>
                <w:rFonts w:ascii="Times New Roman" w:hAnsi="Times New Roman" w:cs="Times New Roman"/>
                <w:sz w:val="16"/>
                <w:szCs w:val="16"/>
                <w:lang w:val="en-GB"/>
              </w:rPr>
            </w:pPr>
          </w:p>
        </w:tc>
        <w:tc>
          <w:tcPr>
            <w:tcW w:w="1254" w:type="dxa"/>
            <w:shd w:val="clear" w:color="auto" w:fill="E7E6E6" w:themeFill="background2"/>
          </w:tcPr>
          <w:p w14:paraId="6B16B08C" w14:textId="77777777" w:rsidR="00E43EB2" w:rsidRPr="00AE77D4" w:rsidRDefault="00E43EB2" w:rsidP="00AE77D4">
            <w:pPr>
              <w:spacing w:line="276" w:lineRule="auto"/>
              <w:rPr>
                <w:rFonts w:ascii="Times New Roman" w:hAnsi="Times New Roman" w:cs="Times New Roman"/>
                <w:sz w:val="16"/>
                <w:szCs w:val="16"/>
                <w:lang w:val="en-GB"/>
              </w:rPr>
            </w:pPr>
          </w:p>
        </w:tc>
        <w:tc>
          <w:tcPr>
            <w:tcW w:w="1002" w:type="dxa"/>
            <w:shd w:val="clear" w:color="auto" w:fill="E7E6E6" w:themeFill="background2"/>
          </w:tcPr>
          <w:p w14:paraId="607FE032" w14:textId="77777777" w:rsidR="00E43EB2" w:rsidRPr="00AE77D4" w:rsidRDefault="00E43EB2" w:rsidP="00AE77D4">
            <w:pPr>
              <w:spacing w:line="276" w:lineRule="auto"/>
              <w:rPr>
                <w:rFonts w:ascii="Times New Roman" w:hAnsi="Times New Roman" w:cs="Times New Roman"/>
                <w:sz w:val="16"/>
                <w:szCs w:val="16"/>
                <w:lang w:val="en-GB"/>
              </w:rPr>
            </w:pPr>
          </w:p>
        </w:tc>
        <w:tc>
          <w:tcPr>
            <w:tcW w:w="894" w:type="dxa"/>
            <w:shd w:val="clear" w:color="auto" w:fill="E7E6E6" w:themeFill="background2"/>
          </w:tcPr>
          <w:p w14:paraId="24C8C93D" w14:textId="77777777" w:rsidR="00E43EB2" w:rsidRPr="00AE77D4" w:rsidRDefault="00E43EB2" w:rsidP="00AE77D4">
            <w:pPr>
              <w:spacing w:line="276" w:lineRule="auto"/>
              <w:rPr>
                <w:rFonts w:ascii="Times New Roman" w:hAnsi="Times New Roman" w:cs="Times New Roman"/>
                <w:sz w:val="16"/>
                <w:szCs w:val="16"/>
                <w:lang w:val="en-GB"/>
              </w:rPr>
            </w:pPr>
          </w:p>
        </w:tc>
        <w:tc>
          <w:tcPr>
            <w:tcW w:w="1149" w:type="dxa"/>
            <w:shd w:val="clear" w:color="auto" w:fill="E7E6E6" w:themeFill="background2"/>
          </w:tcPr>
          <w:p w14:paraId="45DCF24A"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-0.083</w:t>
            </w:r>
          </w:p>
        </w:tc>
      </w:tr>
      <w:tr w:rsidR="00AE77D4" w:rsidRPr="00AE77D4" w14:paraId="6073AC99" w14:textId="77777777" w:rsidTr="001F0BF3">
        <w:trPr>
          <w:trHeight w:val="225"/>
        </w:trPr>
        <w:tc>
          <w:tcPr>
            <w:tcW w:w="1188" w:type="dxa"/>
          </w:tcPr>
          <w:p w14:paraId="093CAA42"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FORDIR</w:t>
            </w:r>
          </w:p>
        </w:tc>
        <w:tc>
          <w:tcPr>
            <w:tcW w:w="985" w:type="dxa"/>
          </w:tcPr>
          <w:p w14:paraId="775C6D61" w14:textId="77777777" w:rsidR="00E43EB2" w:rsidRPr="00AE77D4" w:rsidRDefault="00E43EB2" w:rsidP="00AE77D4">
            <w:pPr>
              <w:spacing w:line="276" w:lineRule="auto"/>
              <w:rPr>
                <w:rFonts w:ascii="Times New Roman" w:hAnsi="Times New Roman" w:cs="Times New Roman"/>
                <w:sz w:val="16"/>
                <w:szCs w:val="16"/>
                <w:lang w:val="en-GB"/>
              </w:rPr>
            </w:pPr>
          </w:p>
        </w:tc>
        <w:tc>
          <w:tcPr>
            <w:tcW w:w="821" w:type="dxa"/>
          </w:tcPr>
          <w:p w14:paraId="2FDD266A" w14:textId="77777777" w:rsidR="00E43EB2" w:rsidRPr="00AE77D4" w:rsidRDefault="00E43EB2" w:rsidP="00AE77D4">
            <w:pPr>
              <w:spacing w:line="276" w:lineRule="auto"/>
              <w:rPr>
                <w:rFonts w:ascii="Times New Roman" w:hAnsi="Times New Roman" w:cs="Times New Roman"/>
                <w:sz w:val="16"/>
                <w:szCs w:val="16"/>
                <w:lang w:val="en-GB"/>
              </w:rPr>
            </w:pPr>
          </w:p>
        </w:tc>
        <w:tc>
          <w:tcPr>
            <w:tcW w:w="974" w:type="dxa"/>
          </w:tcPr>
          <w:p w14:paraId="521773DE"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0.255***</w:t>
            </w:r>
          </w:p>
        </w:tc>
        <w:tc>
          <w:tcPr>
            <w:tcW w:w="925" w:type="dxa"/>
          </w:tcPr>
          <w:p w14:paraId="68C4F0CD" w14:textId="77777777" w:rsidR="00E43EB2" w:rsidRPr="00AE77D4" w:rsidRDefault="00E43EB2" w:rsidP="00AE77D4">
            <w:pPr>
              <w:spacing w:line="276" w:lineRule="auto"/>
              <w:rPr>
                <w:rFonts w:ascii="Times New Roman" w:hAnsi="Times New Roman" w:cs="Times New Roman"/>
                <w:sz w:val="16"/>
                <w:szCs w:val="16"/>
                <w:lang w:val="en-GB"/>
              </w:rPr>
            </w:pPr>
          </w:p>
        </w:tc>
        <w:tc>
          <w:tcPr>
            <w:tcW w:w="1254" w:type="dxa"/>
          </w:tcPr>
          <w:p w14:paraId="6656CA8D" w14:textId="77777777" w:rsidR="00E43EB2" w:rsidRPr="00AE77D4" w:rsidRDefault="00E43EB2" w:rsidP="00AE77D4">
            <w:pPr>
              <w:spacing w:line="276" w:lineRule="auto"/>
              <w:rPr>
                <w:rFonts w:ascii="Times New Roman" w:hAnsi="Times New Roman" w:cs="Times New Roman"/>
                <w:sz w:val="16"/>
                <w:szCs w:val="16"/>
                <w:lang w:val="en-GB"/>
              </w:rPr>
            </w:pPr>
          </w:p>
        </w:tc>
        <w:tc>
          <w:tcPr>
            <w:tcW w:w="1002" w:type="dxa"/>
          </w:tcPr>
          <w:p w14:paraId="2AA57A83" w14:textId="77777777" w:rsidR="00E43EB2" w:rsidRPr="00AE77D4" w:rsidRDefault="00E43EB2" w:rsidP="00AE77D4">
            <w:pPr>
              <w:spacing w:line="276" w:lineRule="auto"/>
              <w:rPr>
                <w:rFonts w:ascii="Times New Roman" w:hAnsi="Times New Roman" w:cs="Times New Roman"/>
                <w:sz w:val="16"/>
                <w:szCs w:val="16"/>
                <w:lang w:val="en-GB"/>
              </w:rPr>
            </w:pPr>
          </w:p>
        </w:tc>
        <w:tc>
          <w:tcPr>
            <w:tcW w:w="894" w:type="dxa"/>
          </w:tcPr>
          <w:p w14:paraId="2959ADA9" w14:textId="77777777" w:rsidR="00E43EB2" w:rsidRPr="00AE77D4" w:rsidRDefault="00E43EB2" w:rsidP="00AE77D4">
            <w:pPr>
              <w:spacing w:line="276" w:lineRule="auto"/>
              <w:rPr>
                <w:rFonts w:ascii="Times New Roman" w:hAnsi="Times New Roman" w:cs="Times New Roman"/>
                <w:sz w:val="16"/>
                <w:szCs w:val="16"/>
                <w:lang w:val="en-GB"/>
              </w:rPr>
            </w:pPr>
          </w:p>
        </w:tc>
        <w:tc>
          <w:tcPr>
            <w:tcW w:w="1149" w:type="dxa"/>
          </w:tcPr>
          <w:p w14:paraId="7067FD77"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0.195***</w:t>
            </w:r>
          </w:p>
        </w:tc>
      </w:tr>
      <w:tr w:rsidR="00AE77D4" w:rsidRPr="00AE77D4" w14:paraId="66E6D060" w14:textId="77777777" w:rsidTr="001F0BF3">
        <w:trPr>
          <w:trHeight w:val="79"/>
        </w:trPr>
        <w:tc>
          <w:tcPr>
            <w:tcW w:w="1188" w:type="dxa"/>
            <w:shd w:val="clear" w:color="auto" w:fill="E7E6E6" w:themeFill="background2"/>
          </w:tcPr>
          <w:p w14:paraId="50B158DA"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GENDER</w:t>
            </w:r>
          </w:p>
        </w:tc>
        <w:tc>
          <w:tcPr>
            <w:tcW w:w="985" w:type="dxa"/>
            <w:shd w:val="clear" w:color="auto" w:fill="E7E6E6" w:themeFill="background2"/>
          </w:tcPr>
          <w:p w14:paraId="3EAA72EB" w14:textId="77777777" w:rsidR="00E43EB2" w:rsidRPr="00AE77D4" w:rsidRDefault="00E43EB2" w:rsidP="00AE77D4">
            <w:pPr>
              <w:spacing w:line="276" w:lineRule="auto"/>
              <w:rPr>
                <w:rFonts w:ascii="Times New Roman" w:hAnsi="Times New Roman" w:cs="Times New Roman"/>
                <w:sz w:val="16"/>
                <w:szCs w:val="16"/>
                <w:lang w:val="en-GB"/>
              </w:rPr>
            </w:pPr>
          </w:p>
        </w:tc>
        <w:tc>
          <w:tcPr>
            <w:tcW w:w="821" w:type="dxa"/>
            <w:shd w:val="clear" w:color="auto" w:fill="E7E6E6" w:themeFill="background2"/>
          </w:tcPr>
          <w:p w14:paraId="2C078567" w14:textId="77777777" w:rsidR="00E43EB2" w:rsidRPr="00AE77D4" w:rsidRDefault="00E43EB2" w:rsidP="00AE77D4">
            <w:pPr>
              <w:spacing w:line="276" w:lineRule="auto"/>
              <w:rPr>
                <w:rFonts w:ascii="Times New Roman" w:hAnsi="Times New Roman" w:cs="Times New Roman"/>
                <w:sz w:val="16"/>
                <w:szCs w:val="16"/>
                <w:lang w:val="en-GB"/>
              </w:rPr>
            </w:pPr>
          </w:p>
        </w:tc>
        <w:tc>
          <w:tcPr>
            <w:tcW w:w="974" w:type="dxa"/>
            <w:shd w:val="clear" w:color="auto" w:fill="E7E6E6" w:themeFill="background2"/>
          </w:tcPr>
          <w:p w14:paraId="379586B4" w14:textId="77777777" w:rsidR="00E43EB2" w:rsidRPr="00AE77D4" w:rsidRDefault="00E43EB2" w:rsidP="00AE77D4">
            <w:pPr>
              <w:spacing w:line="276" w:lineRule="auto"/>
              <w:rPr>
                <w:rFonts w:ascii="Times New Roman" w:hAnsi="Times New Roman" w:cs="Times New Roman"/>
                <w:sz w:val="16"/>
                <w:szCs w:val="16"/>
                <w:lang w:val="en-GB"/>
              </w:rPr>
            </w:pPr>
          </w:p>
        </w:tc>
        <w:tc>
          <w:tcPr>
            <w:tcW w:w="925" w:type="dxa"/>
            <w:shd w:val="clear" w:color="auto" w:fill="E7E6E6" w:themeFill="background2"/>
          </w:tcPr>
          <w:p w14:paraId="7E5D6966"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-0.043</w:t>
            </w:r>
          </w:p>
        </w:tc>
        <w:tc>
          <w:tcPr>
            <w:tcW w:w="1254" w:type="dxa"/>
            <w:shd w:val="clear" w:color="auto" w:fill="E7E6E6" w:themeFill="background2"/>
          </w:tcPr>
          <w:p w14:paraId="60A16F3B" w14:textId="77777777" w:rsidR="00E43EB2" w:rsidRPr="00AE77D4" w:rsidRDefault="00E43EB2" w:rsidP="00AE77D4">
            <w:pPr>
              <w:spacing w:line="276" w:lineRule="auto"/>
              <w:rPr>
                <w:rFonts w:ascii="Times New Roman" w:hAnsi="Times New Roman" w:cs="Times New Roman"/>
                <w:sz w:val="16"/>
                <w:szCs w:val="16"/>
                <w:lang w:val="en-GB"/>
              </w:rPr>
            </w:pPr>
          </w:p>
        </w:tc>
        <w:tc>
          <w:tcPr>
            <w:tcW w:w="1002" w:type="dxa"/>
            <w:shd w:val="clear" w:color="auto" w:fill="E7E6E6" w:themeFill="background2"/>
          </w:tcPr>
          <w:p w14:paraId="2C3509F8" w14:textId="77777777" w:rsidR="00E43EB2" w:rsidRPr="00AE77D4" w:rsidRDefault="00E43EB2" w:rsidP="00AE77D4">
            <w:pPr>
              <w:spacing w:line="276" w:lineRule="auto"/>
              <w:rPr>
                <w:rFonts w:ascii="Times New Roman" w:hAnsi="Times New Roman" w:cs="Times New Roman"/>
                <w:sz w:val="16"/>
                <w:szCs w:val="16"/>
                <w:lang w:val="en-GB"/>
              </w:rPr>
            </w:pPr>
          </w:p>
        </w:tc>
        <w:tc>
          <w:tcPr>
            <w:tcW w:w="894" w:type="dxa"/>
            <w:shd w:val="clear" w:color="auto" w:fill="E7E6E6" w:themeFill="background2"/>
          </w:tcPr>
          <w:p w14:paraId="09CC3947" w14:textId="77777777" w:rsidR="00E43EB2" w:rsidRPr="00AE77D4" w:rsidRDefault="00E43EB2" w:rsidP="00AE77D4">
            <w:pPr>
              <w:spacing w:line="276" w:lineRule="auto"/>
              <w:rPr>
                <w:rFonts w:ascii="Times New Roman" w:hAnsi="Times New Roman" w:cs="Times New Roman"/>
                <w:sz w:val="16"/>
                <w:szCs w:val="16"/>
                <w:lang w:val="en-GB"/>
              </w:rPr>
            </w:pPr>
          </w:p>
        </w:tc>
        <w:tc>
          <w:tcPr>
            <w:tcW w:w="1149" w:type="dxa"/>
            <w:shd w:val="clear" w:color="auto" w:fill="E7E6E6" w:themeFill="background2"/>
          </w:tcPr>
          <w:p w14:paraId="7ABE0586"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0.030</w:t>
            </w:r>
          </w:p>
        </w:tc>
      </w:tr>
      <w:tr w:rsidR="00AE77D4" w:rsidRPr="00AE77D4" w14:paraId="5DCD2923" w14:textId="77777777" w:rsidTr="001F0BF3">
        <w:trPr>
          <w:trHeight w:val="79"/>
        </w:trPr>
        <w:tc>
          <w:tcPr>
            <w:tcW w:w="1188" w:type="dxa"/>
          </w:tcPr>
          <w:p w14:paraId="3FD4E5E4"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BOMEET</w:t>
            </w:r>
          </w:p>
        </w:tc>
        <w:tc>
          <w:tcPr>
            <w:tcW w:w="985" w:type="dxa"/>
          </w:tcPr>
          <w:p w14:paraId="65842EB2" w14:textId="77777777" w:rsidR="00E43EB2" w:rsidRPr="00AE77D4" w:rsidRDefault="00E43EB2" w:rsidP="00AE77D4">
            <w:pPr>
              <w:spacing w:line="276" w:lineRule="auto"/>
              <w:rPr>
                <w:rFonts w:ascii="Times New Roman" w:hAnsi="Times New Roman" w:cs="Times New Roman"/>
                <w:sz w:val="16"/>
                <w:szCs w:val="16"/>
                <w:lang w:val="en-GB"/>
              </w:rPr>
            </w:pPr>
          </w:p>
        </w:tc>
        <w:tc>
          <w:tcPr>
            <w:tcW w:w="821" w:type="dxa"/>
          </w:tcPr>
          <w:p w14:paraId="1B005ED3" w14:textId="77777777" w:rsidR="00E43EB2" w:rsidRPr="00AE77D4" w:rsidRDefault="00E43EB2" w:rsidP="00AE77D4">
            <w:pPr>
              <w:spacing w:line="276" w:lineRule="auto"/>
              <w:rPr>
                <w:rFonts w:ascii="Times New Roman" w:hAnsi="Times New Roman" w:cs="Times New Roman"/>
                <w:sz w:val="16"/>
                <w:szCs w:val="16"/>
                <w:lang w:val="en-GB"/>
              </w:rPr>
            </w:pPr>
          </w:p>
        </w:tc>
        <w:tc>
          <w:tcPr>
            <w:tcW w:w="974" w:type="dxa"/>
          </w:tcPr>
          <w:p w14:paraId="7842774D" w14:textId="77777777" w:rsidR="00E43EB2" w:rsidRPr="00AE77D4" w:rsidRDefault="00E43EB2" w:rsidP="00AE77D4">
            <w:pPr>
              <w:spacing w:line="276" w:lineRule="auto"/>
              <w:rPr>
                <w:rFonts w:ascii="Times New Roman" w:hAnsi="Times New Roman" w:cs="Times New Roman"/>
                <w:sz w:val="16"/>
                <w:szCs w:val="16"/>
                <w:lang w:val="en-GB"/>
              </w:rPr>
            </w:pPr>
          </w:p>
        </w:tc>
        <w:tc>
          <w:tcPr>
            <w:tcW w:w="925" w:type="dxa"/>
          </w:tcPr>
          <w:p w14:paraId="28E7BD16" w14:textId="77777777" w:rsidR="00E43EB2" w:rsidRPr="00AE77D4" w:rsidRDefault="00E43EB2" w:rsidP="00AE77D4">
            <w:pPr>
              <w:spacing w:line="276" w:lineRule="auto"/>
              <w:rPr>
                <w:rFonts w:ascii="Times New Roman" w:hAnsi="Times New Roman" w:cs="Times New Roman"/>
                <w:sz w:val="16"/>
                <w:szCs w:val="16"/>
                <w:lang w:val="en-GB"/>
              </w:rPr>
            </w:pPr>
          </w:p>
        </w:tc>
        <w:tc>
          <w:tcPr>
            <w:tcW w:w="1254" w:type="dxa"/>
          </w:tcPr>
          <w:p w14:paraId="5D4DAF0F"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-0.194</w:t>
            </w:r>
          </w:p>
        </w:tc>
        <w:tc>
          <w:tcPr>
            <w:tcW w:w="1002" w:type="dxa"/>
          </w:tcPr>
          <w:p w14:paraId="0841C9E3" w14:textId="77777777" w:rsidR="00E43EB2" w:rsidRPr="00AE77D4" w:rsidRDefault="00E43EB2" w:rsidP="00AE77D4">
            <w:pPr>
              <w:spacing w:line="276" w:lineRule="auto"/>
              <w:rPr>
                <w:rFonts w:ascii="Times New Roman" w:hAnsi="Times New Roman" w:cs="Times New Roman"/>
                <w:sz w:val="16"/>
                <w:szCs w:val="16"/>
                <w:lang w:val="en-GB"/>
              </w:rPr>
            </w:pPr>
          </w:p>
        </w:tc>
        <w:tc>
          <w:tcPr>
            <w:tcW w:w="894" w:type="dxa"/>
          </w:tcPr>
          <w:p w14:paraId="5EEAD178" w14:textId="77777777" w:rsidR="00E43EB2" w:rsidRPr="00AE77D4" w:rsidRDefault="00E43EB2" w:rsidP="00AE77D4">
            <w:pPr>
              <w:spacing w:line="276" w:lineRule="auto"/>
              <w:rPr>
                <w:rFonts w:ascii="Times New Roman" w:hAnsi="Times New Roman" w:cs="Times New Roman"/>
                <w:sz w:val="16"/>
                <w:szCs w:val="16"/>
                <w:lang w:val="en-GB"/>
              </w:rPr>
            </w:pPr>
          </w:p>
        </w:tc>
        <w:tc>
          <w:tcPr>
            <w:tcW w:w="1149" w:type="dxa"/>
          </w:tcPr>
          <w:p w14:paraId="7172D7C9"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-0.150</w:t>
            </w:r>
          </w:p>
        </w:tc>
      </w:tr>
      <w:tr w:rsidR="00AE77D4" w:rsidRPr="00AE77D4" w14:paraId="6D7DCAB9" w14:textId="77777777" w:rsidTr="001F0BF3">
        <w:trPr>
          <w:trHeight w:val="225"/>
        </w:trPr>
        <w:tc>
          <w:tcPr>
            <w:tcW w:w="1188" w:type="dxa"/>
            <w:shd w:val="clear" w:color="auto" w:fill="E7E6E6" w:themeFill="background2"/>
          </w:tcPr>
          <w:p w14:paraId="22B00BF1"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eastAsia="Times New Roman" w:hAnsi="Times New Roman" w:cs="Times New Roman"/>
                <w:sz w:val="16"/>
                <w:szCs w:val="16"/>
                <w:lang w:val="en-GB"/>
              </w:rPr>
              <w:t>DUALITY</w:t>
            </w:r>
          </w:p>
        </w:tc>
        <w:tc>
          <w:tcPr>
            <w:tcW w:w="985" w:type="dxa"/>
            <w:shd w:val="clear" w:color="auto" w:fill="E7E6E6" w:themeFill="background2"/>
          </w:tcPr>
          <w:p w14:paraId="56C6E96D" w14:textId="77777777" w:rsidR="00E43EB2" w:rsidRPr="00AE77D4" w:rsidRDefault="00E43EB2" w:rsidP="00AE77D4">
            <w:pPr>
              <w:spacing w:line="276" w:lineRule="auto"/>
              <w:rPr>
                <w:rFonts w:ascii="Times New Roman" w:hAnsi="Times New Roman" w:cs="Times New Roman"/>
                <w:sz w:val="16"/>
                <w:szCs w:val="16"/>
                <w:lang w:val="en-GB"/>
              </w:rPr>
            </w:pPr>
          </w:p>
        </w:tc>
        <w:tc>
          <w:tcPr>
            <w:tcW w:w="821" w:type="dxa"/>
            <w:shd w:val="clear" w:color="auto" w:fill="E7E6E6" w:themeFill="background2"/>
          </w:tcPr>
          <w:p w14:paraId="27F5E260" w14:textId="77777777" w:rsidR="00E43EB2" w:rsidRPr="00AE77D4" w:rsidRDefault="00E43EB2" w:rsidP="00AE77D4">
            <w:pPr>
              <w:spacing w:line="276" w:lineRule="auto"/>
              <w:rPr>
                <w:rFonts w:ascii="Times New Roman" w:hAnsi="Times New Roman" w:cs="Times New Roman"/>
                <w:sz w:val="16"/>
                <w:szCs w:val="16"/>
                <w:lang w:val="en-GB"/>
              </w:rPr>
            </w:pPr>
          </w:p>
        </w:tc>
        <w:tc>
          <w:tcPr>
            <w:tcW w:w="974" w:type="dxa"/>
            <w:shd w:val="clear" w:color="auto" w:fill="E7E6E6" w:themeFill="background2"/>
          </w:tcPr>
          <w:p w14:paraId="1EFA464F" w14:textId="77777777" w:rsidR="00E43EB2" w:rsidRPr="00AE77D4" w:rsidRDefault="00E43EB2" w:rsidP="00AE77D4">
            <w:pPr>
              <w:spacing w:line="276" w:lineRule="auto"/>
              <w:rPr>
                <w:rFonts w:ascii="Times New Roman" w:hAnsi="Times New Roman" w:cs="Times New Roman"/>
                <w:sz w:val="16"/>
                <w:szCs w:val="16"/>
                <w:lang w:val="en-GB"/>
              </w:rPr>
            </w:pPr>
          </w:p>
        </w:tc>
        <w:tc>
          <w:tcPr>
            <w:tcW w:w="925" w:type="dxa"/>
            <w:shd w:val="clear" w:color="auto" w:fill="E7E6E6" w:themeFill="background2"/>
          </w:tcPr>
          <w:p w14:paraId="0267F87B" w14:textId="77777777" w:rsidR="00E43EB2" w:rsidRPr="00AE77D4" w:rsidRDefault="00E43EB2" w:rsidP="00AE77D4">
            <w:pPr>
              <w:spacing w:line="276" w:lineRule="auto"/>
              <w:rPr>
                <w:rFonts w:ascii="Times New Roman" w:hAnsi="Times New Roman" w:cs="Times New Roman"/>
                <w:sz w:val="16"/>
                <w:szCs w:val="16"/>
                <w:lang w:val="en-GB"/>
              </w:rPr>
            </w:pPr>
          </w:p>
        </w:tc>
        <w:tc>
          <w:tcPr>
            <w:tcW w:w="1254" w:type="dxa"/>
            <w:shd w:val="clear" w:color="auto" w:fill="E7E6E6" w:themeFill="background2"/>
          </w:tcPr>
          <w:p w14:paraId="69B42780" w14:textId="77777777" w:rsidR="00E43EB2" w:rsidRPr="00AE77D4" w:rsidRDefault="00E43EB2" w:rsidP="00AE77D4">
            <w:pPr>
              <w:spacing w:line="276" w:lineRule="auto"/>
              <w:rPr>
                <w:rFonts w:ascii="Times New Roman" w:hAnsi="Times New Roman" w:cs="Times New Roman"/>
                <w:sz w:val="16"/>
                <w:szCs w:val="16"/>
                <w:lang w:val="en-GB"/>
              </w:rPr>
            </w:pPr>
          </w:p>
        </w:tc>
        <w:tc>
          <w:tcPr>
            <w:tcW w:w="1002" w:type="dxa"/>
            <w:shd w:val="clear" w:color="auto" w:fill="E7E6E6" w:themeFill="background2"/>
          </w:tcPr>
          <w:p w14:paraId="3F5C48C5"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-20***</w:t>
            </w:r>
          </w:p>
        </w:tc>
        <w:tc>
          <w:tcPr>
            <w:tcW w:w="894" w:type="dxa"/>
            <w:shd w:val="clear" w:color="auto" w:fill="E7E6E6" w:themeFill="background2"/>
          </w:tcPr>
          <w:p w14:paraId="5260944B" w14:textId="77777777" w:rsidR="00E43EB2" w:rsidRPr="00AE77D4" w:rsidRDefault="00E43EB2" w:rsidP="00AE77D4">
            <w:pPr>
              <w:spacing w:line="276" w:lineRule="auto"/>
              <w:rPr>
                <w:rFonts w:ascii="Times New Roman" w:hAnsi="Times New Roman" w:cs="Times New Roman"/>
                <w:sz w:val="16"/>
                <w:szCs w:val="16"/>
                <w:lang w:val="en-GB"/>
              </w:rPr>
            </w:pPr>
          </w:p>
        </w:tc>
        <w:tc>
          <w:tcPr>
            <w:tcW w:w="1149" w:type="dxa"/>
            <w:shd w:val="clear" w:color="auto" w:fill="E7E6E6" w:themeFill="background2"/>
          </w:tcPr>
          <w:p w14:paraId="5E25DC35"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-16.207***</w:t>
            </w:r>
          </w:p>
        </w:tc>
      </w:tr>
      <w:tr w:rsidR="00AE77D4" w:rsidRPr="00AE77D4" w14:paraId="16CC434B" w14:textId="77777777" w:rsidTr="001F0BF3">
        <w:trPr>
          <w:trHeight w:val="225"/>
        </w:trPr>
        <w:tc>
          <w:tcPr>
            <w:tcW w:w="1188" w:type="dxa"/>
          </w:tcPr>
          <w:p w14:paraId="0DD70383" w14:textId="77777777" w:rsidR="00E43EB2"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ADCOM</w:t>
            </w:r>
          </w:p>
        </w:tc>
        <w:tc>
          <w:tcPr>
            <w:tcW w:w="985" w:type="dxa"/>
          </w:tcPr>
          <w:p w14:paraId="0CAE6613" w14:textId="77777777" w:rsidR="00E43EB2" w:rsidRPr="00AE77D4" w:rsidRDefault="00E43EB2" w:rsidP="00AE77D4">
            <w:pPr>
              <w:spacing w:line="276" w:lineRule="auto"/>
              <w:rPr>
                <w:rFonts w:ascii="Times New Roman" w:hAnsi="Times New Roman" w:cs="Times New Roman"/>
                <w:sz w:val="16"/>
                <w:szCs w:val="16"/>
                <w:lang w:val="en-GB"/>
              </w:rPr>
            </w:pPr>
          </w:p>
        </w:tc>
        <w:tc>
          <w:tcPr>
            <w:tcW w:w="821" w:type="dxa"/>
          </w:tcPr>
          <w:p w14:paraId="198EA432" w14:textId="77777777" w:rsidR="00E43EB2" w:rsidRPr="00AE77D4" w:rsidRDefault="00E43EB2" w:rsidP="00AE77D4">
            <w:pPr>
              <w:spacing w:line="276" w:lineRule="auto"/>
              <w:rPr>
                <w:rFonts w:ascii="Times New Roman" w:hAnsi="Times New Roman" w:cs="Times New Roman"/>
                <w:sz w:val="16"/>
                <w:szCs w:val="16"/>
                <w:lang w:val="en-GB"/>
              </w:rPr>
            </w:pPr>
          </w:p>
        </w:tc>
        <w:tc>
          <w:tcPr>
            <w:tcW w:w="974" w:type="dxa"/>
          </w:tcPr>
          <w:p w14:paraId="103DDBF9" w14:textId="77777777" w:rsidR="00E43EB2" w:rsidRPr="00AE77D4" w:rsidRDefault="00E43EB2" w:rsidP="00AE77D4">
            <w:pPr>
              <w:spacing w:line="276" w:lineRule="auto"/>
              <w:rPr>
                <w:rFonts w:ascii="Times New Roman" w:hAnsi="Times New Roman" w:cs="Times New Roman"/>
                <w:sz w:val="16"/>
                <w:szCs w:val="16"/>
                <w:lang w:val="en-GB"/>
              </w:rPr>
            </w:pPr>
          </w:p>
        </w:tc>
        <w:tc>
          <w:tcPr>
            <w:tcW w:w="925" w:type="dxa"/>
          </w:tcPr>
          <w:p w14:paraId="302C8FB6" w14:textId="77777777" w:rsidR="00E43EB2" w:rsidRPr="00AE77D4" w:rsidRDefault="00E43EB2" w:rsidP="00AE77D4">
            <w:pPr>
              <w:spacing w:line="276" w:lineRule="auto"/>
              <w:rPr>
                <w:rFonts w:ascii="Times New Roman" w:hAnsi="Times New Roman" w:cs="Times New Roman"/>
                <w:sz w:val="16"/>
                <w:szCs w:val="16"/>
                <w:lang w:val="en-GB"/>
              </w:rPr>
            </w:pPr>
          </w:p>
        </w:tc>
        <w:tc>
          <w:tcPr>
            <w:tcW w:w="1254" w:type="dxa"/>
          </w:tcPr>
          <w:p w14:paraId="3892120F" w14:textId="77777777" w:rsidR="00E43EB2" w:rsidRPr="00AE77D4" w:rsidRDefault="00E43EB2" w:rsidP="00AE77D4">
            <w:pPr>
              <w:spacing w:line="276" w:lineRule="auto"/>
              <w:rPr>
                <w:rFonts w:ascii="Times New Roman" w:hAnsi="Times New Roman" w:cs="Times New Roman"/>
                <w:sz w:val="16"/>
                <w:szCs w:val="16"/>
                <w:lang w:val="en-GB"/>
              </w:rPr>
            </w:pPr>
          </w:p>
        </w:tc>
        <w:tc>
          <w:tcPr>
            <w:tcW w:w="1002" w:type="dxa"/>
          </w:tcPr>
          <w:p w14:paraId="56CB943A" w14:textId="77777777" w:rsidR="00E43EB2" w:rsidRPr="00AE77D4" w:rsidRDefault="00E43EB2" w:rsidP="00AE77D4">
            <w:pPr>
              <w:spacing w:line="276" w:lineRule="auto"/>
              <w:rPr>
                <w:rFonts w:ascii="Times New Roman" w:hAnsi="Times New Roman" w:cs="Times New Roman"/>
                <w:sz w:val="16"/>
                <w:szCs w:val="16"/>
                <w:lang w:val="en-GB"/>
              </w:rPr>
            </w:pPr>
          </w:p>
        </w:tc>
        <w:tc>
          <w:tcPr>
            <w:tcW w:w="894" w:type="dxa"/>
          </w:tcPr>
          <w:p w14:paraId="5B02598C"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5.28***</w:t>
            </w:r>
          </w:p>
        </w:tc>
        <w:tc>
          <w:tcPr>
            <w:tcW w:w="1149" w:type="dxa"/>
          </w:tcPr>
          <w:p w14:paraId="04323FF5"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3.775***</w:t>
            </w:r>
          </w:p>
        </w:tc>
      </w:tr>
      <w:tr w:rsidR="00AE77D4" w:rsidRPr="00AE77D4" w14:paraId="52EBFAF8" w14:textId="77777777" w:rsidTr="001F0BF3">
        <w:trPr>
          <w:trHeight w:val="175"/>
        </w:trPr>
        <w:tc>
          <w:tcPr>
            <w:tcW w:w="2173" w:type="dxa"/>
            <w:gridSpan w:val="2"/>
            <w:shd w:val="clear" w:color="auto" w:fill="E7E6E6" w:themeFill="background2"/>
          </w:tcPr>
          <w:p w14:paraId="353E4AF2"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Control variables:</w:t>
            </w:r>
          </w:p>
        </w:tc>
        <w:tc>
          <w:tcPr>
            <w:tcW w:w="821" w:type="dxa"/>
            <w:shd w:val="clear" w:color="auto" w:fill="E7E6E6" w:themeFill="background2"/>
          </w:tcPr>
          <w:p w14:paraId="31CDF052" w14:textId="77777777" w:rsidR="00E43EB2" w:rsidRPr="00AE77D4" w:rsidRDefault="00E43EB2" w:rsidP="00AE77D4">
            <w:pPr>
              <w:spacing w:line="276" w:lineRule="auto"/>
              <w:rPr>
                <w:rFonts w:ascii="Times New Roman" w:hAnsi="Times New Roman" w:cs="Times New Roman"/>
                <w:sz w:val="16"/>
                <w:szCs w:val="16"/>
                <w:lang w:val="en-GB"/>
              </w:rPr>
            </w:pPr>
          </w:p>
        </w:tc>
        <w:tc>
          <w:tcPr>
            <w:tcW w:w="974" w:type="dxa"/>
            <w:shd w:val="clear" w:color="auto" w:fill="E7E6E6" w:themeFill="background2"/>
          </w:tcPr>
          <w:p w14:paraId="44893B6D" w14:textId="77777777" w:rsidR="00E43EB2" w:rsidRPr="00AE77D4" w:rsidRDefault="00E43EB2" w:rsidP="00AE77D4">
            <w:pPr>
              <w:spacing w:line="276" w:lineRule="auto"/>
              <w:rPr>
                <w:rFonts w:ascii="Times New Roman" w:hAnsi="Times New Roman" w:cs="Times New Roman"/>
                <w:sz w:val="16"/>
                <w:szCs w:val="16"/>
                <w:lang w:val="en-GB"/>
              </w:rPr>
            </w:pPr>
          </w:p>
        </w:tc>
        <w:tc>
          <w:tcPr>
            <w:tcW w:w="925" w:type="dxa"/>
            <w:shd w:val="clear" w:color="auto" w:fill="E7E6E6" w:themeFill="background2"/>
          </w:tcPr>
          <w:p w14:paraId="5FB9A2EE" w14:textId="77777777" w:rsidR="00E43EB2" w:rsidRPr="00AE77D4" w:rsidRDefault="00E43EB2" w:rsidP="00AE77D4">
            <w:pPr>
              <w:spacing w:line="276" w:lineRule="auto"/>
              <w:rPr>
                <w:rFonts w:ascii="Times New Roman" w:hAnsi="Times New Roman" w:cs="Times New Roman"/>
                <w:sz w:val="16"/>
                <w:szCs w:val="16"/>
                <w:lang w:val="en-GB"/>
              </w:rPr>
            </w:pPr>
          </w:p>
        </w:tc>
        <w:tc>
          <w:tcPr>
            <w:tcW w:w="1254" w:type="dxa"/>
            <w:shd w:val="clear" w:color="auto" w:fill="E7E6E6" w:themeFill="background2"/>
          </w:tcPr>
          <w:p w14:paraId="6FAC7899" w14:textId="77777777" w:rsidR="00E43EB2" w:rsidRPr="00AE77D4" w:rsidRDefault="00E43EB2" w:rsidP="00AE77D4">
            <w:pPr>
              <w:spacing w:line="276" w:lineRule="auto"/>
              <w:rPr>
                <w:rFonts w:ascii="Times New Roman" w:hAnsi="Times New Roman" w:cs="Times New Roman"/>
                <w:sz w:val="16"/>
                <w:szCs w:val="16"/>
                <w:lang w:val="en-GB"/>
              </w:rPr>
            </w:pPr>
          </w:p>
        </w:tc>
        <w:tc>
          <w:tcPr>
            <w:tcW w:w="1002" w:type="dxa"/>
            <w:shd w:val="clear" w:color="auto" w:fill="E7E6E6" w:themeFill="background2"/>
          </w:tcPr>
          <w:p w14:paraId="469B7440" w14:textId="77777777" w:rsidR="00E43EB2" w:rsidRPr="00AE77D4" w:rsidRDefault="00E43EB2" w:rsidP="00AE77D4">
            <w:pPr>
              <w:spacing w:line="276" w:lineRule="auto"/>
              <w:rPr>
                <w:rFonts w:ascii="Times New Roman" w:hAnsi="Times New Roman" w:cs="Times New Roman"/>
                <w:sz w:val="16"/>
                <w:szCs w:val="16"/>
                <w:lang w:val="en-GB"/>
              </w:rPr>
            </w:pPr>
          </w:p>
        </w:tc>
        <w:tc>
          <w:tcPr>
            <w:tcW w:w="894" w:type="dxa"/>
            <w:shd w:val="clear" w:color="auto" w:fill="E7E6E6" w:themeFill="background2"/>
          </w:tcPr>
          <w:p w14:paraId="54C7A007" w14:textId="77777777" w:rsidR="00E43EB2" w:rsidRPr="00AE77D4" w:rsidRDefault="00E43EB2" w:rsidP="00AE77D4">
            <w:pPr>
              <w:spacing w:line="276" w:lineRule="auto"/>
              <w:rPr>
                <w:rFonts w:ascii="Times New Roman" w:hAnsi="Times New Roman" w:cs="Times New Roman"/>
                <w:sz w:val="16"/>
                <w:szCs w:val="16"/>
                <w:lang w:val="en-GB"/>
              </w:rPr>
            </w:pPr>
          </w:p>
        </w:tc>
        <w:tc>
          <w:tcPr>
            <w:tcW w:w="1149" w:type="dxa"/>
            <w:shd w:val="clear" w:color="auto" w:fill="E7E6E6" w:themeFill="background2"/>
          </w:tcPr>
          <w:p w14:paraId="09531226" w14:textId="77777777" w:rsidR="00E43EB2" w:rsidRPr="00AE77D4" w:rsidRDefault="00E43EB2" w:rsidP="00AE77D4">
            <w:pPr>
              <w:spacing w:line="276" w:lineRule="auto"/>
              <w:rPr>
                <w:rFonts w:ascii="Times New Roman" w:hAnsi="Times New Roman" w:cs="Times New Roman"/>
                <w:sz w:val="16"/>
                <w:szCs w:val="16"/>
                <w:lang w:val="en-GB"/>
              </w:rPr>
            </w:pPr>
          </w:p>
        </w:tc>
      </w:tr>
      <w:tr w:rsidR="00AE77D4" w:rsidRPr="00AE77D4" w14:paraId="44E05487" w14:textId="77777777" w:rsidTr="001F0BF3">
        <w:trPr>
          <w:trHeight w:val="225"/>
        </w:trPr>
        <w:tc>
          <w:tcPr>
            <w:tcW w:w="1188" w:type="dxa"/>
          </w:tcPr>
          <w:p w14:paraId="4207DAA7" w14:textId="77777777" w:rsidR="00E43EB2"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SIZE</w:t>
            </w:r>
          </w:p>
        </w:tc>
        <w:tc>
          <w:tcPr>
            <w:tcW w:w="985" w:type="dxa"/>
          </w:tcPr>
          <w:p w14:paraId="425C1B59"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21" w:type="dxa"/>
          </w:tcPr>
          <w:p w14:paraId="629207A3"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74" w:type="dxa"/>
          </w:tcPr>
          <w:p w14:paraId="173BDE0C"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25" w:type="dxa"/>
          </w:tcPr>
          <w:p w14:paraId="6EC22010"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54" w:type="dxa"/>
          </w:tcPr>
          <w:p w14:paraId="2854FE60"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002" w:type="dxa"/>
          </w:tcPr>
          <w:p w14:paraId="5FAF6664"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94" w:type="dxa"/>
          </w:tcPr>
          <w:p w14:paraId="66F7E909"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49" w:type="dxa"/>
          </w:tcPr>
          <w:p w14:paraId="4FB3EEE3"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r>
      <w:tr w:rsidR="00AE77D4" w:rsidRPr="00AE77D4" w14:paraId="5295F3D9" w14:textId="77777777" w:rsidTr="001F0BF3">
        <w:trPr>
          <w:trHeight w:val="239"/>
        </w:trPr>
        <w:tc>
          <w:tcPr>
            <w:tcW w:w="1188" w:type="dxa"/>
            <w:shd w:val="clear" w:color="auto" w:fill="E7E6E6" w:themeFill="background2"/>
          </w:tcPr>
          <w:p w14:paraId="6D17A59E" w14:textId="77777777" w:rsidR="00E43EB2"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ROA</w:t>
            </w:r>
          </w:p>
        </w:tc>
        <w:tc>
          <w:tcPr>
            <w:tcW w:w="985" w:type="dxa"/>
            <w:shd w:val="clear" w:color="auto" w:fill="E7E6E6" w:themeFill="background2"/>
          </w:tcPr>
          <w:p w14:paraId="3F3991CA"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21" w:type="dxa"/>
            <w:shd w:val="clear" w:color="auto" w:fill="E7E6E6" w:themeFill="background2"/>
          </w:tcPr>
          <w:p w14:paraId="1E9AC1BC"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74" w:type="dxa"/>
            <w:shd w:val="clear" w:color="auto" w:fill="E7E6E6" w:themeFill="background2"/>
          </w:tcPr>
          <w:p w14:paraId="32070A7C"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25" w:type="dxa"/>
            <w:shd w:val="clear" w:color="auto" w:fill="E7E6E6" w:themeFill="background2"/>
          </w:tcPr>
          <w:p w14:paraId="532A11EF"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54" w:type="dxa"/>
            <w:shd w:val="clear" w:color="auto" w:fill="E7E6E6" w:themeFill="background2"/>
          </w:tcPr>
          <w:p w14:paraId="0FFEE454"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002" w:type="dxa"/>
            <w:shd w:val="clear" w:color="auto" w:fill="E7E6E6" w:themeFill="background2"/>
          </w:tcPr>
          <w:p w14:paraId="408A3093"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94" w:type="dxa"/>
            <w:shd w:val="clear" w:color="auto" w:fill="E7E6E6" w:themeFill="background2"/>
          </w:tcPr>
          <w:p w14:paraId="10764AE0"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49" w:type="dxa"/>
            <w:shd w:val="clear" w:color="auto" w:fill="E7E6E6" w:themeFill="background2"/>
          </w:tcPr>
          <w:p w14:paraId="25233431"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r>
      <w:tr w:rsidR="00AE77D4" w:rsidRPr="00AE77D4" w14:paraId="38A70968" w14:textId="77777777" w:rsidTr="001F0BF3">
        <w:trPr>
          <w:trHeight w:val="225"/>
        </w:trPr>
        <w:tc>
          <w:tcPr>
            <w:tcW w:w="1188" w:type="dxa"/>
          </w:tcPr>
          <w:p w14:paraId="5DB8A093" w14:textId="77777777" w:rsidR="00E43EB2"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eastAsia="Times New Roman" w:hAnsi="Times New Roman" w:cs="Times New Roman"/>
                <w:sz w:val="16"/>
                <w:szCs w:val="16"/>
                <w:lang w:val="en-GB"/>
              </w:rPr>
              <w:t>LEV</w:t>
            </w:r>
          </w:p>
        </w:tc>
        <w:tc>
          <w:tcPr>
            <w:tcW w:w="985" w:type="dxa"/>
          </w:tcPr>
          <w:p w14:paraId="0EF511F4"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21" w:type="dxa"/>
          </w:tcPr>
          <w:p w14:paraId="6ABE7C5A"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74" w:type="dxa"/>
          </w:tcPr>
          <w:p w14:paraId="28B58A2C"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25" w:type="dxa"/>
          </w:tcPr>
          <w:p w14:paraId="57828F07"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54" w:type="dxa"/>
          </w:tcPr>
          <w:p w14:paraId="46B5DF9A"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002" w:type="dxa"/>
          </w:tcPr>
          <w:p w14:paraId="4A4FEB8A"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94" w:type="dxa"/>
          </w:tcPr>
          <w:p w14:paraId="770BE9BE"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49" w:type="dxa"/>
          </w:tcPr>
          <w:p w14:paraId="1F130B59"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r>
      <w:tr w:rsidR="00AE77D4" w:rsidRPr="00AE77D4" w14:paraId="1A2C24F5" w14:textId="77777777" w:rsidTr="001F0BF3">
        <w:trPr>
          <w:trHeight w:val="452"/>
        </w:trPr>
        <w:tc>
          <w:tcPr>
            <w:tcW w:w="1188" w:type="dxa"/>
            <w:shd w:val="clear" w:color="auto" w:fill="E7E6E6" w:themeFill="background2"/>
          </w:tcPr>
          <w:p w14:paraId="7B20BDD5"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Year fixed effect</w:t>
            </w:r>
          </w:p>
        </w:tc>
        <w:tc>
          <w:tcPr>
            <w:tcW w:w="985" w:type="dxa"/>
            <w:shd w:val="clear" w:color="auto" w:fill="E7E6E6" w:themeFill="background2"/>
          </w:tcPr>
          <w:p w14:paraId="321F9987"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21" w:type="dxa"/>
            <w:shd w:val="clear" w:color="auto" w:fill="E7E6E6" w:themeFill="background2"/>
          </w:tcPr>
          <w:p w14:paraId="0151A158"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74" w:type="dxa"/>
            <w:shd w:val="clear" w:color="auto" w:fill="E7E6E6" w:themeFill="background2"/>
          </w:tcPr>
          <w:p w14:paraId="33A76385"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25" w:type="dxa"/>
            <w:shd w:val="clear" w:color="auto" w:fill="E7E6E6" w:themeFill="background2"/>
          </w:tcPr>
          <w:p w14:paraId="37A1A1C9"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54" w:type="dxa"/>
            <w:shd w:val="clear" w:color="auto" w:fill="E7E6E6" w:themeFill="background2"/>
          </w:tcPr>
          <w:p w14:paraId="4EC87166"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002" w:type="dxa"/>
            <w:shd w:val="clear" w:color="auto" w:fill="E7E6E6" w:themeFill="background2"/>
          </w:tcPr>
          <w:p w14:paraId="7AB34253"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94" w:type="dxa"/>
            <w:shd w:val="clear" w:color="auto" w:fill="E7E6E6" w:themeFill="background2"/>
          </w:tcPr>
          <w:p w14:paraId="4A04560C"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49" w:type="dxa"/>
            <w:shd w:val="clear" w:color="auto" w:fill="E7E6E6" w:themeFill="background2"/>
          </w:tcPr>
          <w:p w14:paraId="2365F9C8"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r>
      <w:tr w:rsidR="00AE77D4" w:rsidRPr="00AE77D4" w14:paraId="4C3BBA77" w14:textId="77777777" w:rsidTr="001F0BF3">
        <w:trPr>
          <w:trHeight w:val="452"/>
        </w:trPr>
        <w:tc>
          <w:tcPr>
            <w:tcW w:w="1188" w:type="dxa"/>
            <w:shd w:val="clear" w:color="auto" w:fill="E7E6E6" w:themeFill="background2"/>
          </w:tcPr>
          <w:p w14:paraId="2A92806E"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Industry effect</w:t>
            </w:r>
          </w:p>
        </w:tc>
        <w:tc>
          <w:tcPr>
            <w:tcW w:w="985" w:type="dxa"/>
            <w:shd w:val="clear" w:color="auto" w:fill="E7E6E6" w:themeFill="background2"/>
          </w:tcPr>
          <w:p w14:paraId="5155C2FE"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21" w:type="dxa"/>
            <w:shd w:val="clear" w:color="auto" w:fill="E7E6E6" w:themeFill="background2"/>
          </w:tcPr>
          <w:p w14:paraId="62266B9B"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74" w:type="dxa"/>
            <w:shd w:val="clear" w:color="auto" w:fill="E7E6E6" w:themeFill="background2"/>
          </w:tcPr>
          <w:p w14:paraId="76FAF145"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925" w:type="dxa"/>
            <w:shd w:val="clear" w:color="auto" w:fill="E7E6E6" w:themeFill="background2"/>
          </w:tcPr>
          <w:p w14:paraId="1406EDB6"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254" w:type="dxa"/>
            <w:shd w:val="clear" w:color="auto" w:fill="E7E6E6" w:themeFill="background2"/>
          </w:tcPr>
          <w:p w14:paraId="68DA2C84"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002" w:type="dxa"/>
            <w:shd w:val="clear" w:color="auto" w:fill="E7E6E6" w:themeFill="background2"/>
          </w:tcPr>
          <w:p w14:paraId="14EAB626"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894" w:type="dxa"/>
            <w:shd w:val="clear" w:color="auto" w:fill="E7E6E6" w:themeFill="background2"/>
          </w:tcPr>
          <w:p w14:paraId="0B5A7C64"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c>
          <w:tcPr>
            <w:tcW w:w="1149" w:type="dxa"/>
            <w:shd w:val="clear" w:color="auto" w:fill="E7E6E6" w:themeFill="background2"/>
          </w:tcPr>
          <w:p w14:paraId="2962BEBA"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Y</w:t>
            </w:r>
          </w:p>
        </w:tc>
      </w:tr>
      <w:tr w:rsidR="00AE77D4" w:rsidRPr="00AE77D4" w14:paraId="71F0857F" w14:textId="77777777" w:rsidTr="001F0BF3">
        <w:trPr>
          <w:trHeight w:val="225"/>
        </w:trPr>
        <w:tc>
          <w:tcPr>
            <w:tcW w:w="1188" w:type="dxa"/>
            <w:shd w:val="clear" w:color="auto" w:fill="E7E6E6" w:themeFill="background2"/>
          </w:tcPr>
          <w:p w14:paraId="2A6D395B" w14:textId="77777777" w:rsidR="00E43EB2" w:rsidRPr="00AE77D4" w:rsidRDefault="00661A05" w:rsidP="00AE77D4">
            <w:pPr>
              <w:spacing w:line="276" w:lineRule="auto"/>
              <w:rPr>
                <w:rFonts w:ascii="Times New Roman" w:eastAsia="Times New Roman" w:hAnsi="Times New Roman" w:cs="Times New Roman"/>
                <w:sz w:val="16"/>
                <w:szCs w:val="16"/>
                <w:lang w:val="en-GB"/>
              </w:rPr>
            </w:pPr>
            <w:r w:rsidRPr="00AE77D4">
              <w:rPr>
                <w:rFonts w:ascii="Times New Roman" w:hAnsi="Times New Roman" w:cs="Times New Roman"/>
                <w:sz w:val="16"/>
                <w:szCs w:val="16"/>
                <w:lang w:val="en-GB"/>
              </w:rPr>
              <w:t>No of firm year obs.</w:t>
            </w:r>
          </w:p>
        </w:tc>
        <w:tc>
          <w:tcPr>
            <w:tcW w:w="985" w:type="dxa"/>
            <w:shd w:val="clear" w:color="auto" w:fill="E7E6E6" w:themeFill="background2"/>
          </w:tcPr>
          <w:p w14:paraId="3B3E0E88"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800</w:t>
            </w:r>
          </w:p>
        </w:tc>
        <w:tc>
          <w:tcPr>
            <w:tcW w:w="821" w:type="dxa"/>
            <w:shd w:val="clear" w:color="auto" w:fill="E7E6E6" w:themeFill="background2"/>
          </w:tcPr>
          <w:p w14:paraId="56C05344" w14:textId="77777777" w:rsidR="00E43EB2"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74" w:type="dxa"/>
            <w:shd w:val="clear" w:color="auto" w:fill="E7E6E6" w:themeFill="background2"/>
          </w:tcPr>
          <w:p w14:paraId="2B474C11" w14:textId="77777777" w:rsidR="00E43EB2"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925" w:type="dxa"/>
            <w:shd w:val="clear" w:color="auto" w:fill="E7E6E6" w:themeFill="background2"/>
          </w:tcPr>
          <w:p w14:paraId="693E0562" w14:textId="77777777" w:rsidR="00E43EB2"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1254" w:type="dxa"/>
            <w:shd w:val="clear" w:color="auto" w:fill="E7E6E6" w:themeFill="background2"/>
          </w:tcPr>
          <w:p w14:paraId="0B617F4F" w14:textId="77777777" w:rsidR="00E43EB2"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1002" w:type="dxa"/>
            <w:shd w:val="clear" w:color="auto" w:fill="E7E6E6" w:themeFill="background2"/>
          </w:tcPr>
          <w:p w14:paraId="365DB318" w14:textId="77777777" w:rsidR="00E43EB2"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894" w:type="dxa"/>
            <w:shd w:val="clear" w:color="auto" w:fill="E7E6E6" w:themeFill="background2"/>
          </w:tcPr>
          <w:p w14:paraId="43AC7ECE" w14:textId="77777777" w:rsidR="00E43EB2"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c>
          <w:tcPr>
            <w:tcW w:w="1149" w:type="dxa"/>
            <w:shd w:val="clear" w:color="auto" w:fill="E7E6E6" w:themeFill="background2"/>
          </w:tcPr>
          <w:p w14:paraId="4B896B91" w14:textId="77777777" w:rsidR="00E43EB2" w:rsidRPr="00AE77D4" w:rsidRDefault="00661A05" w:rsidP="00AE77D4">
            <w:pPr>
              <w:spacing w:line="276" w:lineRule="auto"/>
              <w:rPr>
                <w:lang w:val="en-GB"/>
              </w:rPr>
            </w:pPr>
            <w:r w:rsidRPr="00AE77D4">
              <w:rPr>
                <w:rFonts w:ascii="Times New Roman" w:hAnsi="Times New Roman" w:cs="Times New Roman"/>
                <w:sz w:val="16"/>
                <w:szCs w:val="16"/>
                <w:lang w:val="en-GB"/>
              </w:rPr>
              <w:t>800</w:t>
            </w:r>
          </w:p>
        </w:tc>
      </w:tr>
      <w:tr w:rsidR="00AE77D4" w:rsidRPr="00AE77D4" w14:paraId="086C6974" w14:textId="77777777" w:rsidTr="001F0BF3">
        <w:trPr>
          <w:trHeight w:val="239"/>
        </w:trPr>
        <w:tc>
          <w:tcPr>
            <w:tcW w:w="1188" w:type="dxa"/>
          </w:tcPr>
          <w:p w14:paraId="333E4196"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 xml:space="preserve">R2 </w:t>
            </w:r>
          </w:p>
        </w:tc>
        <w:tc>
          <w:tcPr>
            <w:tcW w:w="985" w:type="dxa"/>
          </w:tcPr>
          <w:p w14:paraId="7666F945"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19.396</w:t>
            </w:r>
          </w:p>
        </w:tc>
        <w:tc>
          <w:tcPr>
            <w:tcW w:w="821" w:type="dxa"/>
          </w:tcPr>
          <w:p w14:paraId="6775CDD7"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19.573</w:t>
            </w:r>
          </w:p>
        </w:tc>
        <w:tc>
          <w:tcPr>
            <w:tcW w:w="974" w:type="dxa"/>
          </w:tcPr>
          <w:p w14:paraId="2D66A206"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19.183</w:t>
            </w:r>
          </w:p>
        </w:tc>
        <w:tc>
          <w:tcPr>
            <w:tcW w:w="925" w:type="dxa"/>
          </w:tcPr>
          <w:p w14:paraId="55628FC1"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19.58</w:t>
            </w:r>
          </w:p>
        </w:tc>
        <w:tc>
          <w:tcPr>
            <w:tcW w:w="1254" w:type="dxa"/>
          </w:tcPr>
          <w:p w14:paraId="4131B535"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19.571</w:t>
            </w:r>
          </w:p>
        </w:tc>
        <w:tc>
          <w:tcPr>
            <w:tcW w:w="1002" w:type="dxa"/>
          </w:tcPr>
          <w:p w14:paraId="2B0180C8"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19.491</w:t>
            </w:r>
          </w:p>
        </w:tc>
        <w:tc>
          <w:tcPr>
            <w:tcW w:w="894" w:type="dxa"/>
          </w:tcPr>
          <w:p w14:paraId="73B639EA"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19.105</w:t>
            </w:r>
          </w:p>
        </w:tc>
        <w:tc>
          <w:tcPr>
            <w:tcW w:w="1149" w:type="dxa"/>
          </w:tcPr>
          <w:p w14:paraId="30D8CE3B" w14:textId="77777777" w:rsidR="00E43EB2" w:rsidRPr="00AE77D4" w:rsidRDefault="00661A05" w:rsidP="00AE77D4">
            <w:pPr>
              <w:spacing w:line="276" w:lineRule="auto"/>
              <w:rPr>
                <w:rFonts w:ascii="Times New Roman" w:hAnsi="Times New Roman" w:cs="Times New Roman"/>
                <w:sz w:val="16"/>
                <w:szCs w:val="16"/>
                <w:lang w:val="en-GB"/>
              </w:rPr>
            </w:pPr>
            <w:r w:rsidRPr="00AE77D4">
              <w:rPr>
                <w:rFonts w:ascii="Times New Roman" w:hAnsi="Times New Roman" w:cs="Times New Roman"/>
                <w:sz w:val="16"/>
                <w:szCs w:val="16"/>
                <w:lang w:val="en-GB"/>
              </w:rPr>
              <w:t>18.732</w:t>
            </w:r>
          </w:p>
        </w:tc>
      </w:tr>
      <w:tr w:rsidR="00AB775B" w:rsidRPr="00AE77D4" w14:paraId="6CAAD059" w14:textId="77777777" w:rsidTr="001F0BF3">
        <w:trPr>
          <w:trHeight w:val="239"/>
        </w:trPr>
        <w:tc>
          <w:tcPr>
            <w:tcW w:w="9192" w:type="dxa"/>
            <w:gridSpan w:val="9"/>
          </w:tcPr>
          <w:p w14:paraId="42164D93" w14:textId="3F9240D6" w:rsidR="00E43EB2"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16"/>
                <w:szCs w:val="16"/>
                <w:lang w:val="en-GB"/>
              </w:rPr>
              <w:t>Notes: (1) *, **, *** significance at 10%, 5%, and 1% levels of confidence, respectively. (2) See Table 2 for variable definitions.</w:t>
            </w:r>
          </w:p>
        </w:tc>
      </w:tr>
    </w:tbl>
    <w:p w14:paraId="7FA020E1" w14:textId="77777777" w:rsidR="00E134CB" w:rsidRPr="00AE77D4" w:rsidRDefault="00E134CB" w:rsidP="00AE77D4">
      <w:pPr>
        <w:spacing w:after="0" w:line="276" w:lineRule="auto"/>
        <w:jc w:val="both"/>
        <w:rPr>
          <w:rFonts w:ascii="Times New Roman" w:hAnsi="Times New Roman" w:cs="Times New Roman"/>
          <w:sz w:val="24"/>
          <w:szCs w:val="24"/>
          <w:lang w:val="en-GB"/>
        </w:rPr>
      </w:pPr>
    </w:p>
    <w:p w14:paraId="3B445C6C" w14:textId="7B07ED97" w:rsidR="00190B6B" w:rsidRPr="00AE77D4" w:rsidRDefault="00661A05" w:rsidP="00AE77D4">
      <w:pPr>
        <w:spacing w:after="0" w:line="276" w:lineRule="auto"/>
        <w:jc w:val="both"/>
        <w:rPr>
          <w:rFonts w:ascii="Times New Roman" w:hAnsi="Times New Roman" w:cs="Times New Roman"/>
          <w:sz w:val="24"/>
          <w:szCs w:val="24"/>
        </w:rPr>
      </w:pPr>
      <w:r w:rsidRPr="00AE77D4">
        <w:rPr>
          <w:rFonts w:ascii="Times New Roman" w:hAnsi="Times New Roman" w:cs="Times New Roman"/>
          <w:i/>
          <w:iCs/>
          <w:sz w:val="24"/>
          <w:szCs w:val="24"/>
          <w:lang w:val="en-GB"/>
        </w:rPr>
        <w:t>6.3.</w:t>
      </w:r>
      <w:r w:rsidR="004626FD" w:rsidRPr="00AE77D4">
        <w:rPr>
          <w:rFonts w:ascii="Times New Roman" w:hAnsi="Times New Roman" w:cs="Times New Roman"/>
          <w:i/>
          <w:iCs/>
          <w:sz w:val="24"/>
          <w:szCs w:val="24"/>
          <w:lang w:val="en-GB"/>
        </w:rPr>
        <w:t>2</w:t>
      </w:r>
      <w:r w:rsidRPr="00AE77D4">
        <w:rPr>
          <w:rFonts w:ascii="Times New Roman" w:hAnsi="Times New Roman" w:cs="Times New Roman"/>
          <w:b/>
          <w:bCs/>
          <w:sz w:val="24"/>
          <w:szCs w:val="24"/>
          <w:lang w:val="en-GB"/>
        </w:rPr>
        <w:t xml:space="preserve"> </w:t>
      </w:r>
      <w:r w:rsidRPr="00AE77D4">
        <w:rPr>
          <w:rFonts w:ascii="Times New Roman" w:hAnsi="Times New Roman" w:cs="Times New Roman"/>
          <w:b/>
          <w:sz w:val="24"/>
          <w:szCs w:val="24"/>
          <w:lang w:val="en-GB"/>
        </w:rPr>
        <w:t xml:space="preserve">| </w:t>
      </w:r>
      <w:r w:rsidRPr="00AE77D4">
        <w:rPr>
          <w:rFonts w:ascii="Times New Roman" w:hAnsi="Times New Roman" w:cs="Times New Roman"/>
          <w:i/>
          <w:iCs/>
          <w:sz w:val="24"/>
          <w:szCs w:val="24"/>
          <w:lang w:val="en-GB"/>
        </w:rPr>
        <w:t>Lagged</w:t>
      </w:r>
      <w:r w:rsidR="00B1077D" w:rsidRPr="00AE77D4">
        <w:rPr>
          <w:rFonts w:ascii="Times New Roman" w:hAnsi="Times New Roman" w:cs="Times New Roman"/>
          <w:i/>
          <w:iCs/>
          <w:sz w:val="24"/>
          <w:szCs w:val="24"/>
          <w:lang w:val="en-GB"/>
        </w:rPr>
        <w:t xml:space="preserve"> CCD</w:t>
      </w:r>
      <w:r w:rsidRPr="00AE77D4">
        <w:rPr>
          <w:rFonts w:ascii="Times New Roman" w:hAnsi="Times New Roman" w:cs="Times New Roman"/>
          <w:i/>
          <w:iCs/>
          <w:sz w:val="24"/>
          <w:szCs w:val="24"/>
          <w:lang w:val="en-GB"/>
        </w:rPr>
        <w:t>:</w:t>
      </w:r>
      <w:r w:rsidRPr="00AE77D4">
        <w:rPr>
          <w:rFonts w:ascii="Times New Roman" w:hAnsi="Times New Roman" w:cs="Times New Roman"/>
          <w:sz w:val="24"/>
          <w:szCs w:val="24"/>
          <w:lang w:val="en-GB"/>
        </w:rPr>
        <w:t xml:space="preserve"> </w:t>
      </w:r>
      <w:r w:rsidR="007962E4" w:rsidRPr="00AE77D4">
        <w:rPr>
          <w:rFonts w:ascii="Times New Roman" w:hAnsi="Times New Roman" w:cs="Times New Roman"/>
          <w:sz w:val="24"/>
          <w:szCs w:val="24"/>
          <w:lang w:val="en-GB"/>
        </w:rPr>
        <w:t xml:space="preserve">We posit that the impact of regulatory influence may unfold gradually with changes manifesting over time. To explore this temporal dynamic, we re-estimated </w:t>
      </w:r>
      <w:r w:rsidR="007962E4" w:rsidRPr="00AE77D4">
        <w:rPr>
          <w:rFonts w:ascii="Times New Roman" w:hAnsi="Times New Roman" w:cs="Times New Roman"/>
          <w:sz w:val="24"/>
          <w:szCs w:val="24"/>
          <w:lang w:val="en-GB"/>
        </w:rPr>
        <w:lastRenderedPageBreak/>
        <w:t>Models 1–3 by incorporating a lagged dependent variable, CCD. It is noteworthy that these lagged variable results essentially replicate our original findings, reinforcing the robustness and consistency of the observed relationships. Confirming the positive and significant impact of board size, independent directors, foreign directors, and audit committee</w:t>
      </w:r>
      <w:r w:rsidRPr="00AE77D4">
        <w:rPr>
          <w:rFonts w:ascii="Times New Roman" w:eastAsia="Calibri" w:hAnsi="Times New Roman" w:cs="Times New Roman"/>
          <w:sz w:val="24"/>
          <w:szCs w:val="24"/>
          <w:lang w:val="en-GB"/>
        </w:rPr>
        <w:t xml:space="preserve">s on CCD, Table 9 presents the results. Conversely, CEO Duality exhibits a </w:t>
      </w:r>
      <w:r w:rsidR="007962E4" w:rsidRPr="00AE77D4">
        <w:rPr>
          <w:rFonts w:ascii="Times New Roman" w:hAnsi="Times New Roman" w:cs="Times New Roman"/>
          <w:sz w:val="24"/>
          <w:szCs w:val="24"/>
          <w:lang w:val="en-GB"/>
        </w:rPr>
        <w:t>negative and significant association with CCD, suggesting that the separation of Chairman and CEO roles positively influences climate change disclosures. The nuanced relationship between Board Meetings and CCD implies a potential trade-off between meeting frequency and disclosure practice. These findings underscore the enduring influence of corporate governance factors on climate-related disclosures across different periods.</w:t>
      </w:r>
    </w:p>
    <w:tbl>
      <w:tblPr>
        <w:tblStyle w:val="GridTable23"/>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2248"/>
        <w:gridCol w:w="2248"/>
        <w:gridCol w:w="2248"/>
      </w:tblGrid>
      <w:tr w:rsidR="00AE77D4" w:rsidRPr="00AE77D4" w14:paraId="6FDD4862" w14:textId="77777777" w:rsidTr="00AB775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8806" w:type="dxa"/>
            <w:gridSpan w:val="4"/>
            <w:tcBorders>
              <w:top w:val="single" w:sz="4" w:space="0" w:color="auto"/>
              <w:left w:val="nil"/>
              <w:bottom w:val="nil"/>
              <w:right w:val="nil"/>
            </w:tcBorders>
          </w:tcPr>
          <w:p w14:paraId="0F19E7C6" w14:textId="2A39E5E9" w:rsidR="00190B6B" w:rsidRPr="00AE77D4" w:rsidRDefault="00661A05" w:rsidP="00AE77D4">
            <w:pPr>
              <w:spacing w:line="276" w:lineRule="auto"/>
              <w:rPr>
                <w:rFonts w:cs="Times New Roman"/>
              </w:rPr>
            </w:pPr>
            <w:r w:rsidRPr="00AE77D4">
              <w:rPr>
                <w:rFonts w:cs="Times New Roman"/>
              </w:rPr>
              <w:t xml:space="preserve">Table 9.  </w:t>
            </w:r>
            <w:r w:rsidR="00E64810" w:rsidRPr="00AE77D4">
              <w:rPr>
                <w:rFonts w:cs="Times New Roman"/>
                <w:b w:val="0"/>
                <w:lang w:val="en-GB"/>
              </w:rPr>
              <w:t>L</w:t>
            </w:r>
            <w:r w:rsidRPr="00AE77D4">
              <w:rPr>
                <w:rFonts w:cs="Times New Roman"/>
                <w:b w:val="0"/>
                <w:lang w:val="en-GB"/>
              </w:rPr>
              <w:t>ag</w:t>
            </w:r>
            <w:r w:rsidR="00A22F6D" w:rsidRPr="00AE77D4">
              <w:rPr>
                <w:rFonts w:cs="Times New Roman"/>
                <w:b w:val="0"/>
                <w:lang w:val="en-GB"/>
              </w:rPr>
              <w:t>ged</w:t>
            </w:r>
            <w:r w:rsidRPr="00AE77D4">
              <w:rPr>
                <w:rFonts w:cs="Times New Roman"/>
                <w:b w:val="0"/>
                <w:lang w:val="en-GB"/>
              </w:rPr>
              <w:t xml:space="preserve"> effect</w:t>
            </w:r>
            <w:r w:rsidRPr="00AE77D4">
              <w:rPr>
                <w:rFonts w:cs="Times New Roman"/>
              </w:rPr>
              <w:t xml:space="preserve"> </w:t>
            </w:r>
            <w:r w:rsidRPr="00AE77D4">
              <w:rPr>
                <w:rFonts w:cs="Times New Roman"/>
                <w:b w:val="0"/>
              </w:rPr>
              <w:t>results on the relationship between CG and CCD</w:t>
            </w:r>
          </w:p>
        </w:tc>
      </w:tr>
      <w:tr w:rsidR="00AE77D4" w:rsidRPr="00AE77D4" w14:paraId="7F9023D9" w14:textId="77777777" w:rsidTr="00AB7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single" w:sz="4" w:space="0" w:color="auto"/>
              <w:right w:val="nil"/>
            </w:tcBorders>
          </w:tcPr>
          <w:p w14:paraId="172EB873" w14:textId="2C66B06D" w:rsidR="00190B6B" w:rsidRPr="00AE77D4" w:rsidRDefault="00221E17" w:rsidP="00AE77D4">
            <w:pPr>
              <w:spacing w:line="276" w:lineRule="auto"/>
              <w:rPr>
                <w:rFonts w:cs="Times New Roman"/>
                <w:sz w:val="20"/>
                <w:szCs w:val="20"/>
              </w:rPr>
            </w:pPr>
            <w:r w:rsidRPr="00AE77D4">
              <w:rPr>
                <w:rFonts w:cs="Times New Roman"/>
                <w:b w:val="0"/>
                <w:sz w:val="20"/>
                <w:szCs w:val="20"/>
              </w:rPr>
              <w:t>Variable Name</w:t>
            </w:r>
          </w:p>
        </w:tc>
        <w:tc>
          <w:tcPr>
            <w:tcW w:w="2248" w:type="dxa"/>
            <w:tcBorders>
              <w:top w:val="single" w:sz="4" w:space="0" w:color="auto"/>
              <w:left w:val="nil"/>
              <w:bottom w:val="single" w:sz="4" w:space="0" w:color="auto"/>
              <w:right w:val="nil"/>
            </w:tcBorders>
          </w:tcPr>
          <w:p w14:paraId="7666D197"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bCs/>
                <w:sz w:val="20"/>
                <w:szCs w:val="20"/>
              </w:rPr>
              <w:t>Entire Period</w:t>
            </w:r>
          </w:p>
        </w:tc>
        <w:tc>
          <w:tcPr>
            <w:tcW w:w="2248" w:type="dxa"/>
            <w:tcBorders>
              <w:top w:val="single" w:sz="4" w:space="0" w:color="auto"/>
              <w:left w:val="nil"/>
              <w:bottom w:val="single" w:sz="4" w:space="0" w:color="auto"/>
              <w:right w:val="nil"/>
            </w:tcBorders>
          </w:tcPr>
          <w:p w14:paraId="61838870"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bCs/>
                <w:sz w:val="20"/>
                <w:szCs w:val="20"/>
              </w:rPr>
              <w:t>Pre-amendment</w:t>
            </w:r>
          </w:p>
        </w:tc>
        <w:tc>
          <w:tcPr>
            <w:tcW w:w="2248" w:type="dxa"/>
            <w:tcBorders>
              <w:top w:val="single" w:sz="4" w:space="0" w:color="auto"/>
              <w:left w:val="nil"/>
              <w:bottom w:val="single" w:sz="4" w:space="0" w:color="auto"/>
              <w:right w:val="nil"/>
            </w:tcBorders>
          </w:tcPr>
          <w:p w14:paraId="0E1610D3"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bCs/>
                <w:sz w:val="20"/>
                <w:szCs w:val="20"/>
              </w:rPr>
              <w:t>Post-amendment</w:t>
            </w:r>
          </w:p>
        </w:tc>
      </w:tr>
      <w:tr w:rsidR="00AE77D4" w:rsidRPr="00AE77D4" w14:paraId="66C61C9B" w14:textId="77777777" w:rsidTr="00AB775B">
        <w:trPr>
          <w:trHeight w:val="327"/>
        </w:trPr>
        <w:tc>
          <w:tcPr>
            <w:cnfStyle w:val="001000000000" w:firstRow="0" w:lastRow="0" w:firstColumn="1" w:lastColumn="0" w:oddVBand="0" w:evenVBand="0" w:oddHBand="0" w:evenHBand="0" w:firstRowFirstColumn="0" w:firstRowLastColumn="0" w:lastRowFirstColumn="0" w:lastRowLastColumn="0"/>
            <w:tcW w:w="2062" w:type="dxa"/>
            <w:tcBorders>
              <w:top w:val="single" w:sz="4" w:space="0" w:color="auto"/>
              <w:left w:val="nil"/>
              <w:bottom w:val="single" w:sz="4" w:space="0" w:color="auto"/>
              <w:right w:val="nil"/>
            </w:tcBorders>
            <w:hideMark/>
          </w:tcPr>
          <w:p w14:paraId="57BC3AAF" w14:textId="6D8F4569" w:rsidR="00190B6B" w:rsidRPr="00AE77D4" w:rsidRDefault="00190B6B" w:rsidP="00AE77D4">
            <w:pPr>
              <w:spacing w:line="276" w:lineRule="auto"/>
              <w:rPr>
                <w:rFonts w:cs="Times New Roman"/>
                <w:sz w:val="20"/>
                <w:szCs w:val="20"/>
              </w:rPr>
            </w:pPr>
          </w:p>
        </w:tc>
        <w:tc>
          <w:tcPr>
            <w:tcW w:w="2248" w:type="dxa"/>
            <w:tcBorders>
              <w:top w:val="single" w:sz="4" w:space="0" w:color="auto"/>
              <w:left w:val="nil"/>
              <w:bottom w:val="single" w:sz="4" w:space="0" w:color="auto"/>
              <w:right w:val="nil"/>
            </w:tcBorders>
          </w:tcPr>
          <w:p w14:paraId="6B243958"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AE77D4">
              <w:rPr>
                <w:rFonts w:cs="Times New Roman"/>
                <w:bCs/>
                <w:sz w:val="20"/>
                <w:szCs w:val="20"/>
              </w:rPr>
              <w:t>Coefficient</w:t>
            </w:r>
          </w:p>
        </w:tc>
        <w:tc>
          <w:tcPr>
            <w:tcW w:w="2248" w:type="dxa"/>
            <w:tcBorders>
              <w:top w:val="single" w:sz="4" w:space="0" w:color="auto"/>
              <w:left w:val="nil"/>
              <w:bottom w:val="single" w:sz="4" w:space="0" w:color="auto"/>
              <w:right w:val="nil"/>
            </w:tcBorders>
          </w:tcPr>
          <w:p w14:paraId="67B8C2C7"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77D4">
              <w:rPr>
                <w:rFonts w:cs="Times New Roman"/>
                <w:bCs/>
                <w:sz w:val="20"/>
                <w:szCs w:val="20"/>
              </w:rPr>
              <w:t>Coefficient</w:t>
            </w:r>
          </w:p>
        </w:tc>
        <w:tc>
          <w:tcPr>
            <w:tcW w:w="2248" w:type="dxa"/>
            <w:tcBorders>
              <w:top w:val="single" w:sz="4" w:space="0" w:color="auto"/>
              <w:left w:val="nil"/>
              <w:bottom w:val="single" w:sz="4" w:space="0" w:color="auto"/>
              <w:right w:val="nil"/>
            </w:tcBorders>
          </w:tcPr>
          <w:p w14:paraId="36153605"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77D4">
              <w:rPr>
                <w:rFonts w:cs="Times New Roman"/>
                <w:bCs/>
                <w:sz w:val="20"/>
                <w:szCs w:val="20"/>
              </w:rPr>
              <w:t>Coefficient</w:t>
            </w:r>
          </w:p>
        </w:tc>
      </w:tr>
      <w:tr w:rsidR="00AE77D4" w:rsidRPr="00AE77D4" w14:paraId="77B8824F"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single" w:sz="4" w:space="0" w:color="auto"/>
              <w:left w:val="nil"/>
              <w:bottom w:val="nil"/>
              <w:right w:val="nil"/>
            </w:tcBorders>
          </w:tcPr>
          <w:p w14:paraId="59444863" w14:textId="77777777" w:rsidR="00190B6B" w:rsidRPr="00AE77D4" w:rsidRDefault="00661A05" w:rsidP="00AE77D4">
            <w:pPr>
              <w:spacing w:line="276" w:lineRule="auto"/>
              <w:rPr>
                <w:rFonts w:cs="Times New Roman"/>
                <w:sz w:val="20"/>
                <w:szCs w:val="20"/>
              </w:rPr>
            </w:pPr>
            <w:r w:rsidRPr="00AE77D4">
              <w:rPr>
                <w:rFonts w:cs="Times New Roman"/>
                <w:sz w:val="20"/>
                <w:szCs w:val="20"/>
                <w:lang w:val="en-GB"/>
              </w:rPr>
              <w:t>Models</w:t>
            </w:r>
          </w:p>
        </w:tc>
        <w:tc>
          <w:tcPr>
            <w:tcW w:w="2248" w:type="dxa"/>
            <w:tcBorders>
              <w:top w:val="single" w:sz="4" w:space="0" w:color="auto"/>
              <w:left w:val="nil"/>
              <w:bottom w:val="nil"/>
              <w:right w:val="nil"/>
            </w:tcBorders>
          </w:tcPr>
          <w:p w14:paraId="2B99F541"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(1)</w:t>
            </w:r>
          </w:p>
        </w:tc>
        <w:tc>
          <w:tcPr>
            <w:tcW w:w="2248" w:type="dxa"/>
            <w:tcBorders>
              <w:top w:val="single" w:sz="4" w:space="0" w:color="auto"/>
              <w:left w:val="nil"/>
              <w:bottom w:val="nil"/>
              <w:right w:val="nil"/>
            </w:tcBorders>
          </w:tcPr>
          <w:p w14:paraId="4C6278AF"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(2)</w:t>
            </w:r>
          </w:p>
        </w:tc>
        <w:tc>
          <w:tcPr>
            <w:tcW w:w="2248" w:type="dxa"/>
            <w:tcBorders>
              <w:top w:val="single" w:sz="4" w:space="0" w:color="auto"/>
              <w:left w:val="nil"/>
              <w:bottom w:val="nil"/>
              <w:right w:val="nil"/>
            </w:tcBorders>
          </w:tcPr>
          <w:p w14:paraId="78BCA2A5"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(3)</w:t>
            </w:r>
          </w:p>
        </w:tc>
      </w:tr>
      <w:tr w:rsidR="00AE77D4" w:rsidRPr="00AE77D4" w14:paraId="7F4FA4FC"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7C6BFFF7" w14:textId="77777777" w:rsidR="00190B6B" w:rsidRPr="00AE77D4" w:rsidRDefault="00661A05" w:rsidP="00AE77D4">
            <w:pPr>
              <w:spacing w:line="276" w:lineRule="auto"/>
              <w:rPr>
                <w:rFonts w:cs="Times New Roman"/>
                <w:sz w:val="20"/>
                <w:szCs w:val="20"/>
              </w:rPr>
            </w:pPr>
            <w:r w:rsidRPr="00AE77D4">
              <w:rPr>
                <w:rFonts w:cs="Times New Roman"/>
                <w:b w:val="0"/>
                <w:sz w:val="20"/>
                <w:szCs w:val="20"/>
              </w:rPr>
              <w:t>BSIZE</w:t>
            </w:r>
          </w:p>
        </w:tc>
        <w:tc>
          <w:tcPr>
            <w:tcW w:w="2248" w:type="dxa"/>
            <w:tcBorders>
              <w:top w:val="nil"/>
              <w:left w:val="nil"/>
              <w:bottom w:val="nil"/>
              <w:right w:val="nil"/>
            </w:tcBorders>
          </w:tcPr>
          <w:p w14:paraId="56479CE4"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1.71***</w:t>
            </w:r>
          </w:p>
        </w:tc>
        <w:tc>
          <w:tcPr>
            <w:tcW w:w="2248" w:type="dxa"/>
            <w:tcBorders>
              <w:top w:val="nil"/>
              <w:left w:val="nil"/>
              <w:bottom w:val="nil"/>
              <w:right w:val="nil"/>
            </w:tcBorders>
          </w:tcPr>
          <w:p w14:paraId="145AC1E7"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1.567**</w:t>
            </w:r>
          </w:p>
        </w:tc>
        <w:tc>
          <w:tcPr>
            <w:tcW w:w="2248" w:type="dxa"/>
            <w:tcBorders>
              <w:top w:val="nil"/>
              <w:left w:val="nil"/>
              <w:bottom w:val="nil"/>
              <w:right w:val="nil"/>
            </w:tcBorders>
          </w:tcPr>
          <w:p w14:paraId="78CD840B"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1.757***</w:t>
            </w:r>
          </w:p>
        </w:tc>
      </w:tr>
      <w:tr w:rsidR="00AE77D4" w:rsidRPr="00AE77D4" w14:paraId="3467F452"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tcPr>
          <w:p w14:paraId="2D7955A7" w14:textId="77777777" w:rsidR="00190B6B" w:rsidRPr="00AE77D4" w:rsidRDefault="00661A05" w:rsidP="00AE77D4">
            <w:pPr>
              <w:spacing w:line="276" w:lineRule="auto"/>
              <w:rPr>
                <w:rFonts w:cs="Times New Roman"/>
                <w:sz w:val="20"/>
                <w:szCs w:val="20"/>
                <w:lang w:val="en-GB"/>
              </w:rPr>
            </w:pPr>
            <w:r w:rsidRPr="00AE77D4">
              <w:rPr>
                <w:rFonts w:cs="Times New Roman"/>
                <w:b w:val="0"/>
                <w:sz w:val="20"/>
                <w:szCs w:val="20"/>
                <w:lang w:val="en-GB"/>
              </w:rPr>
              <w:t>INDIR</w:t>
            </w:r>
          </w:p>
        </w:tc>
        <w:tc>
          <w:tcPr>
            <w:tcW w:w="2248" w:type="dxa"/>
            <w:tcBorders>
              <w:top w:val="nil"/>
              <w:left w:val="nil"/>
              <w:bottom w:val="nil"/>
              <w:right w:val="nil"/>
            </w:tcBorders>
          </w:tcPr>
          <w:p w14:paraId="22D7B61F"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0.25*</w:t>
            </w:r>
          </w:p>
        </w:tc>
        <w:tc>
          <w:tcPr>
            <w:tcW w:w="2248" w:type="dxa"/>
            <w:tcBorders>
              <w:top w:val="nil"/>
              <w:left w:val="nil"/>
              <w:bottom w:val="nil"/>
              <w:right w:val="nil"/>
            </w:tcBorders>
          </w:tcPr>
          <w:p w14:paraId="48727D8E"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0.201</w:t>
            </w:r>
          </w:p>
        </w:tc>
        <w:tc>
          <w:tcPr>
            <w:tcW w:w="2248" w:type="dxa"/>
            <w:tcBorders>
              <w:top w:val="nil"/>
              <w:left w:val="nil"/>
              <w:bottom w:val="nil"/>
              <w:right w:val="nil"/>
            </w:tcBorders>
          </w:tcPr>
          <w:p w14:paraId="6B479690"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0.248</w:t>
            </w:r>
          </w:p>
        </w:tc>
      </w:tr>
      <w:tr w:rsidR="00AE77D4" w:rsidRPr="00AE77D4" w14:paraId="700AB5E9"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tcPr>
          <w:p w14:paraId="1314B7BF" w14:textId="77777777" w:rsidR="00190B6B" w:rsidRPr="00AE77D4" w:rsidRDefault="00661A05" w:rsidP="00AE77D4">
            <w:pPr>
              <w:spacing w:line="276" w:lineRule="auto"/>
              <w:rPr>
                <w:rFonts w:cs="Times New Roman"/>
                <w:sz w:val="20"/>
                <w:szCs w:val="20"/>
              </w:rPr>
            </w:pPr>
            <w:r w:rsidRPr="00AE77D4">
              <w:rPr>
                <w:rFonts w:cs="Times New Roman"/>
                <w:b w:val="0"/>
                <w:sz w:val="20"/>
                <w:szCs w:val="20"/>
                <w:lang w:val="en-GB"/>
              </w:rPr>
              <w:t>FORDIR</w:t>
            </w:r>
          </w:p>
        </w:tc>
        <w:tc>
          <w:tcPr>
            <w:tcW w:w="2248" w:type="dxa"/>
            <w:tcBorders>
              <w:top w:val="nil"/>
              <w:left w:val="nil"/>
              <w:bottom w:val="nil"/>
              <w:right w:val="nil"/>
            </w:tcBorders>
          </w:tcPr>
          <w:p w14:paraId="1CD9D894"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0.372***</w:t>
            </w:r>
          </w:p>
        </w:tc>
        <w:tc>
          <w:tcPr>
            <w:tcW w:w="2248" w:type="dxa"/>
            <w:tcBorders>
              <w:top w:val="nil"/>
              <w:left w:val="nil"/>
              <w:bottom w:val="nil"/>
              <w:right w:val="nil"/>
            </w:tcBorders>
          </w:tcPr>
          <w:p w14:paraId="6C567676"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0.337***</w:t>
            </w:r>
          </w:p>
        </w:tc>
        <w:tc>
          <w:tcPr>
            <w:tcW w:w="2248" w:type="dxa"/>
            <w:tcBorders>
              <w:top w:val="nil"/>
              <w:left w:val="nil"/>
              <w:bottom w:val="nil"/>
              <w:right w:val="nil"/>
            </w:tcBorders>
          </w:tcPr>
          <w:p w14:paraId="4C0B7EC2"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0.394***</w:t>
            </w:r>
          </w:p>
        </w:tc>
      </w:tr>
      <w:tr w:rsidR="00AE77D4" w:rsidRPr="00AE77D4" w14:paraId="49711CF7"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65F198E3" w14:textId="77777777" w:rsidR="00190B6B" w:rsidRPr="00AE77D4" w:rsidRDefault="00661A05" w:rsidP="00AE77D4">
            <w:pPr>
              <w:spacing w:line="276" w:lineRule="auto"/>
              <w:rPr>
                <w:rFonts w:cs="Times New Roman"/>
                <w:sz w:val="20"/>
                <w:szCs w:val="20"/>
              </w:rPr>
            </w:pPr>
            <w:r w:rsidRPr="00AE77D4">
              <w:rPr>
                <w:rFonts w:cs="Times New Roman"/>
                <w:b w:val="0"/>
                <w:sz w:val="20"/>
                <w:szCs w:val="20"/>
              </w:rPr>
              <w:t>GENDER</w:t>
            </w:r>
          </w:p>
        </w:tc>
        <w:tc>
          <w:tcPr>
            <w:tcW w:w="2248" w:type="dxa"/>
            <w:tcBorders>
              <w:top w:val="nil"/>
              <w:left w:val="nil"/>
              <w:bottom w:val="nil"/>
              <w:right w:val="nil"/>
            </w:tcBorders>
          </w:tcPr>
          <w:p w14:paraId="0083363A"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0.003</w:t>
            </w:r>
          </w:p>
        </w:tc>
        <w:tc>
          <w:tcPr>
            <w:tcW w:w="2248" w:type="dxa"/>
            <w:tcBorders>
              <w:top w:val="nil"/>
              <w:left w:val="nil"/>
              <w:bottom w:val="nil"/>
              <w:right w:val="nil"/>
            </w:tcBorders>
          </w:tcPr>
          <w:p w14:paraId="44C408EA"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0.028</w:t>
            </w:r>
          </w:p>
        </w:tc>
        <w:tc>
          <w:tcPr>
            <w:tcW w:w="2248" w:type="dxa"/>
            <w:tcBorders>
              <w:top w:val="nil"/>
              <w:left w:val="nil"/>
              <w:bottom w:val="nil"/>
              <w:right w:val="nil"/>
            </w:tcBorders>
          </w:tcPr>
          <w:p w14:paraId="2F96DB8A"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-0.007</w:t>
            </w:r>
          </w:p>
        </w:tc>
      </w:tr>
      <w:tr w:rsidR="00AE77D4" w:rsidRPr="00AE77D4" w14:paraId="5E1FFE0A"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137115C9" w14:textId="77777777" w:rsidR="00190B6B" w:rsidRPr="00AE77D4" w:rsidRDefault="00661A05" w:rsidP="00AE77D4">
            <w:pPr>
              <w:spacing w:line="276" w:lineRule="auto"/>
              <w:rPr>
                <w:rFonts w:cs="Times New Roman"/>
                <w:sz w:val="20"/>
                <w:szCs w:val="20"/>
              </w:rPr>
            </w:pPr>
            <w:r w:rsidRPr="00AE77D4">
              <w:rPr>
                <w:rFonts w:cs="Times New Roman"/>
                <w:b w:val="0"/>
                <w:sz w:val="20"/>
                <w:szCs w:val="20"/>
              </w:rPr>
              <w:t>BOMEET</w:t>
            </w:r>
          </w:p>
        </w:tc>
        <w:tc>
          <w:tcPr>
            <w:tcW w:w="2248" w:type="dxa"/>
            <w:tcBorders>
              <w:top w:val="nil"/>
              <w:left w:val="nil"/>
              <w:bottom w:val="nil"/>
              <w:right w:val="nil"/>
            </w:tcBorders>
          </w:tcPr>
          <w:p w14:paraId="745D82A1"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-0.321</w:t>
            </w:r>
          </w:p>
        </w:tc>
        <w:tc>
          <w:tcPr>
            <w:tcW w:w="2248" w:type="dxa"/>
            <w:tcBorders>
              <w:top w:val="nil"/>
              <w:left w:val="nil"/>
              <w:bottom w:val="nil"/>
              <w:right w:val="nil"/>
            </w:tcBorders>
          </w:tcPr>
          <w:p w14:paraId="426946AF"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-0.129</w:t>
            </w:r>
          </w:p>
        </w:tc>
        <w:tc>
          <w:tcPr>
            <w:tcW w:w="2248" w:type="dxa"/>
            <w:tcBorders>
              <w:top w:val="nil"/>
              <w:left w:val="nil"/>
              <w:bottom w:val="nil"/>
              <w:right w:val="nil"/>
            </w:tcBorders>
          </w:tcPr>
          <w:p w14:paraId="5BC98C80"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-0.492*</w:t>
            </w:r>
          </w:p>
        </w:tc>
      </w:tr>
      <w:tr w:rsidR="00AE77D4" w:rsidRPr="00AE77D4" w14:paraId="37B7E275"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tcPr>
          <w:p w14:paraId="0C61A2EC" w14:textId="77777777" w:rsidR="00190B6B" w:rsidRPr="00AE77D4" w:rsidRDefault="00661A05" w:rsidP="00AE77D4">
            <w:pPr>
              <w:spacing w:line="276" w:lineRule="auto"/>
              <w:rPr>
                <w:rFonts w:cs="Times New Roman"/>
                <w:sz w:val="20"/>
                <w:szCs w:val="20"/>
              </w:rPr>
            </w:pPr>
            <w:r w:rsidRPr="00AE77D4">
              <w:rPr>
                <w:rFonts w:cs="Times New Roman"/>
                <w:b w:val="0"/>
                <w:sz w:val="20"/>
                <w:szCs w:val="20"/>
                <w:lang w:val="en-GB"/>
              </w:rPr>
              <w:t>DUALITY</w:t>
            </w:r>
          </w:p>
        </w:tc>
        <w:tc>
          <w:tcPr>
            <w:tcW w:w="2248" w:type="dxa"/>
            <w:tcBorders>
              <w:top w:val="nil"/>
              <w:left w:val="nil"/>
              <w:bottom w:val="nil"/>
              <w:right w:val="nil"/>
            </w:tcBorders>
          </w:tcPr>
          <w:p w14:paraId="18B3F0AF"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-22.743**</w:t>
            </w:r>
          </w:p>
        </w:tc>
        <w:tc>
          <w:tcPr>
            <w:tcW w:w="2248" w:type="dxa"/>
            <w:tcBorders>
              <w:top w:val="nil"/>
              <w:left w:val="nil"/>
              <w:bottom w:val="nil"/>
              <w:right w:val="nil"/>
            </w:tcBorders>
          </w:tcPr>
          <w:p w14:paraId="4A251ED9"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-21.856*</w:t>
            </w:r>
          </w:p>
        </w:tc>
        <w:tc>
          <w:tcPr>
            <w:tcW w:w="2248" w:type="dxa"/>
            <w:tcBorders>
              <w:top w:val="nil"/>
              <w:left w:val="nil"/>
              <w:bottom w:val="nil"/>
              <w:right w:val="nil"/>
            </w:tcBorders>
          </w:tcPr>
          <w:p w14:paraId="0D1D4A4B"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-22.939*</w:t>
            </w:r>
          </w:p>
        </w:tc>
      </w:tr>
      <w:tr w:rsidR="00AE77D4" w:rsidRPr="00AE77D4" w14:paraId="07EAC8A1"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247779B9" w14:textId="77777777" w:rsidR="00190B6B" w:rsidRPr="00AE77D4" w:rsidRDefault="00661A05" w:rsidP="00AE77D4">
            <w:pPr>
              <w:spacing w:line="276" w:lineRule="auto"/>
              <w:rPr>
                <w:rFonts w:cs="Times New Roman"/>
                <w:sz w:val="20"/>
                <w:szCs w:val="20"/>
              </w:rPr>
            </w:pPr>
            <w:r w:rsidRPr="00AE77D4">
              <w:rPr>
                <w:rFonts w:cs="Times New Roman"/>
                <w:b w:val="0"/>
                <w:sz w:val="20"/>
                <w:szCs w:val="20"/>
              </w:rPr>
              <w:t>ADCOM</w:t>
            </w:r>
          </w:p>
        </w:tc>
        <w:tc>
          <w:tcPr>
            <w:tcW w:w="2248" w:type="dxa"/>
            <w:tcBorders>
              <w:top w:val="nil"/>
              <w:left w:val="nil"/>
              <w:bottom w:val="nil"/>
              <w:right w:val="nil"/>
            </w:tcBorders>
          </w:tcPr>
          <w:p w14:paraId="1685722B"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4.079**</w:t>
            </w:r>
          </w:p>
        </w:tc>
        <w:tc>
          <w:tcPr>
            <w:tcW w:w="2248" w:type="dxa"/>
            <w:tcBorders>
              <w:top w:val="nil"/>
              <w:left w:val="nil"/>
              <w:bottom w:val="nil"/>
              <w:right w:val="nil"/>
            </w:tcBorders>
          </w:tcPr>
          <w:p w14:paraId="1879ABCC"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4.933**</w:t>
            </w:r>
          </w:p>
        </w:tc>
        <w:tc>
          <w:tcPr>
            <w:tcW w:w="2248" w:type="dxa"/>
            <w:tcBorders>
              <w:top w:val="nil"/>
              <w:left w:val="nil"/>
              <w:bottom w:val="nil"/>
              <w:right w:val="nil"/>
            </w:tcBorders>
          </w:tcPr>
          <w:p w14:paraId="0EC0723A"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3.113*</w:t>
            </w:r>
          </w:p>
        </w:tc>
      </w:tr>
      <w:tr w:rsidR="00AE77D4" w:rsidRPr="00AE77D4" w14:paraId="39055702"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551F8CBF" w14:textId="77777777" w:rsidR="00190B6B" w:rsidRPr="00AE77D4" w:rsidRDefault="00661A05" w:rsidP="00AE77D4">
            <w:pPr>
              <w:spacing w:line="276" w:lineRule="auto"/>
              <w:rPr>
                <w:rFonts w:cs="Times New Roman"/>
                <w:sz w:val="20"/>
                <w:szCs w:val="20"/>
              </w:rPr>
            </w:pPr>
            <w:r w:rsidRPr="00AE77D4">
              <w:rPr>
                <w:rFonts w:cs="Times New Roman"/>
                <w:b w:val="0"/>
                <w:sz w:val="20"/>
                <w:szCs w:val="20"/>
              </w:rPr>
              <w:t>SIZE</w:t>
            </w:r>
          </w:p>
        </w:tc>
        <w:tc>
          <w:tcPr>
            <w:tcW w:w="2248" w:type="dxa"/>
            <w:tcBorders>
              <w:top w:val="nil"/>
              <w:left w:val="nil"/>
              <w:bottom w:val="nil"/>
              <w:right w:val="nil"/>
            </w:tcBorders>
          </w:tcPr>
          <w:p w14:paraId="3667676F"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0.023*</w:t>
            </w:r>
          </w:p>
        </w:tc>
        <w:tc>
          <w:tcPr>
            <w:tcW w:w="2248" w:type="dxa"/>
            <w:tcBorders>
              <w:top w:val="nil"/>
              <w:left w:val="nil"/>
              <w:bottom w:val="nil"/>
              <w:right w:val="nil"/>
            </w:tcBorders>
          </w:tcPr>
          <w:p w14:paraId="37F7E451"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0.028</w:t>
            </w:r>
          </w:p>
        </w:tc>
        <w:tc>
          <w:tcPr>
            <w:tcW w:w="2248" w:type="dxa"/>
            <w:tcBorders>
              <w:top w:val="nil"/>
              <w:left w:val="nil"/>
              <w:bottom w:val="nil"/>
              <w:right w:val="nil"/>
            </w:tcBorders>
          </w:tcPr>
          <w:p w14:paraId="3BFECCD8"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0.016</w:t>
            </w:r>
          </w:p>
        </w:tc>
      </w:tr>
      <w:tr w:rsidR="00AE77D4" w:rsidRPr="00AE77D4" w14:paraId="1C486EC7"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1CE7A7B8" w14:textId="77777777" w:rsidR="00190B6B" w:rsidRPr="00AE77D4" w:rsidRDefault="00661A05" w:rsidP="00AE77D4">
            <w:pPr>
              <w:spacing w:line="276" w:lineRule="auto"/>
              <w:rPr>
                <w:rFonts w:cs="Times New Roman"/>
                <w:sz w:val="20"/>
                <w:szCs w:val="20"/>
              </w:rPr>
            </w:pPr>
            <w:r w:rsidRPr="00AE77D4">
              <w:rPr>
                <w:rFonts w:cs="Times New Roman"/>
                <w:b w:val="0"/>
                <w:sz w:val="20"/>
                <w:szCs w:val="20"/>
              </w:rPr>
              <w:t>ROA</w:t>
            </w:r>
          </w:p>
        </w:tc>
        <w:tc>
          <w:tcPr>
            <w:tcW w:w="2248" w:type="dxa"/>
            <w:tcBorders>
              <w:top w:val="nil"/>
              <w:left w:val="nil"/>
              <w:bottom w:val="nil"/>
              <w:right w:val="nil"/>
            </w:tcBorders>
          </w:tcPr>
          <w:p w14:paraId="7E19F5F6"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4.285**</w:t>
            </w:r>
          </w:p>
        </w:tc>
        <w:tc>
          <w:tcPr>
            <w:tcW w:w="2248" w:type="dxa"/>
            <w:tcBorders>
              <w:top w:val="nil"/>
              <w:left w:val="nil"/>
              <w:bottom w:val="nil"/>
              <w:right w:val="nil"/>
            </w:tcBorders>
          </w:tcPr>
          <w:p w14:paraId="44FDE071"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2.845</w:t>
            </w:r>
          </w:p>
        </w:tc>
        <w:tc>
          <w:tcPr>
            <w:tcW w:w="2248" w:type="dxa"/>
            <w:tcBorders>
              <w:top w:val="nil"/>
              <w:left w:val="nil"/>
              <w:bottom w:val="nil"/>
              <w:right w:val="nil"/>
            </w:tcBorders>
          </w:tcPr>
          <w:p w14:paraId="5A98357A"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17.928**</w:t>
            </w:r>
          </w:p>
        </w:tc>
      </w:tr>
      <w:tr w:rsidR="00AE77D4" w:rsidRPr="00AE77D4" w14:paraId="59FA6075"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21CE7986" w14:textId="77777777" w:rsidR="00190B6B" w:rsidRPr="00AE77D4" w:rsidRDefault="00661A05" w:rsidP="00AE77D4">
            <w:pPr>
              <w:spacing w:line="276" w:lineRule="auto"/>
              <w:rPr>
                <w:rFonts w:cs="Times New Roman"/>
                <w:sz w:val="20"/>
                <w:szCs w:val="20"/>
              </w:rPr>
            </w:pPr>
            <w:r w:rsidRPr="00AE77D4">
              <w:rPr>
                <w:rFonts w:cs="Times New Roman"/>
                <w:b w:val="0"/>
                <w:sz w:val="20"/>
                <w:szCs w:val="20"/>
              </w:rPr>
              <w:t>LEV</w:t>
            </w:r>
          </w:p>
        </w:tc>
        <w:tc>
          <w:tcPr>
            <w:tcW w:w="2248" w:type="dxa"/>
            <w:tcBorders>
              <w:top w:val="nil"/>
              <w:left w:val="nil"/>
              <w:bottom w:val="nil"/>
              <w:right w:val="nil"/>
            </w:tcBorders>
          </w:tcPr>
          <w:p w14:paraId="0918CA1F"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-1.956*</w:t>
            </w:r>
          </w:p>
        </w:tc>
        <w:tc>
          <w:tcPr>
            <w:tcW w:w="2248" w:type="dxa"/>
            <w:tcBorders>
              <w:top w:val="nil"/>
              <w:left w:val="nil"/>
              <w:bottom w:val="nil"/>
              <w:right w:val="nil"/>
            </w:tcBorders>
          </w:tcPr>
          <w:p w14:paraId="170EC2D5"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-1.721</w:t>
            </w:r>
          </w:p>
        </w:tc>
        <w:tc>
          <w:tcPr>
            <w:tcW w:w="2248" w:type="dxa"/>
            <w:tcBorders>
              <w:top w:val="nil"/>
              <w:left w:val="nil"/>
              <w:bottom w:val="nil"/>
              <w:right w:val="nil"/>
            </w:tcBorders>
          </w:tcPr>
          <w:p w14:paraId="2C55285E"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-3.418</w:t>
            </w:r>
          </w:p>
        </w:tc>
      </w:tr>
      <w:tr w:rsidR="00AE77D4" w:rsidRPr="00AE77D4" w14:paraId="06292F80"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75535F30" w14:textId="77777777" w:rsidR="00190B6B" w:rsidRPr="00AE77D4" w:rsidRDefault="00661A05" w:rsidP="00AE77D4">
            <w:pPr>
              <w:spacing w:line="276" w:lineRule="auto"/>
              <w:rPr>
                <w:rFonts w:cs="Times New Roman"/>
                <w:sz w:val="20"/>
                <w:szCs w:val="20"/>
              </w:rPr>
            </w:pPr>
            <w:r w:rsidRPr="00AE77D4">
              <w:rPr>
                <w:rFonts w:cs="Times New Roman"/>
                <w:b w:val="0"/>
                <w:sz w:val="20"/>
                <w:szCs w:val="20"/>
              </w:rPr>
              <w:t>YEAR</w:t>
            </w:r>
          </w:p>
        </w:tc>
        <w:tc>
          <w:tcPr>
            <w:tcW w:w="2248" w:type="dxa"/>
            <w:tcBorders>
              <w:top w:val="nil"/>
              <w:left w:val="nil"/>
              <w:bottom w:val="nil"/>
              <w:right w:val="nil"/>
            </w:tcBorders>
          </w:tcPr>
          <w:p w14:paraId="1A77A9DA"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Y</w:t>
            </w:r>
          </w:p>
        </w:tc>
        <w:tc>
          <w:tcPr>
            <w:tcW w:w="2248" w:type="dxa"/>
            <w:tcBorders>
              <w:top w:val="nil"/>
              <w:left w:val="nil"/>
              <w:bottom w:val="nil"/>
              <w:right w:val="nil"/>
            </w:tcBorders>
          </w:tcPr>
          <w:p w14:paraId="7BBBDBF2"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Y</w:t>
            </w:r>
          </w:p>
        </w:tc>
        <w:tc>
          <w:tcPr>
            <w:tcW w:w="2248" w:type="dxa"/>
            <w:tcBorders>
              <w:top w:val="nil"/>
              <w:left w:val="nil"/>
              <w:bottom w:val="nil"/>
              <w:right w:val="nil"/>
            </w:tcBorders>
          </w:tcPr>
          <w:p w14:paraId="70F1C541"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Y</w:t>
            </w:r>
          </w:p>
        </w:tc>
      </w:tr>
      <w:tr w:rsidR="00AE77D4" w:rsidRPr="00AE77D4" w14:paraId="5A33E0D7" w14:textId="77777777" w:rsidTr="00AB775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750FEFBA" w14:textId="77777777" w:rsidR="00190B6B" w:rsidRPr="00AE77D4" w:rsidRDefault="00661A05" w:rsidP="00AE77D4">
            <w:pPr>
              <w:spacing w:line="276" w:lineRule="auto"/>
              <w:rPr>
                <w:rFonts w:cs="Times New Roman"/>
                <w:sz w:val="20"/>
                <w:szCs w:val="20"/>
              </w:rPr>
            </w:pPr>
            <w:r w:rsidRPr="00AE77D4">
              <w:rPr>
                <w:rFonts w:cs="Times New Roman"/>
                <w:b w:val="0"/>
                <w:sz w:val="20"/>
                <w:szCs w:val="20"/>
              </w:rPr>
              <w:t>INDUSTRY</w:t>
            </w:r>
          </w:p>
        </w:tc>
        <w:tc>
          <w:tcPr>
            <w:tcW w:w="2248" w:type="dxa"/>
            <w:tcBorders>
              <w:top w:val="nil"/>
              <w:left w:val="nil"/>
              <w:bottom w:val="nil"/>
              <w:right w:val="nil"/>
            </w:tcBorders>
          </w:tcPr>
          <w:p w14:paraId="7F6CB58B"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Y</w:t>
            </w:r>
          </w:p>
        </w:tc>
        <w:tc>
          <w:tcPr>
            <w:tcW w:w="2248" w:type="dxa"/>
            <w:tcBorders>
              <w:top w:val="nil"/>
              <w:left w:val="nil"/>
              <w:bottom w:val="nil"/>
              <w:right w:val="nil"/>
            </w:tcBorders>
          </w:tcPr>
          <w:p w14:paraId="087D82D2"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Y</w:t>
            </w:r>
          </w:p>
        </w:tc>
        <w:tc>
          <w:tcPr>
            <w:tcW w:w="2248" w:type="dxa"/>
            <w:tcBorders>
              <w:top w:val="nil"/>
              <w:left w:val="nil"/>
              <w:bottom w:val="nil"/>
              <w:right w:val="nil"/>
            </w:tcBorders>
          </w:tcPr>
          <w:p w14:paraId="5210665D" w14:textId="77777777" w:rsidR="00190B6B"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Y</w:t>
            </w:r>
          </w:p>
        </w:tc>
      </w:tr>
      <w:tr w:rsidR="00AE77D4" w:rsidRPr="00AE77D4" w14:paraId="6999197E" w14:textId="77777777" w:rsidTr="00AB775B">
        <w:trPr>
          <w:trHeight w:val="400"/>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tcPr>
          <w:p w14:paraId="134576E5" w14:textId="77777777" w:rsidR="00190B6B" w:rsidRPr="00AE77D4" w:rsidRDefault="00661A05" w:rsidP="00AE77D4">
            <w:pPr>
              <w:spacing w:line="276" w:lineRule="auto"/>
              <w:rPr>
                <w:rFonts w:cs="Times New Roman"/>
                <w:sz w:val="20"/>
                <w:szCs w:val="20"/>
              </w:rPr>
            </w:pPr>
            <w:r w:rsidRPr="00AE77D4">
              <w:rPr>
                <w:rFonts w:cs="Times New Roman"/>
                <w:b w:val="0"/>
                <w:sz w:val="20"/>
                <w:szCs w:val="20"/>
              </w:rPr>
              <w:t>R Squared</w:t>
            </w:r>
          </w:p>
        </w:tc>
        <w:tc>
          <w:tcPr>
            <w:tcW w:w="2248" w:type="dxa"/>
            <w:tcBorders>
              <w:top w:val="nil"/>
              <w:left w:val="nil"/>
              <w:bottom w:val="nil"/>
              <w:right w:val="nil"/>
            </w:tcBorders>
          </w:tcPr>
          <w:p w14:paraId="6AEEDA0C"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0.134</w:t>
            </w:r>
          </w:p>
        </w:tc>
        <w:tc>
          <w:tcPr>
            <w:tcW w:w="2248" w:type="dxa"/>
            <w:tcBorders>
              <w:top w:val="nil"/>
              <w:left w:val="nil"/>
              <w:bottom w:val="nil"/>
              <w:right w:val="nil"/>
            </w:tcBorders>
          </w:tcPr>
          <w:p w14:paraId="682FFAAA"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0.121</w:t>
            </w:r>
          </w:p>
        </w:tc>
        <w:tc>
          <w:tcPr>
            <w:tcW w:w="2248" w:type="dxa"/>
            <w:tcBorders>
              <w:top w:val="nil"/>
              <w:left w:val="nil"/>
              <w:bottom w:val="nil"/>
              <w:right w:val="nil"/>
            </w:tcBorders>
          </w:tcPr>
          <w:p w14:paraId="13B032CA" w14:textId="77777777" w:rsidR="00190B6B"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0.145</w:t>
            </w:r>
          </w:p>
        </w:tc>
      </w:tr>
      <w:tr w:rsidR="00AE77D4" w:rsidRPr="00AE77D4" w14:paraId="438FA347" w14:textId="77777777" w:rsidTr="00AB775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8806" w:type="dxa"/>
            <w:gridSpan w:val="4"/>
            <w:tcBorders>
              <w:top w:val="nil"/>
              <w:left w:val="nil"/>
              <w:bottom w:val="nil"/>
              <w:right w:val="nil"/>
            </w:tcBorders>
            <w:shd w:val="clear" w:color="auto" w:fill="auto"/>
          </w:tcPr>
          <w:p w14:paraId="3173D3C3" w14:textId="77777777" w:rsidR="00190B6B" w:rsidRPr="00AE77D4" w:rsidRDefault="00661A05" w:rsidP="00AE77D4">
            <w:pPr>
              <w:spacing w:line="276" w:lineRule="auto"/>
              <w:rPr>
                <w:rFonts w:cs="Times New Roman"/>
                <w:sz w:val="20"/>
                <w:szCs w:val="20"/>
                <w:lang w:val="en-GB"/>
              </w:rPr>
            </w:pPr>
            <w:r w:rsidRPr="00AE77D4">
              <w:rPr>
                <w:rFonts w:cs="Times New Roman"/>
                <w:b w:val="0"/>
                <w:sz w:val="16"/>
                <w:szCs w:val="16"/>
                <w:lang w:val="en-GB"/>
              </w:rPr>
              <w:t>Notes: (1) *, **, *** significance at 10%, 5%, and 1% levels of confidence, respectively. (2) See Table 2 for variable definitions.</w:t>
            </w:r>
          </w:p>
        </w:tc>
      </w:tr>
    </w:tbl>
    <w:p w14:paraId="3E7E530E" w14:textId="77777777" w:rsidR="00190B6B" w:rsidRPr="00AE77D4" w:rsidRDefault="00190B6B" w:rsidP="00AE77D4">
      <w:pPr>
        <w:spacing w:after="0" w:line="276" w:lineRule="auto"/>
        <w:jc w:val="both"/>
        <w:rPr>
          <w:rFonts w:ascii="Times New Roman" w:hAnsi="Times New Roman" w:cs="Times New Roman"/>
          <w:sz w:val="24"/>
          <w:szCs w:val="24"/>
          <w:lang w:val="en-GB"/>
        </w:rPr>
      </w:pPr>
    </w:p>
    <w:p w14:paraId="7979B1AD" w14:textId="1DE4FC98" w:rsidR="005D2066" w:rsidRPr="00AE77D4" w:rsidRDefault="00661A05" w:rsidP="00AE77D4">
      <w:pPr>
        <w:spacing w:after="0" w:line="276" w:lineRule="auto"/>
        <w:jc w:val="both"/>
        <w:rPr>
          <w:rFonts w:ascii="Times New Roman" w:hAnsi="Times New Roman" w:cs="Times New Roman"/>
          <w:sz w:val="24"/>
          <w:szCs w:val="24"/>
        </w:rPr>
      </w:pPr>
      <w:r w:rsidRPr="00AE77D4">
        <w:rPr>
          <w:rFonts w:ascii="Times New Roman" w:hAnsi="Times New Roman" w:cs="Times New Roman"/>
          <w:i/>
          <w:iCs/>
          <w:sz w:val="24"/>
          <w:szCs w:val="24"/>
          <w:lang w:val="en-GB"/>
        </w:rPr>
        <w:t>6.3.3</w:t>
      </w:r>
      <w:r w:rsidRPr="00AE77D4">
        <w:rPr>
          <w:rFonts w:ascii="Times New Roman" w:hAnsi="Times New Roman" w:cs="Times New Roman"/>
          <w:b/>
          <w:bCs/>
          <w:sz w:val="24"/>
          <w:szCs w:val="24"/>
          <w:lang w:val="en-GB"/>
        </w:rPr>
        <w:t xml:space="preserve"> </w:t>
      </w:r>
      <w:r w:rsidRPr="00AE77D4">
        <w:rPr>
          <w:rFonts w:ascii="Times New Roman" w:hAnsi="Times New Roman" w:cs="Times New Roman"/>
          <w:b/>
          <w:sz w:val="24"/>
          <w:szCs w:val="24"/>
          <w:lang w:val="en-GB"/>
        </w:rPr>
        <w:t xml:space="preserve">| </w:t>
      </w:r>
      <w:r w:rsidRPr="00AE77D4">
        <w:rPr>
          <w:rFonts w:ascii="Times New Roman" w:hAnsi="Times New Roman" w:cs="Times New Roman"/>
          <w:i/>
          <w:iCs/>
          <w:sz w:val="24"/>
          <w:szCs w:val="24"/>
          <w:lang w:val="en-GB"/>
        </w:rPr>
        <w:t xml:space="preserve">Industry </w:t>
      </w:r>
      <w:r w:rsidR="00E85C7C" w:rsidRPr="00AE77D4">
        <w:rPr>
          <w:rFonts w:ascii="Times New Roman" w:hAnsi="Times New Roman" w:cs="Times New Roman"/>
          <w:i/>
          <w:iCs/>
          <w:sz w:val="24"/>
          <w:szCs w:val="24"/>
          <w:lang w:val="en-GB"/>
        </w:rPr>
        <w:t>fixed effect</w:t>
      </w:r>
      <w:r w:rsidRPr="00AE77D4">
        <w:rPr>
          <w:rFonts w:ascii="Times New Roman" w:hAnsi="Times New Roman" w:cs="Times New Roman"/>
          <w:i/>
          <w:iCs/>
          <w:sz w:val="24"/>
          <w:szCs w:val="24"/>
          <w:lang w:val="en-GB"/>
        </w:rPr>
        <w:t xml:space="preserve">: </w:t>
      </w:r>
      <w:r w:rsidR="00F354B3" w:rsidRPr="00AE77D4">
        <w:rPr>
          <w:rFonts w:ascii="Times New Roman" w:hAnsi="Times New Roman" w:cs="Times New Roman"/>
          <w:sz w:val="24"/>
          <w:szCs w:val="24"/>
          <w:lang w:val="en-GB"/>
        </w:rPr>
        <w:t>Considering the longitudinal nature of our dataset and our objective to delve into the nuanced connection between corporate governance (CG) and Climate Change Disclosure (CCD), we extend our analysis using industry fixed-effects regression, as detailed in Table 10. In concordance with our primary findings, this supplementary analysis reaffirms the statistical significance of Board Size, Foreign Directors, and the Audit Committee concerning CCD</w:t>
      </w:r>
      <w:r w:rsidRPr="00AE77D4">
        <w:rPr>
          <w:rFonts w:ascii="Times New Roman" w:eastAsia="Calibri" w:hAnsi="Times New Roman" w:cs="Times New Roman"/>
          <w:sz w:val="24"/>
          <w:szCs w:val="24"/>
          <w:lang w:val="en-GB"/>
        </w:rPr>
        <w:t xml:space="preserve"> in Models 1, 2, and 3. However, this robustness check indicates a lack of significant influence </w:t>
      </w:r>
      <w:r w:rsidR="00F354B3" w:rsidRPr="00AE77D4">
        <w:rPr>
          <w:rFonts w:ascii="Times New Roman" w:hAnsi="Times New Roman" w:cs="Times New Roman"/>
          <w:sz w:val="24"/>
          <w:szCs w:val="24"/>
          <w:lang w:val="en-GB"/>
        </w:rPr>
        <w:t>of Independent Directors</w:t>
      </w:r>
      <w:r w:rsidR="002F3336" w:rsidRPr="00AE77D4">
        <w:rPr>
          <w:rFonts w:ascii="Times New Roman" w:hAnsi="Times New Roman" w:cs="Times New Roman"/>
          <w:sz w:val="24"/>
          <w:szCs w:val="24"/>
          <w:lang w:val="en-GB"/>
        </w:rPr>
        <w:t>,</w:t>
      </w:r>
      <w:r w:rsidR="00F354B3" w:rsidRPr="00AE77D4">
        <w:rPr>
          <w:rFonts w:ascii="Times New Roman" w:hAnsi="Times New Roman" w:cs="Times New Roman"/>
          <w:sz w:val="24"/>
          <w:szCs w:val="24"/>
          <w:lang w:val="en-GB"/>
        </w:rPr>
        <w:t xml:space="preserve"> Gender Diversity, and Board Meetings on CCD. Notably, CEO Duality exhibited a negative and significant association with CCD in Model 2. This supplementary analysis supports and reinforces our original findings, providing additional evidence of consistent relationships identified across diverse analytical approaches.</w:t>
      </w:r>
    </w:p>
    <w:tbl>
      <w:tblPr>
        <w:tblStyle w:val="GridTable23"/>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2248"/>
        <w:gridCol w:w="2248"/>
        <w:gridCol w:w="2248"/>
      </w:tblGrid>
      <w:tr w:rsidR="00AE77D4" w:rsidRPr="00AE77D4" w14:paraId="08462321" w14:textId="77777777" w:rsidTr="00AB775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8806" w:type="dxa"/>
            <w:gridSpan w:val="4"/>
            <w:tcBorders>
              <w:top w:val="single" w:sz="4" w:space="0" w:color="auto"/>
              <w:left w:val="nil"/>
              <w:bottom w:val="nil"/>
              <w:right w:val="nil"/>
            </w:tcBorders>
          </w:tcPr>
          <w:p w14:paraId="4CA24537" w14:textId="0007027B" w:rsidR="005D2066" w:rsidRPr="00AE77D4" w:rsidRDefault="00661A05" w:rsidP="00AE77D4">
            <w:pPr>
              <w:spacing w:line="276" w:lineRule="auto"/>
              <w:rPr>
                <w:rFonts w:cs="Times New Roman"/>
              </w:rPr>
            </w:pPr>
            <w:r w:rsidRPr="00AE77D4">
              <w:rPr>
                <w:rFonts w:cs="Times New Roman"/>
              </w:rPr>
              <w:t xml:space="preserve">Table </w:t>
            </w:r>
            <w:r w:rsidR="00571B83" w:rsidRPr="00AE77D4">
              <w:rPr>
                <w:rFonts w:cs="Times New Roman"/>
              </w:rPr>
              <w:t>10</w:t>
            </w:r>
            <w:r w:rsidRPr="00AE77D4">
              <w:rPr>
                <w:rFonts w:cs="Times New Roman"/>
              </w:rPr>
              <w:t xml:space="preserve">.  </w:t>
            </w:r>
            <w:r w:rsidRPr="00AE77D4">
              <w:rPr>
                <w:rFonts w:cs="Times New Roman"/>
                <w:b w:val="0"/>
                <w:lang w:val="en-GB"/>
              </w:rPr>
              <w:t>Fixed effect</w:t>
            </w:r>
            <w:r w:rsidRPr="00AE77D4">
              <w:rPr>
                <w:rFonts w:cs="Times New Roman"/>
              </w:rPr>
              <w:t xml:space="preserve"> </w:t>
            </w:r>
            <w:r w:rsidRPr="00AE77D4">
              <w:rPr>
                <w:rFonts w:cs="Times New Roman"/>
                <w:b w:val="0"/>
              </w:rPr>
              <w:t>results on the relationship between CG and CCD</w:t>
            </w:r>
          </w:p>
        </w:tc>
      </w:tr>
      <w:tr w:rsidR="00AE77D4" w:rsidRPr="00AE77D4" w14:paraId="1EAA1A88" w14:textId="77777777" w:rsidTr="00AB7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single" w:sz="4" w:space="0" w:color="auto"/>
              <w:right w:val="nil"/>
            </w:tcBorders>
          </w:tcPr>
          <w:p w14:paraId="05BE5BCB" w14:textId="77777777" w:rsidR="005D2066" w:rsidRPr="00AE77D4" w:rsidRDefault="005D2066" w:rsidP="00AE77D4">
            <w:pPr>
              <w:spacing w:line="276" w:lineRule="auto"/>
              <w:rPr>
                <w:rFonts w:cs="Times New Roman"/>
                <w:sz w:val="20"/>
                <w:szCs w:val="20"/>
              </w:rPr>
            </w:pPr>
          </w:p>
        </w:tc>
        <w:tc>
          <w:tcPr>
            <w:tcW w:w="2248" w:type="dxa"/>
            <w:tcBorders>
              <w:top w:val="single" w:sz="4" w:space="0" w:color="auto"/>
              <w:left w:val="nil"/>
              <w:bottom w:val="single" w:sz="4" w:space="0" w:color="auto"/>
              <w:right w:val="nil"/>
            </w:tcBorders>
          </w:tcPr>
          <w:p w14:paraId="72D43410"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bCs/>
                <w:sz w:val="20"/>
                <w:szCs w:val="20"/>
              </w:rPr>
              <w:t>Entire Period</w:t>
            </w:r>
          </w:p>
        </w:tc>
        <w:tc>
          <w:tcPr>
            <w:tcW w:w="2248" w:type="dxa"/>
            <w:tcBorders>
              <w:top w:val="single" w:sz="4" w:space="0" w:color="auto"/>
              <w:left w:val="nil"/>
              <w:bottom w:val="single" w:sz="4" w:space="0" w:color="auto"/>
              <w:right w:val="nil"/>
            </w:tcBorders>
          </w:tcPr>
          <w:p w14:paraId="51DE484A"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bCs/>
                <w:sz w:val="20"/>
                <w:szCs w:val="20"/>
              </w:rPr>
              <w:t>Pre-amendment</w:t>
            </w:r>
          </w:p>
        </w:tc>
        <w:tc>
          <w:tcPr>
            <w:tcW w:w="2248" w:type="dxa"/>
            <w:tcBorders>
              <w:top w:val="single" w:sz="4" w:space="0" w:color="auto"/>
              <w:left w:val="nil"/>
              <w:bottom w:val="single" w:sz="4" w:space="0" w:color="auto"/>
              <w:right w:val="nil"/>
            </w:tcBorders>
          </w:tcPr>
          <w:p w14:paraId="57883019"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bCs/>
                <w:sz w:val="20"/>
                <w:szCs w:val="20"/>
              </w:rPr>
              <w:t>Post-amendment</w:t>
            </w:r>
          </w:p>
        </w:tc>
      </w:tr>
      <w:tr w:rsidR="00AE77D4" w:rsidRPr="00AE77D4" w14:paraId="119DD260" w14:textId="77777777" w:rsidTr="00AB775B">
        <w:trPr>
          <w:trHeight w:val="327"/>
        </w:trPr>
        <w:tc>
          <w:tcPr>
            <w:cnfStyle w:val="001000000000" w:firstRow="0" w:lastRow="0" w:firstColumn="1" w:lastColumn="0" w:oddVBand="0" w:evenVBand="0" w:oddHBand="0" w:evenHBand="0" w:firstRowFirstColumn="0" w:firstRowLastColumn="0" w:lastRowFirstColumn="0" w:lastRowLastColumn="0"/>
            <w:tcW w:w="2062" w:type="dxa"/>
            <w:tcBorders>
              <w:top w:val="single" w:sz="4" w:space="0" w:color="auto"/>
              <w:left w:val="nil"/>
              <w:bottom w:val="single" w:sz="4" w:space="0" w:color="auto"/>
              <w:right w:val="nil"/>
            </w:tcBorders>
            <w:hideMark/>
          </w:tcPr>
          <w:p w14:paraId="7EC89903" w14:textId="77777777" w:rsidR="005D2066" w:rsidRPr="00AE77D4" w:rsidRDefault="00661A05" w:rsidP="00AE77D4">
            <w:pPr>
              <w:spacing w:line="276" w:lineRule="auto"/>
              <w:rPr>
                <w:rFonts w:cs="Times New Roman"/>
                <w:sz w:val="20"/>
                <w:szCs w:val="20"/>
              </w:rPr>
            </w:pPr>
            <w:r w:rsidRPr="00AE77D4">
              <w:rPr>
                <w:rFonts w:cs="Times New Roman"/>
                <w:b w:val="0"/>
                <w:sz w:val="20"/>
                <w:szCs w:val="20"/>
              </w:rPr>
              <w:t>Variable Name</w:t>
            </w:r>
          </w:p>
        </w:tc>
        <w:tc>
          <w:tcPr>
            <w:tcW w:w="2248" w:type="dxa"/>
            <w:tcBorders>
              <w:top w:val="single" w:sz="4" w:space="0" w:color="auto"/>
              <w:left w:val="nil"/>
              <w:bottom w:val="single" w:sz="4" w:space="0" w:color="auto"/>
              <w:right w:val="nil"/>
            </w:tcBorders>
          </w:tcPr>
          <w:p w14:paraId="70A2FE79"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AE77D4">
              <w:rPr>
                <w:rFonts w:cs="Times New Roman"/>
                <w:bCs/>
                <w:sz w:val="20"/>
                <w:szCs w:val="20"/>
              </w:rPr>
              <w:t>Coefficient</w:t>
            </w:r>
          </w:p>
        </w:tc>
        <w:tc>
          <w:tcPr>
            <w:tcW w:w="2248" w:type="dxa"/>
            <w:tcBorders>
              <w:top w:val="single" w:sz="4" w:space="0" w:color="auto"/>
              <w:left w:val="nil"/>
              <w:bottom w:val="single" w:sz="4" w:space="0" w:color="auto"/>
              <w:right w:val="nil"/>
            </w:tcBorders>
          </w:tcPr>
          <w:p w14:paraId="380967DC" w14:textId="77777777" w:rsidR="005D2066" w:rsidRPr="00AE77D4" w:rsidRDefault="00661A05" w:rsidP="00AE77D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AE77D4">
              <w:rPr>
                <w:rFonts w:cs="Times New Roman"/>
                <w:bCs/>
                <w:sz w:val="20"/>
                <w:szCs w:val="20"/>
              </w:rPr>
              <w:t>Coefficient</w:t>
            </w:r>
          </w:p>
        </w:tc>
        <w:tc>
          <w:tcPr>
            <w:tcW w:w="2248" w:type="dxa"/>
            <w:tcBorders>
              <w:top w:val="single" w:sz="4" w:space="0" w:color="auto"/>
              <w:left w:val="nil"/>
              <w:bottom w:val="single" w:sz="4" w:space="0" w:color="auto"/>
              <w:right w:val="nil"/>
            </w:tcBorders>
          </w:tcPr>
          <w:p w14:paraId="5BE23F28"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77D4">
              <w:rPr>
                <w:rFonts w:cs="Times New Roman"/>
                <w:bCs/>
                <w:sz w:val="20"/>
                <w:szCs w:val="20"/>
              </w:rPr>
              <w:t>Coefficient</w:t>
            </w:r>
          </w:p>
        </w:tc>
      </w:tr>
      <w:tr w:rsidR="00AE77D4" w:rsidRPr="00AE77D4" w14:paraId="4E30833C"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single" w:sz="4" w:space="0" w:color="auto"/>
              <w:left w:val="nil"/>
              <w:bottom w:val="nil"/>
              <w:right w:val="nil"/>
            </w:tcBorders>
          </w:tcPr>
          <w:p w14:paraId="6E9C757A" w14:textId="77777777" w:rsidR="005D2066" w:rsidRPr="00AE77D4" w:rsidRDefault="00661A05" w:rsidP="00AE77D4">
            <w:pPr>
              <w:spacing w:line="276" w:lineRule="auto"/>
              <w:rPr>
                <w:rFonts w:cs="Times New Roman"/>
                <w:sz w:val="20"/>
                <w:szCs w:val="20"/>
              </w:rPr>
            </w:pPr>
            <w:r w:rsidRPr="00AE77D4">
              <w:rPr>
                <w:rFonts w:cs="Times New Roman"/>
                <w:b w:val="0"/>
                <w:sz w:val="20"/>
                <w:szCs w:val="20"/>
                <w:lang w:val="en-GB"/>
              </w:rPr>
              <w:t>Models</w:t>
            </w:r>
          </w:p>
        </w:tc>
        <w:tc>
          <w:tcPr>
            <w:tcW w:w="2248" w:type="dxa"/>
            <w:tcBorders>
              <w:top w:val="single" w:sz="4" w:space="0" w:color="auto"/>
              <w:left w:val="nil"/>
              <w:bottom w:val="nil"/>
              <w:right w:val="nil"/>
            </w:tcBorders>
          </w:tcPr>
          <w:p w14:paraId="0353C9E7"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(1)</w:t>
            </w:r>
          </w:p>
        </w:tc>
        <w:tc>
          <w:tcPr>
            <w:tcW w:w="2248" w:type="dxa"/>
            <w:tcBorders>
              <w:top w:val="single" w:sz="4" w:space="0" w:color="auto"/>
              <w:left w:val="nil"/>
              <w:bottom w:val="nil"/>
              <w:right w:val="nil"/>
            </w:tcBorders>
          </w:tcPr>
          <w:p w14:paraId="40754AB5"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(2)</w:t>
            </w:r>
          </w:p>
        </w:tc>
        <w:tc>
          <w:tcPr>
            <w:tcW w:w="2248" w:type="dxa"/>
            <w:tcBorders>
              <w:top w:val="single" w:sz="4" w:space="0" w:color="auto"/>
              <w:left w:val="nil"/>
              <w:bottom w:val="nil"/>
              <w:right w:val="nil"/>
            </w:tcBorders>
          </w:tcPr>
          <w:p w14:paraId="6EBFC68A"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(3)</w:t>
            </w:r>
          </w:p>
        </w:tc>
      </w:tr>
      <w:tr w:rsidR="00AE77D4" w:rsidRPr="00AE77D4" w14:paraId="4DCE4AF7"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single" w:sz="4" w:space="0" w:color="auto"/>
              <w:left w:val="nil"/>
              <w:bottom w:val="nil"/>
              <w:right w:val="nil"/>
            </w:tcBorders>
            <w:hideMark/>
          </w:tcPr>
          <w:p w14:paraId="36276C3D" w14:textId="77777777" w:rsidR="005D2066" w:rsidRPr="00AE77D4" w:rsidRDefault="00661A05" w:rsidP="00AE77D4">
            <w:pPr>
              <w:spacing w:line="276" w:lineRule="auto"/>
              <w:rPr>
                <w:rFonts w:cs="Times New Roman"/>
                <w:sz w:val="20"/>
                <w:szCs w:val="20"/>
              </w:rPr>
            </w:pPr>
            <w:r w:rsidRPr="00AE77D4">
              <w:rPr>
                <w:rFonts w:cs="Times New Roman"/>
                <w:b w:val="0"/>
                <w:sz w:val="20"/>
                <w:szCs w:val="20"/>
              </w:rPr>
              <w:t>BSIZE</w:t>
            </w:r>
          </w:p>
        </w:tc>
        <w:tc>
          <w:tcPr>
            <w:tcW w:w="2248" w:type="dxa"/>
            <w:tcBorders>
              <w:top w:val="single" w:sz="4" w:space="0" w:color="auto"/>
              <w:left w:val="nil"/>
              <w:bottom w:val="nil"/>
              <w:right w:val="nil"/>
            </w:tcBorders>
          </w:tcPr>
          <w:p w14:paraId="21703907"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1.394***</w:t>
            </w:r>
          </w:p>
        </w:tc>
        <w:tc>
          <w:tcPr>
            <w:tcW w:w="2248" w:type="dxa"/>
            <w:tcBorders>
              <w:top w:val="single" w:sz="4" w:space="0" w:color="auto"/>
              <w:left w:val="nil"/>
              <w:bottom w:val="nil"/>
              <w:right w:val="nil"/>
            </w:tcBorders>
          </w:tcPr>
          <w:p w14:paraId="6948855A"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1.13**</w:t>
            </w:r>
          </w:p>
        </w:tc>
        <w:tc>
          <w:tcPr>
            <w:tcW w:w="2248" w:type="dxa"/>
            <w:tcBorders>
              <w:top w:val="single" w:sz="4" w:space="0" w:color="auto"/>
              <w:left w:val="nil"/>
              <w:bottom w:val="nil"/>
              <w:right w:val="nil"/>
            </w:tcBorders>
          </w:tcPr>
          <w:p w14:paraId="1E30B64C"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1.544**</w:t>
            </w:r>
          </w:p>
        </w:tc>
      </w:tr>
      <w:tr w:rsidR="00AE77D4" w:rsidRPr="00AE77D4" w14:paraId="0220DCD2"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tcPr>
          <w:p w14:paraId="7E1EB8E6" w14:textId="77777777" w:rsidR="005D2066" w:rsidRPr="00AE77D4" w:rsidRDefault="00661A05" w:rsidP="00AE77D4">
            <w:pPr>
              <w:spacing w:line="276" w:lineRule="auto"/>
              <w:rPr>
                <w:rFonts w:cs="Times New Roman"/>
                <w:sz w:val="20"/>
                <w:szCs w:val="20"/>
                <w:lang w:val="en-GB"/>
              </w:rPr>
            </w:pPr>
            <w:r w:rsidRPr="00AE77D4">
              <w:rPr>
                <w:rFonts w:cs="Times New Roman"/>
                <w:b w:val="0"/>
                <w:sz w:val="20"/>
                <w:szCs w:val="20"/>
                <w:lang w:val="en-GB"/>
              </w:rPr>
              <w:t>INDIR</w:t>
            </w:r>
          </w:p>
        </w:tc>
        <w:tc>
          <w:tcPr>
            <w:tcW w:w="2248" w:type="dxa"/>
            <w:tcBorders>
              <w:top w:val="nil"/>
              <w:left w:val="nil"/>
              <w:bottom w:val="nil"/>
              <w:right w:val="nil"/>
            </w:tcBorders>
          </w:tcPr>
          <w:p w14:paraId="7BA84138"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-0.104</w:t>
            </w:r>
          </w:p>
        </w:tc>
        <w:tc>
          <w:tcPr>
            <w:tcW w:w="2248" w:type="dxa"/>
            <w:tcBorders>
              <w:top w:val="nil"/>
              <w:left w:val="nil"/>
              <w:bottom w:val="nil"/>
              <w:right w:val="nil"/>
            </w:tcBorders>
          </w:tcPr>
          <w:p w14:paraId="00DAF051"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-0.168</w:t>
            </w:r>
          </w:p>
        </w:tc>
        <w:tc>
          <w:tcPr>
            <w:tcW w:w="2248" w:type="dxa"/>
            <w:tcBorders>
              <w:top w:val="nil"/>
              <w:left w:val="nil"/>
              <w:bottom w:val="nil"/>
              <w:right w:val="nil"/>
            </w:tcBorders>
          </w:tcPr>
          <w:p w14:paraId="6A420759"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-0.131</w:t>
            </w:r>
          </w:p>
        </w:tc>
      </w:tr>
      <w:tr w:rsidR="00AE77D4" w:rsidRPr="00AE77D4" w14:paraId="72F2999E"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tcPr>
          <w:p w14:paraId="41C40A0E" w14:textId="77777777" w:rsidR="005D2066" w:rsidRPr="00AE77D4" w:rsidRDefault="00661A05" w:rsidP="00AE77D4">
            <w:pPr>
              <w:spacing w:line="276" w:lineRule="auto"/>
              <w:rPr>
                <w:rFonts w:cs="Times New Roman"/>
                <w:sz w:val="20"/>
                <w:szCs w:val="20"/>
              </w:rPr>
            </w:pPr>
            <w:r w:rsidRPr="00AE77D4">
              <w:rPr>
                <w:rFonts w:cs="Times New Roman"/>
                <w:b w:val="0"/>
                <w:sz w:val="20"/>
                <w:szCs w:val="20"/>
                <w:lang w:val="en-GB"/>
              </w:rPr>
              <w:lastRenderedPageBreak/>
              <w:t>FORDIR</w:t>
            </w:r>
          </w:p>
        </w:tc>
        <w:tc>
          <w:tcPr>
            <w:tcW w:w="2248" w:type="dxa"/>
            <w:tcBorders>
              <w:top w:val="nil"/>
              <w:left w:val="nil"/>
              <w:bottom w:val="nil"/>
              <w:right w:val="nil"/>
            </w:tcBorders>
          </w:tcPr>
          <w:p w14:paraId="18C2838C"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0.247***</w:t>
            </w:r>
          </w:p>
        </w:tc>
        <w:tc>
          <w:tcPr>
            <w:tcW w:w="2248" w:type="dxa"/>
            <w:tcBorders>
              <w:top w:val="nil"/>
              <w:left w:val="nil"/>
              <w:bottom w:val="nil"/>
              <w:right w:val="nil"/>
            </w:tcBorders>
          </w:tcPr>
          <w:p w14:paraId="793D4EC6"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0.20**</w:t>
            </w:r>
          </w:p>
        </w:tc>
        <w:tc>
          <w:tcPr>
            <w:tcW w:w="2248" w:type="dxa"/>
            <w:tcBorders>
              <w:top w:val="nil"/>
              <w:left w:val="nil"/>
              <w:bottom w:val="nil"/>
              <w:right w:val="nil"/>
            </w:tcBorders>
          </w:tcPr>
          <w:p w14:paraId="4003F59F"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0.271**</w:t>
            </w:r>
          </w:p>
        </w:tc>
      </w:tr>
      <w:tr w:rsidR="00AE77D4" w:rsidRPr="00AE77D4" w14:paraId="171383C6"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5FFC3FD4" w14:textId="77777777" w:rsidR="005D2066" w:rsidRPr="00AE77D4" w:rsidRDefault="00661A05" w:rsidP="00AE77D4">
            <w:pPr>
              <w:spacing w:line="276" w:lineRule="auto"/>
              <w:rPr>
                <w:rFonts w:cs="Times New Roman"/>
                <w:sz w:val="20"/>
                <w:szCs w:val="20"/>
              </w:rPr>
            </w:pPr>
            <w:r w:rsidRPr="00AE77D4">
              <w:rPr>
                <w:rFonts w:cs="Times New Roman"/>
                <w:b w:val="0"/>
                <w:sz w:val="20"/>
                <w:szCs w:val="20"/>
              </w:rPr>
              <w:t>GENDER</w:t>
            </w:r>
          </w:p>
        </w:tc>
        <w:tc>
          <w:tcPr>
            <w:tcW w:w="2248" w:type="dxa"/>
            <w:tcBorders>
              <w:top w:val="nil"/>
              <w:left w:val="nil"/>
              <w:bottom w:val="nil"/>
              <w:right w:val="nil"/>
            </w:tcBorders>
          </w:tcPr>
          <w:p w14:paraId="6B298466"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0.029</w:t>
            </w:r>
          </w:p>
        </w:tc>
        <w:tc>
          <w:tcPr>
            <w:tcW w:w="2248" w:type="dxa"/>
            <w:tcBorders>
              <w:top w:val="nil"/>
              <w:left w:val="nil"/>
              <w:bottom w:val="nil"/>
              <w:right w:val="nil"/>
            </w:tcBorders>
          </w:tcPr>
          <w:p w14:paraId="32C93BD6"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0.042</w:t>
            </w:r>
          </w:p>
        </w:tc>
        <w:tc>
          <w:tcPr>
            <w:tcW w:w="2248" w:type="dxa"/>
            <w:tcBorders>
              <w:top w:val="nil"/>
              <w:left w:val="nil"/>
              <w:bottom w:val="nil"/>
              <w:right w:val="nil"/>
            </w:tcBorders>
          </w:tcPr>
          <w:p w14:paraId="6D09411A"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0.016</w:t>
            </w:r>
          </w:p>
        </w:tc>
      </w:tr>
      <w:tr w:rsidR="00AE77D4" w:rsidRPr="00AE77D4" w14:paraId="3F2FBC48"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62B30A09" w14:textId="77777777" w:rsidR="005D2066" w:rsidRPr="00AE77D4" w:rsidRDefault="00661A05" w:rsidP="00AE77D4">
            <w:pPr>
              <w:spacing w:line="276" w:lineRule="auto"/>
              <w:rPr>
                <w:rFonts w:cs="Times New Roman"/>
                <w:sz w:val="20"/>
                <w:szCs w:val="20"/>
              </w:rPr>
            </w:pPr>
            <w:r w:rsidRPr="00AE77D4">
              <w:rPr>
                <w:rFonts w:cs="Times New Roman"/>
                <w:b w:val="0"/>
                <w:sz w:val="20"/>
                <w:szCs w:val="20"/>
              </w:rPr>
              <w:t>BOMEET</w:t>
            </w:r>
          </w:p>
        </w:tc>
        <w:tc>
          <w:tcPr>
            <w:tcW w:w="2248" w:type="dxa"/>
            <w:tcBorders>
              <w:top w:val="nil"/>
              <w:left w:val="nil"/>
              <w:bottom w:val="nil"/>
              <w:right w:val="nil"/>
            </w:tcBorders>
          </w:tcPr>
          <w:p w14:paraId="0994E393"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-0.193</w:t>
            </w:r>
          </w:p>
        </w:tc>
        <w:tc>
          <w:tcPr>
            <w:tcW w:w="2248" w:type="dxa"/>
            <w:tcBorders>
              <w:top w:val="nil"/>
              <w:left w:val="nil"/>
              <w:bottom w:val="nil"/>
              <w:right w:val="nil"/>
            </w:tcBorders>
          </w:tcPr>
          <w:p w14:paraId="2FEB2BE3"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-0.041</w:t>
            </w:r>
          </w:p>
        </w:tc>
        <w:tc>
          <w:tcPr>
            <w:tcW w:w="2248" w:type="dxa"/>
            <w:tcBorders>
              <w:top w:val="nil"/>
              <w:left w:val="nil"/>
              <w:bottom w:val="nil"/>
              <w:right w:val="nil"/>
            </w:tcBorders>
          </w:tcPr>
          <w:p w14:paraId="6BFF60C1"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-0.322</w:t>
            </w:r>
          </w:p>
        </w:tc>
      </w:tr>
      <w:tr w:rsidR="00AE77D4" w:rsidRPr="00AE77D4" w14:paraId="67DA8162"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tcPr>
          <w:p w14:paraId="2556ECDA" w14:textId="77777777" w:rsidR="005D2066" w:rsidRPr="00AE77D4" w:rsidRDefault="00661A05" w:rsidP="00AE77D4">
            <w:pPr>
              <w:spacing w:line="276" w:lineRule="auto"/>
              <w:rPr>
                <w:rFonts w:cs="Times New Roman"/>
                <w:sz w:val="20"/>
                <w:szCs w:val="20"/>
              </w:rPr>
            </w:pPr>
            <w:r w:rsidRPr="00AE77D4">
              <w:rPr>
                <w:rFonts w:cs="Times New Roman"/>
                <w:b w:val="0"/>
                <w:sz w:val="20"/>
                <w:szCs w:val="20"/>
                <w:lang w:val="en-GB"/>
              </w:rPr>
              <w:t>DUALITY</w:t>
            </w:r>
          </w:p>
        </w:tc>
        <w:tc>
          <w:tcPr>
            <w:tcW w:w="2248" w:type="dxa"/>
            <w:tcBorders>
              <w:top w:val="nil"/>
              <w:left w:val="nil"/>
              <w:bottom w:val="nil"/>
              <w:right w:val="nil"/>
            </w:tcBorders>
          </w:tcPr>
          <w:p w14:paraId="12C920BE"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-21.969</w:t>
            </w:r>
          </w:p>
        </w:tc>
        <w:tc>
          <w:tcPr>
            <w:tcW w:w="2248" w:type="dxa"/>
            <w:tcBorders>
              <w:top w:val="nil"/>
              <w:left w:val="nil"/>
              <w:bottom w:val="nil"/>
              <w:right w:val="nil"/>
            </w:tcBorders>
          </w:tcPr>
          <w:p w14:paraId="48F9DFAE"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-21.79*</w:t>
            </w:r>
          </w:p>
        </w:tc>
        <w:tc>
          <w:tcPr>
            <w:tcW w:w="2248" w:type="dxa"/>
            <w:tcBorders>
              <w:top w:val="nil"/>
              <w:left w:val="nil"/>
              <w:bottom w:val="nil"/>
              <w:right w:val="nil"/>
            </w:tcBorders>
          </w:tcPr>
          <w:p w14:paraId="3506FB11"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-20.630</w:t>
            </w:r>
          </w:p>
        </w:tc>
      </w:tr>
      <w:tr w:rsidR="00AE77D4" w:rsidRPr="00AE77D4" w14:paraId="3C366039"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44A26E02" w14:textId="77777777" w:rsidR="005D2066" w:rsidRPr="00AE77D4" w:rsidRDefault="00661A05" w:rsidP="00AE77D4">
            <w:pPr>
              <w:spacing w:line="276" w:lineRule="auto"/>
              <w:rPr>
                <w:rFonts w:cs="Times New Roman"/>
                <w:sz w:val="20"/>
                <w:szCs w:val="20"/>
              </w:rPr>
            </w:pPr>
            <w:r w:rsidRPr="00AE77D4">
              <w:rPr>
                <w:rFonts w:cs="Times New Roman"/>
                <w:b w:val="0"/>
                <w:sz w:val="20"/>
                <w:szCs w:val="20"/>
              </w:rPr>
              <w:t>ADCOM</w:t>
            </w:r>
          </w:p>
        </w:tc>
        <w:tc>
          <w:tcPr>
            <w:tcW w:w="2248" w:type="dxa"/>
            <w:tcBorders>
              <w:top w:val="nil"/>
              <w:left w:val="nil"/>
              <w:bottom w:val="nil"/>
              <w:right w:val="nil"/>
            </w:tcBorders>
          </w:tcPr>
          <w:p w14:paraId="266321AA"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4.588***</w:t>
            </w:r>
          </w:p>
        </w:tc>
        <w:tc>
          <w:tcPr>
            <w:tcW w:w="2248" w:type="dxa"/>
            <w:tcBorders>
              <w:top w:val="nil"/>
              <w:left w:val="nil"/>
              <w:bottom w:val="nil"/>
              <w:right w:val="nil"/>
            </w:tcBorders>
          </w:tcPr>
          <w:p w14:paraId="440F2F8E"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5.316***</w:t>
            </w:r>
          </w:p>
        </w:tc>
        <w:tc>
          <w:tcPr>
            <w:tcW w:w="2248" w:type="dxa"/>
            <w:tcBorders>
              <w:top w:val="nil"/>
              <w:left w:val="nil"/>
              <w:bottom w:val="nil"/>
              <w:right w:val="nil"/>
            </w:tcBorders>
          </w:tcPr>
          <w:p w14:paraId="15A0284A"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3.935**</w:t>
            </w:r>
          </w:p>
        </w:tc>
      </w:tr>
      <w:tr w:rsidR="00AE77D4" w:rsidRPr="00AE77D4" w14:paraId="28901DDF"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0D162D2C" w14:textId="77777777" w:rsidR="005D2066" w:rsidRPr="00AE77D4" w:rsidRDefault="00661A05" w:rsidP="00AE77D4">
            <w:pPr>
              <w:spacing w:line="276" w:lineRule="auto"/>
              <w:rPr>
                <w:rFonts w:cs="Times New Roman"/>
                <w:sz w:val="20"/>
                <w:szCs w:val="20"/>
              </w:rPr>
            </w:pPr>
            <w:r w:rsidRPr="00AE77D4">
              <w:rPr>
                <w:rFonts w:cs="Times New Roman"/>
                <w:b w:val="0"/>
                <w:sz w:val="20"/>
                <w:szCs w:val="20"/>
              </w:rPr>
              <w:t>SIZE</w:t>
            </w:r>
          </w:p>
        </w:tc>
        <w:tc>
          <w:tcPr>
            <w:tcW w:w="2248" w:type="dxa"/>
            <w:tcBorders>
              <w:top w:val="nil"/>
              <w:left w:val="nil"/>
              <w:bottom w:val="nil"/>
              <w:right w:val="nil"/>
            </w:tcBorders>
          </w:tcPr>
          <w:p w14:paraId="26CFA8E2"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0.005</w:t>
            </w:r>
          </w:p>
        </w:tc>
        <w:tc>
          <w:tcPr>
            <w:tcW w:w="2248" w:type="dxa"/>
            <w:tcBorders>
              <w:top w:val="nil"/>
              <w:left w:val="nil"/>
              <w:bottom w:val="nil"/>
              <w:right w:val="nil"/>
            </w:tcBorders>
          </w:tcPr>
          <w:p w14:paraId="078EACEA"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0.022</w:t>
            </w:r>
          </w:p>
        </w:tc>
        <w:tc>
          <w:tcPr>
            <w:tcW w:w="2248" w:type="dxa"/>
            <w:tcBorders>
              <w:top w:val="nil"/>
              <w:left w:val="nil"/>
              <w:bottom w:val="nil"/>
              <w:right w:val="nil"/>
            </w:tcBorders>
          </w:tcPr>
          <w:p w14:paraId="078C3313"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-0.014</w:t>
            </w:r>
          </w:p>
        </w:tc>
      </w:tr>
      <w:tr w:rsidR="00AE77D4" w:rsidRPr="00AE77D4" w14:paraId="1DD3B8B6"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3BD6AFCE" w14:textId="77777777" w:rsidR="005D2066" w:rsidRPr="00AE77D4" w:rsidRDefault="00661A05" w:rsidP="00AE77D4">
            <w:pPr>
              <w:spacing w:line="276" w:lineRule="auto"/>
              <w:rPr>
                <w:rFonts w:cs="Times New Roman"/>
                <w:sz w:val="20"/>
                <w:szCs w:val="20"/>
              </w:rPr>
            </w:pPr>
            <w:r w:rsidRPr="00AE77D4">
              <w:rPr>
                <w:rFonts w:cs="Times New Roman"/>
                <w:b w:val="0"/>
                <w:sz w:val="20"/>
                <w:szCs w:val="20"/>
              </w:rPr>
              <w:t>ROA</w:t>
            </w:r>
          </w:p>
        </w:tc>
        <w:tc>
          <w:tcPr>
            <w:tcW w:w="2248" w:type="dxa"/>
            <w:tcBorders>
              <w:top w:val="nil"/>
              <w:left w:val="nil"/>
              <w:bottom w:val="nil"/>
              <w:right w:val="nil"/>
            </w:tcBorders>
          </w:tcPr>
          <w:p w14:paraId="362349BA"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3.661**</w:t>
            </w:r>
          </w:p>
        </w:tc>
        <w:tc>
          <w:tcPr>
            <w:tcW w:w="2248" w:type="dxa"/>
            <w:tcBorders>
              <w:top w:val="nil"/>
              <w:left w:val="nil"/>
              <w:bottom w:val="nil"/>
              <w:right w:val="nil"/>
            </w:tcBorders>
          </w:tcPr>
          <w:p w14:paraId="02D040E3"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2.277</w:t>
            </w:r>
          </w:p>
        </w:tc>
        <w:tc>
          <w:tcPr>
            <w:tcW w:w="2248" w:type="dxa"/>
            <w:tcBorders>
              <w:top w:val="nil"/>
              <w:left w:val="nil"/>
              <w:bottom w:val="nil"/>
              <w:right w:val="nil"/>
            </w:tcBorders>
          </w:tcPr>
          <w:p w14:paraId="0A55EF8D"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17.430**</w:t>
            </w:r>
          </w:p>
        </w:tc>
      </w:tr>
      <w:tr w:rsidR="00AE77D4" w:rsidRPr="00AE77D4" w14:paraId="246AC7B0"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5E61E956" w14:textId="77777777" w:rsidR="005D2066" w:rsidRPr="00AE77D4" w:rsidRDefault="00661A05" w:rsidP="00AE77D4">
            <w:pPr>
              <w:spacing w:line="276" w:lineRule="auto"/>
              <w:rPr>
                <w:rFonts w:cs="Times New Roman"/>
                <w:sz w:val="20"/>
                <w:szCs w:val="20"/>
              </w:rPr>
            </w:pPr>
            <w:r w:rsidRPr="00AE77D4">
              <w:rPr>
                <w:rFonts w:cs="Times New Roman"/>
                <w:b w:val="0"/>
                <w:sz w:val="20"/>
                <w:szCs w:val="20"/>
              </w:rPr>
              <w:t>LEV</w:t>
            </w:r>
          </w:p>
        </w:tc>
        <w:tc>
          <w:tcPr>
            <w:tcW w:w="2248" w:type="dxa"/>
            <w:tcBorders>
              <w:top w:val="nil"/>
              <w:left w:val="nil"/>
              <w:bottom w:val="nil"/>
              <w:right w:val="nil"/>
            </w:tcBorders>
          </w:tcPr>
          <w:p w14:paraId="6D4160EB"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-2.043*</w:t>
            </w:r>
          </w:p>
        </w:tc>
        <w:tc>
          <w:tcPr>
            <w:tcW w:w="2248" w:type="dxa"/>
            <w:tcBorders>
              <w:top w:val="nil"/>
              <w:left w:val="nil"/>
              <w:bottom w:val="nil"/>
              <w:right w:val="nil"/>
            </w:tcBorders>
          </w:tcPr>
          <w:p w14:paraId="00300359"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-0.195*</w:t>
            </w:r>
          </w:p>
        </w:tc>
        <w:tc>
          <w:tcPr>
            <w:tcW w:w="2248" w:type="dxa"/>
            <w:tcBorders>
              <w:top w:val="nil"/>
              <w:left w:val="nil"/>
              <w:bottom w:val="nil"/>
              <w:right w:val="nil"/>
            </w:tcBorders>
          </w:tcPr>
          <w:p w14:paraId="4CFD1711"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-2.617*</w:t>
            </w:r>
          </w:p>
        </w:tc>
      </w:tr>
      <w:tr w:rsidR="00AE77D4" w:rsidRPr="00AE77D4" w14:paraId="52D65F3A"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2F7B6B01" w14:textId="77777777" w:rsidR="005D2066" w:rsidRPr="00AE77D4" w:rsidRDefault="00661A05" w:rsidP="00AE77D4">
            <w:pPr>
              <w:spacing w:line="276" w:lineRule="auto"/>
              <w:rPr>
                <w:rFonts w:cs="Times New Roman"/>
                <w:sz w:val="20"/>
                <w:szCs w:val="20"/>
              </w:rPr>
            </w:pPr>
            <w:r w:rsidRPr="00AE77D4">
              <w:rPr>
                <w:rFonts w:cs="Times New Roman"/>
                <w:b w:val="0"/>
                <w:sz w:val="20"/>
                <w:szCs w:val="20"/>
              </w:rPr>
              <w:t>YEAR</w:t>
            </w:r>
          </w:p>
        </w:tc>
        <w:tc>
          <w:tcPr>
            <w:tcW w:w="2248" w:type="dxa"/>
            <w:tcBorders>
              <w:top w:val="nil"/>
              <w:left w:val="nil"/>
              <w:bottom w:val="nil"/>
              <w:right w:val="nil"/>
            </w:tcBorders>
          </w:tcPr>
          <w:p w14:paraId="2CC4C474"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Y</w:t>
            </w:r>
          </w:p>
        </w:tc>
        <w:tc>
          <w:tcPr>
            <w:tcW w:w="2248" w:type="dxa"/>
            <w:tcBorders>
              <w:top w:val="nil"/>
              <w:left w:val="nil"/>
              <w:bottom w:val="nil"/>
              <w:right w:val="nil"/>
            </w:tcBorders>
          </w:tcPr>
          <w:p w14:paraId="13B16DBC"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Y</w:t>
            </w:r>
          </w:p>
        </w:tc>
        <w:tc>
          <w:tcPr>
            <w:tcW w:w="2248" w:type="dxa"/>
            <w:tcBorders>
              <w:top w:val="nil"/>
              <w:left w:val="nil"/>
              <w:bottom w:val="nil"/>
              <w:right w:val="nil"/>
            </w:tcBorders>
          </w:tcPr>
          <w:p w14:paraId="18CB85BD"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AE77D4">
              <w:rPr>
                <w:rFonts w:cs="Times New Roman"/>
                <w:sz w:val="20"/>
                <w:szCs w:val="20"/>
                <w:lang w:val="en-GB"/>
              </w:rPr>
              <w:t>Y</w:t>
            </w:r>
          </w:p>
        </w:tc>
      </w:tr>
      <w:tr w:rsidR="00AE77D4" w:rsidRPr="00AE77D4" w14:paraId="1DB68E4E" w14:textId="77777777" w:rsidTr="00AB775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hideMark/>
          </w:tcPr>
          <w:p w14:paraId="05101D6C" w14:textId="77777777" w:rsidR="005D2066" w:rsidRPr="00AE77D4" w:rsidRDefault="00661A05" w:rsidP="00AE77D4">
            <w:pPr>
              <w:spacing w:line="276" w:lineRule="auto"/>
              <w:rPr>
                <w:rFonts w:cs="Times New Roman"/>
                <w:sz w:val="20"/>
                <w:szCs w:val="20"/>
              </w:rPr>
            </w:pPr>
            <w:r w:rsidRPr="00AE77D4">
              <w:rPr>
                <w:rFonts w:cs="Times New Roman"/>
                <w:b w:val="0"/>
                <w:sz w:val="20"/>
                <w:szCs w:val="20"/>
              </w:rPr>
              <w:t>INDUSTRY</w:t>
            </w:r>
          </w:p>
        </w:tc>
        <w:tc>
          <w:tcPr>
            <w:tcW w:w="2248" w:type="dxa"/>
            <w:tcBorders>
              <w:top w:val="nil"/>
              <w:left w:val="nil"/>
              <w:bottom w:val="nil"/>
              <w:right w:val="nil"/>
            </w:tcBorders>
          </w:tcPr>
          <w:p w14:paraId="56457A8B"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Y</w:t>
            </w:r>
          </w:p>
        </w:tc>
        <w:tc>
          <w:tcPr>
            <w:tcW w:w="2248" w:type="dxa"/>
            <w:tcBorders>
              <w:top w:val="nil"/>
              <w:left w:val="nil"/>
              <w:bottom w:val="nil"/>
              <w:right w:val="nil"/>
            </w:tcBorders>
          </w:tcPr>
          <w:p w14:paraId="427B1D2F"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Y</w:t>
            </w:r>
          </w:p>
        </w:tc>
        <w:tc>
          <w:tcPr>
            <w:tcW w:w="2248" w:type="dxa"/>
            <w:tcBorders>
              <w:top w:val="nil"/>
              <w:left w:val="nil"/>
              <w:bottom w:val="nil"/>
              <w:right w:val="nil"/>
            </w:tcBorders>
          </w:tcPr>
          <w:p w14:paraId="081B6321" w14:textId="77777777" w:rsidR="005D2066"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AE77D4">
              <w:rPr>
                <w:rFonts w:cs="Times New Roman"/>
                <w:sz w:val="20"/>
                <w:szCs w:val="20"/>
                <w:lang w:val="en-GB"/>
              </w:rPr>
              <w:t>Y</w:t>
            </w:r>
          </w:p>
        </w:tc>
      </w:tr>
      <w:tr w:rsidR="00AE77D4" w:rsidRPr="00AE77D4" w14:paraId="16B4CDDC" w14:textId="77777777" w:rsidTr="00AB775B">
        <w:trPr>
          <w:trHeight w:val="400"/>
        </w:trPr>
        <w:tc>
          <w:tcPr>
            <w:cnfStyle w:val="001000000000" w:firstRow="0" w:lastRow="0" w:firstColumn="1" w:lastColumn="0" w:oddVBand="0" w:evenVBand="0" w:oddHBand="0" w:evenHBand="0" w:firstRowFirstColumn="0" w:firstRowLastColumn="0" w:lastRowFirstColumn="0" w:lastRowLastColumn="0"/>
            <w:tcW w:w="2062" w:type="dxa"/>
            <w:tcBorders>
              <w:top w:val="nil"/>
              <w:left w:val="nil"/>
              <w:bottom w:val="nil"/>
              <w:right w:val="nil"/>
            </w:tcBorders>
          </w:tcPr>
          <w:p w14:paraId="7F7E0B57" w14:textId="77777777" w:rsidR="005D2066" w:rsidRPr="00AE77D4" w:rsidRDefault="00661A05" w:rsidP="00AE77D4">
            <w:pPr>
              <w:spacing w:line="276" w:lineRule="auto"/>
              <w:rPr>
                <w:rFonts w:cs="Times New Roman"/>
                <w:sz w:val="20"/>
                <w:szCs w:val="20"/>
              </w:rPr>
            </w:pPr>
            <w:r w:rsidRPr="00AE77D4">
              <w:rPr>
                <w:rFonts w:cs="Times New Roman"/>
                <w:b w:val="0"/>
                <w:sz w:val="20"/>
                <w:szCs w:val="20"/>
              </w:rPr>
              <w:t>R Squared</w:t>
            </w:r>
          </w:p>
        </w:tc>
        <w:tc>
          <w:tcPr>
            <w:tcW w:w="2248" w:type="dxa"/>
            <w:tcBorders>
              <w:top w:val="nil"/>
              <w:left w:val="nil"/>
              <w:bottom w:val="nil"/>
              <w:right w:val="nil"/>
            </w:tcBorders>
          </w:tcPr>
          <w:p w14:paraId="218613F9"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0.127</w:t>
            </w:r>
          </w:p>
        </w:tc>
        <w:tc>
          <w:tcPr>
            <w:tcW w:w="2248" w:type="dxa"/>
            <w:tcBorders>
              <w:top w:val="nil"/>
              <w:left w:val="nil"/>
              <w:bottom w:val="nil"/>
              <w:right w:val="nil"/>
            </w:tcBorders>
          </w:tcPr>
          <w:p w14:paraId="2FB90B9A"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0.127</w:t>
            </w:r>
          </w:p>
        </w:tc>
        <w:tc>
          <w:tcPr>
            <w:tcW w:w="2248" w:type="dxa"/>
            <w:tcBorders>
              <w:top w:val="nil"/>
              <w:left w:val="nil"/>
              <w:bottom w:val="nil"/>
              <w:right w:val="nil"/>
            </w:tcBorders>
          </w:tcPr>
          <w:p w14:paraId="68FEEC1C" w14:textId="77777777" w:rsidR="005D2066"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0.142</w:t>
            </w:r>
          </w:p>
        </w:tc>
      </w:tr>
      <w:tr w:rsidR="00AE77D4" w:rsidRPr="00AE77D4" w14:paraId="042111B4" w14:textId="77777777" w:rsidTr="00AB775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8806" w:type="dxa"/>
            <w:gridSpan w:val="4"/>
            <w:tcBorders>
              <w:top w:val="nil"/>
              <w:left w:val="nil"/>
              <w:bottom w:val="nil"/>
              <w:right w:val="nil"/>
            </w:tcBorders>
            <w:shd w:val="clear" w:color="auto" w:fill="auto"/>
          </w:tcPr>
          <w:p w14:paraId="314A22AD" w14:textId="77777777" w:rsidR="005D2066" w:rsidRPr="00AE77D4" w:rsidRDefault="00661A05" w:rsidP="00AE77D4">
            <w:pPr>
              <w:spacing w:line="276" w:lineRule="auto"/>
              <w:rPr>
                <w:rFonts w:cs="Times New Roman"/>
                <w:sz w:val="20"/>
                <w:szCs w:val="20"/>
                <w:lang w:val="en-GB"/>
              </w:rPr>
            </w:pPr>
            <w:r w:rsidRPr="00AE77D4">
              <w:rPr>
                <w:rFonts w:cs="Times New Roman"/>
                <w:b w:val="0"/>
                <w:sz w:val="16"/>
                <w:szCs w:val="16"/>
                <w:lang w:val="en-GB"/>
              </w:rPr>
              <w:t>Notes: (1) *, **, *** significance at 10%, 5%, and 1% levels of confidence, respectively. (2) See Table 2 for variable definitions.</w:t>
            </w:r>
          </w:p>
        </w:tc>
      </w:tr>
    </w:tbl>
    <w:p w14:paraId="79752651" w14:textId="77777777" w:rsidR="005D2066" w:rsidRPr="00AE77D4" w:rsidRDefault="005D2066" w:rsidP="00AE77D4">
      <w:pPr>
        <w:spacing w:after="0" w:line="276" w:lineRule="auto"/>
        <w:jc w:val="both"/>
        <w:rPr>
          <w:rFonts w:ascii="Times New Roman" w:hAnsi="Times New Roman" w:cs="Times New Roman"/>
          <w:sz w:val="24"/>
          <w:szCs w:val="24"/>
          <w:lang w:val="en-GB"/>
        </w:rPr>
      </w:pPr>
    </w:p>
    <w:p w14:paraId="37A54575" w14:textId="12E51B9B" w:rsidR="00261AE9"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i/>
          <w:iCs/>
          <w:sz w:val="24"/>
          <w:szCs w:val="24"/>
          <w:lang w:val="en-GB"/>
        </w:rPr>
        <w:t>6.3.4</w:t>
      </w:r>
      <w:r w:rsidRPr="00AE77D4">
        <w:rPr>
          <w:rFonts w:ascii="Times New Roman" w:hAnsi="Times New Roman" w:cs="Times New Roman"/>
          <w:b/>
          <w:bCs/>
          <w:sz w:val="24"/>
          <w:szCs w:val="24"/>
          <w:lang w:val="en-GB"/>
        </w:rPr>
        <w:t xml:space="preserve"> </w:t>
      </w:r>
      <w:r w:rsidRPr="00AE77D4">
        <w:rPr>
          <w:rFonts w:ascii="Times New Roman" w:hAnsi="Times New Roman" w:cs="Times New Roman"/>
          <w:b/>
          <w:sz w:val="24"/>
          <w:szCs w:val="24"/>
          <w:lang w:val="en-GB"/>
        </w:rPr>
        <w:t xml:space="preserve">| </w:t>
      </w:r>
      <w:r w:rsidRPr="00AE77D4">
        <w:rPr>
          <w:rFonts w:ascii="Times New Roman" w:hAnsi="Times New Roman" w:cs="Times New Roman"/>
          <w:i/>
          <w:iCs/>
          <w:sz w:val="24"/>
          <w:szCs w:val="24"/>
          <w:lang w:val="en-GB"/>
        </w:rPr>
        <w:t>Endogeneity, IV and 2sls regression:</w:t>
      </w:r>
      <w:r w:rsidRPr="00AE77D4">
        <w:rPr>
          <w:rFonts w:ascii="Times New Roman" w:hAnsi="Times New Roman" w:cs="Times New Roman"/>
          <w:sz w:val="24"/>
          <w:szCs w:val="24"/>
          <w:lang w:val="en-GB"/>
        </w:rPr>
        <w:t xml:space="preserve"> </w:t>
      </w:r>
      <w:r w:rsidR="0072507F" w:rsidRPr="00AE77D4">
        <w:rPr>
          <w:rFonts w:ascii="Times New Roman" w:hAnsi="Times New Roman" w:cs="Times New Roman"/>
          <w:sz w:val="24"/>
          <w:szCs w:val="24"/>
          <w:lang w:val="en-GB"/>
        </w:rPr>
        <w:t>Acknowledging the potential interactions among Corporate Governance (CG) factors, as suggested by prior research (Khan et al., 2019), we recognize that firms strategically appoint board</w:t>
      </w:r>
      <w:r w:rsidRPr="00AE77D4">
        <w:rPr>
          <w:rFonts w:ascii="Times New Roman" w:eastAsia="Calibri" w:hAnsi="Times New Roman" w:cs="Times New Roman"/>
          <w:sz w:val="24"/>
          <w:szCs w:val="24"/>
          <w:lang w:val="en-GB"/>
        </w:rPr>
        <w:t xml:space="preserve">s or subcommittee members to align with their corporate culture. In line with the methodology proposed by Larcker and Rusticus (2010), we systematically address concerns related to potential endogeneity by employing the two-stage least squares (2SLS) method, as detailed in Table 11. Given the interconnected nature of CG factors, particularly the appointment of board or subcommittee members, we adopted </w:t>
      </w:r>
      <w:r w:rsidR="0072507F" w:rsidRPr="00AE77D4">
        <w:rPr>
          <w:rFonts w:ascii="Times New Roman" w:hAnsi="Times New Roman" w:cs="Times New Roman"/>
          <w:sz w:val="24"/>
          <w:szCs w:val="24"/>
          <w:lang w:val="en-GB"/>
        </w:rPr>
        <w:t xml:space="preserve">the strategy outlined by Cho and Kim (2003). In this regard, we treat the number of independent directors as an endogenous variable </w:t>
      </w:r>
      <w:r w:rsidRPr="00AE77D4">
        <w:rPr>
          <w:rFonts w:ascii="Times New Roman" w:eastAsia="Calibri" w:hAnsi="Times New Roman" w:cs="Times New Roman"/>
          <w:sz w:val="24"/>
          <w:szCs w:val="24"/>
          <w:lang w:val="en-GB"/>
        </w:rPr>
        <w:t xml:space="preserve">that is influenced by company board size. This approach accounts for the regulatory requirement that boards maintain at least 20% of independent directors to comply with CG rules, as stipulated by the Securities and Exchange Commission (2012) and </w:t>
      </w:r>
      <w:r w:rsidR="0072507F" w:rsidRPr="00AE77D4">
        <w:rPr>
          <w:rFonts w:ascii="Times New Roman" w:hAnsi="Times New Roman" w:cs="Times New Roman"/>
          <w:sz w:val="24"/>
          <w:szCs w:val="24"/>
          <w:lang w:val="en-GB"/>
        </w:rPr>
        <w:t>Bangladesh Securities and Exchange Commission (2018). The 2SLS results in Table 11 offer insights into potential endogeneity concerns and contribute to the validity and reliability of our findings.</w:t>
      </w:r>
    </w:p>
    <w:p w14:paraId="161D34CE" w14:textId="0D336F51" w:rsidR="005360D2" w:rsidRPr="00AE77D4" w:rsidRDefault="00661A05" w:rsidP="00AE77D4">
      <w:pPr>
        <w:spacing w:after="0"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The Durbin-Wu-Hausman statistics falling within 1.5 and 2.5 signify the acceptability of </w:t>
      </w:r>
      <w:r w:rsidR="00281438" w:rsidRPr="00AE77D4">
        <w:rPr>
          <w:rFonts w:ascii="Times New Roman" w:hAnsi="Times New Roman" w:cs="Times New Roman"/>
          <w:sz w:val="24"/>
          <w:szCs w:val="24"/>
          <w:lang w:val="en-GB"/>
        </w:rPr>
        <w:t>our</w:t>
      </w:r>
      <w:r w:rsidRPr="00AE77D4">
        <w:rPr>
          <w:rFonts w:ascii="Times New Roman" w:hAnsi="Times New Roman" w:cs="Times New Roman"/>
          <w:sz w:val="24"/>
          <w:szCs w:val="24"/>
          <w:lang w:val="en-GB"/>
        </w:rPr>
        <w:t xml:space="preserve"> </w:t>
      </w:r>
      <w:r w:rsidR="00281438" w:rsidRPr="00AE77D4">
        <w:rPr>
          <w:rFonts w:ascii="Times New Roman" w:hAnsi="Times New Roman" w:cs="Times New Roman"/>
          <w:sz w:val="24"/>
          <w:szCs w:val="24"/>
          <w:lang w:val="en-GB"/>
        </w:rPr>
        <w:t>M</w:t>
      </w:r>
      <w:r w:rsidRPr="00AE77D4">
        <w:rPr>
          <w:rFonts w:ascii="Times New Roman" w:hAnsi="Times New Roman" w:cs="Times New Roman"/>
          <w:sz w:val="24"/>
          <w:szCs w:val="24"/>
          <w:lang w:val="en-GB"/>
        </w:rPr>
        <w:t>odel (Ullah et al., 2018).</w:t>
      </w:r>
    </w:p>
    <w:tbl>
      <w:tblPr>
        <w:tblStyle w:val="GridTable22"/>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34"/>
        <w:gridCol w:w="2248"/>
        <w:gridCol w:w="2248"/>
      </w:tblGrid>
      <w:tr w:rsidR="00AE77D4" w:rsidRPr="00AE77D4" w14:paraId="2D998251" w14:textId="77777777" w:rsidTr="00AB775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8806" w:type="dxa"/>
            <w:gridSpan w:val="4"/>
            <w:tcBorders>
              <w:top w:val="single" w:sz="4" w:space="0" w:color="auto"/>
              <w:left w:val="nil"/>
              <w:bottom w:val="nil"/>
              <w:right w:val="nil"/>
            </w:tcBorders>
          </w:tcPr>
          <w:p w14:paraId="797F8EE3" w14:textId="380D4803" w:rsidR="005360D2" w:rsidRPr="00AE77D4" w:rsidRDefault="00661A05" w:rsidP="00AE77D4">
            <w:pPr>
              <w:spacing w:line="276" w:lineRule="auto"/>
              <w:rPr>
                <w:rFonts w:cs="Times New Roman"/>
              </w:rPr>
            </w:pPr>
            <w:r w:rsidRPr="00AE77D4">
              <w:rPr>
                <w:rFonts w:cs="Times New Roman"/>
              </w:rPr>
              <w:t xml:space="preserve">Table 11.  </w:t>
            </w:r>
            <w:r w:rsidRPr="00AE77D4">
              <w:rPr>
                <w:rFonts w:cs="Times New Roman"/>
                <w:b w:val="0"/>
              </w:rPr>
              <w:t>2SLS regression results on the relationship between CG and CCD</w:t>
            </w:r>
          </w:p>
        </w:tc>
      </w:tr>
      <w:tr w:rsidR="00AE77D4" w:rsidRPr="00AE77D4" w14:paraId="038CC8B9" w14:textId="77777777" w:rsidTr="00AB7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single" w:sz="4" w:space="0" w:color="auto"/>
              <w:right w:val="nil"/>
            </w:tcBorders>
          </w:tcPr>
          <w:p w14:paraId="75292DD2" w14:textId="77777777" w:rsidR="005360D2" w:rsidRPr="00AE77D4" w:rsidRDefault="005360D2" w:rsidP="00AE77D4">
            <w:pPr>
              <w:spacing w:line="276" w:lineRule="auto"/>
              <w:rPr>
                <w:rFonts w:cs="Times New Roman"/>
                <w:sz w:val="20"/>
                <w:szCs w:val="20"/>
              </w:rPr>
            </w:pPr>
          </w:p>
        </w:tc>
        <w:tc>
          <w:tcPr>
            <w:tcW w:w="1934" w:type="dxa"/>
            <w:tcBorders>
              <w:top w:val="single" w:sz="4" w:space="0" w:color="auto"/>
              <w:left w:val="nil"/>
              <w:bottom w:val="single" w:sz="4" w:space="0" w:color="auto"/>
              <w:right w:val="nil"/>
            </w:tcBorders>
          </w:tcPr>
          <w:p w14:paraId="47CFCDAB"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bCs/>
                <w:sz w:val="20"/>
                <w:szCs w:val="20"/>
              </w:rPr>
              <w:t>Entire Period</w:t>
            </w:r>
          </w:p>
        </w:tc>
        <w:tc>
          <w:tcPr>
            <w:tcW w:w="2248" w:type="dxa"/>
            <w:tcBorders>
              <w:top w:val="single" w:sz="4" w:space="0" w:color="auto"/>
              <w:left w:val="nil"/>
              <w:bottom w:val="single" w:sz="4" w:space="0" w:color="auto"/>
              <w:right w:val="nil"/>
            </w:tcBorders>
          </w:tcPr>
          <w:p w14:paraId="0A12070B"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bCs/>
                <w:sz w:val="20"/>
                <w:szCs w:val="20"/>
              </w:rPr>
              <w:t>Pre-amendment</w:t>
            </w:r>
          </w:p>
        </w:tc>
        <w:tc>
          <w:tcPr>
            <w:tcW w:w="2248" w:type="dxa"/>
            <w:tcBorders>
              <w:top w:val="single" w:sz="4" w:space="0" w:color="auto"/>
              <w:left w:val="nil"/>
              <w:bottom w:val="single" w:sz="4" w:space="0" w:color="auto"/>
              <w:right w:val="nil"/>
            </w:tcBorders>
          </w:tcPr>
          <w:p w14:paraId="70A4F661"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bCs/>
                <w:sz w:val="20"/>
                <w:szCs w:val="20"/>
              </w:rPr>
              <w:t>Post-amendment</w:t>
            </w:r>
          </w:p>
        </w:tc>
      </w:tr>
      <w:tr w:rsidR="00AE77D4" w:rsidRPr="00AE77D4" w14:paraId="336FC438" w14:textId="77777777" w:rsidTr="00AB775B">
        <w:trPr>
          <w:trHeight w:val="327"/>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nil"/>
              <w:bottom w:val="single" w:sz="4" w:space="0" w:color="auto"/>
              <w:right w:val="nil"/>
            </w:tcBorders>
            <w:hideMark/>
          </w:tcPr>
          <w:p w14:paraId="4AFD20D2"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Variable Name</w:t>
            </w:r>
          </w:p>
        </w:tc>
        <w:tc>
          <w:tcPr>
            <w:tcW w:w="1934" w:type="dxa"/>
            <w:tcBorders>
              <w:top w:val="single" w:sz="4" w:space="0" w:color="auto"/>
              <w:left w:val="nil"/>
              <w:bottom w:val="single" w:sz="4" w:space="0" w:color="auto"/>
              <w:right w:val="nil"/>
            </w:tcBorders>
          </w:tcPr>
          <w:p w14:paraId="6BE0FA4B"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AE77D4">
              <w:rPr>
                <w:rFonts w:cs="Times New Roman"/>
                <w:bCs/>
                <w:sz w:val="20"/>
                <w:szCs w:val="20"/>
              </w:rPr>
              <w:t>Coefficient</w:t>
            </w:r>
          </w:p>
        </w:tc>
        <w:tc>
          <w:tcPr>
            <w:tcW w:w="2248" w:type="dxa"/>
            <w:tcBorders>
              <w:top w:val="single" w:sz="4" w:space="0" w:color="auto"/>
              <w:left w:val="nil"/>
              <w:bottom w:val="single" w:sz="4" w:space="0" w:color="auto"/>
              <w:right w:val="nil"/>
            </w:tcBorders>
          </w:tcPr>
          <w:p w14:paraId="30EEFF91" w14:textId="77777777" w:rsidR="005360D2" w:rsidRPr="00AE77D4" w:rsidRDefault="00661A05" w:rsidP="00AE77D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AE77D4">
              <w:rPr>
                <w:rFonts w:cs="Times New Roman"/>
                <w:bCs/>
                <w:sz w:val="20"/>
                <w:szCs w:val="20"/>
              </w:rPr>
              <w:t xml:space="preserve">          Coefficient</w:t>
            </w:r>
          </w:p>
        </w:tc>
        <w:tc>
          <w:tcPr>
            <w:tcW w:w="2248" w:type="dxa"/>
            <w:tcBorders>
              <w:top w:val="single" w:sz="4" w:space="0" w:color="auto"/>
              <w:left w:val="nil"/>
              <w:bottom w:val="single" w:sz="4" w:space="0" w:color="auto"/>
              <w:right w:val="nil"/>
            </w:tcBorders>
          </w:tcPr>
          <w:p w14:paraId="5BCF1BF1"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77D4">
              <w:rPr>
                <w:rFonts w:cs="Times New Roman"/>
                <w:bCs/>
                <w:sz w:val="20"/>
                <w:szCs w:val="20"/>
              </w:rPr>
              <w:t>Coefficient</w:t>
            </w:r>
          </w:p>
        </w:tc>
      </w:tr>
      <w:tr w:rsidR="00AE77D4" w:rsidRPr="00AE77D4" w14:paraId="19EA7B4C" w14:textId="77777777" w:rsidTr="00AB7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nil"/>
              <w:bottom w:val="single" w:sz="4" w:space="0" w:color="auto"/>
              <w:right w:val="nil"/>
            </w:tcBorders>
          </w:tcPr>
          <w:p w14:paraId="61C75FC0" w14:textId="77777777" w:rsidR="005360D2" w:rsidRPr="00AE77D4" w:rsidRDefault="00661A05" w:rsidP="00AE77D4">
            <w:pPr>
              <w:spacing w:line="276" w:lineRule="auto"/>
              <w:jc w:val="left"/>
              <w:rPr>
                <w:rFonts w:cs="Times New Roman"/>
                <w:sz w:val="20"/>
                <w:szCs w:val="20"/>
              </w:rPr>
            </w:pPr>
            <w:r w:rsidRPr="00AE77D4">
              <w:rPr>
                <w:rFonts w:cs="Times New Roman"/>
                <w:sz w:val="20"/>
                <w:szCs w:val="20"/>
                <w:lang w:val="en-GB"/>
              </w:rPr>
              <w:t>Models</w:t>
            </w:r>
          </w:p>
        </w:tc>
        <w:tc>
          <w:tcPr>
            <w:tcW w:w="1934" w:type="dxa"/>
            <w:tcBorders>
              <w:top w:val="single" w:sz="4" w:space="0" w:color="auto"/>
              <w:left w:val="nil"/>
              <w:bottom w:val="single" w:sz="4" w:space="0" w:color="auto"/>
              <w:right w:val="nil"/>
            </w:tcBorders>
          </w:tcPr>
          <w:p w14:paraId="38B12690"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sz w:val="20"/>
                <w:szCs w:val="20"/>
                <w:lang w:val="en-GB"/>
              </w:rPr>
              <w:t>(1)</w:t>
            </w:r>
          </w:p>
        </w:tc>
        <w:tc>
          <w:tcPr>
            <w:tcW w:w="2248" w:type="dxa"/>
            <w:tcBorders>
              <w:top w:val="single" w:sz="4" w:space="0" w:color="auto"/>
              <w:left w:val="nil"/>
              <w:bottom w:val="single" w:sz="4" w:space="0" w:color="auto"/>
              <w:right w:val="nil"/>
            </w:tcBorders>
          </w:tcPr>
          <w:p w14:paraId="7F2125AB"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sz w:val="20"/>
                <w:szCs w:val="20"/>
                <w:lang w:val="en-GB"/>
              </w:rPr>
              <w:t>(2)</w:t>
            </w:r>
          </w:p>
        </w:tc>
        <w:tc>
          <w:tcPr>
            <w:tcW w:w="2248" w:type="dxa"/>
            <w:tcBorders>
              <w:top w:val="single" w:sz="4" w:space="0" w:color="auto"/>
              <w:left w:val="nil"/>
              <w:bottom w:val="single" w:sz="4" w:space="0" w:color="auto"/>
              <w:right w:val="nil"/>
            </w:tcBorders>
          </w:tcPr>
          <w:p w14:paraId="35AF1CA3"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AE77D4">
              <w:rPr>
                <w:rFonts w:cs="Times New Roman"/>
                <w:sz w:val="20"/>
                <w:szCs w:val="20"/>
                <w:lang w:val="en-GB"/>
              </w:rPr>
              <w:t>(3)</w:t>
            </w:r>
          </w:p>
        </w:tc>
      </w:tr>
      <w:tr w:rsidR="00AE77D4" w:rsidRPr="00AE77D4" w14:paraId="655B80AC"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nil"/>
              <w:bottom w:val="nil"/>
              <w:right w:val="nil"/>
            </w:tcBorders>
            <w:hideMark/>
          </w:tcPr>
          <w:p w14:paraId="5388E388"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BSIZE</w:t>
            </w:r>
          </w:p>
        </w:tc>
        <w:tc>
          <w:tcPr>
            <w:tcW w:w="1934" w:type="dxa"/>
            <w:tcBorders>
              <w:top w:val="single" w:sz="4" w:space="0" w:color="auto"/>
              <w:left w:val="nil"/>
              <w:bottom w:val="nil"/>
              <w:right w:val="nil"/>
            </w:tcBorders>
          </w:tcPr>
          <w:p w14:paraId="458DB8D7"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-0.758</w:t>
            </w:r>
          </w:p>
        </w:tc>
        <w:tc>
          <w:tcPr>
            <w:tcW w:w="2248" w:type="dxa"/>
            <w:tcBorders>
              <w:top w:val="single" w:sz="4" w:space="0" w:color="auto"/>
              <w:left w:val="nil"/>
              <w:bottom w:val="nil"/>
              <w:right w:val="nil"/>
            </w:tcBorders>
          </w:tcPr>
          <w:p w14:paraId="68F8E12D"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0.035</w:t>
            </w:r>
          </w:p>
        </w:tc>
        <w:tc>
          <w:tcPr>
            <w:tcW w:w="2248" w:type="dxa"/>
            <w:tcBorders>
              <w:top w:val="single" w:sz="4" w:space="0" w:color="auto"/>
              <w:left w:val="nil"/>
              <w:bottom w:val="nil"/>
              <w:right w:val="nil"/>
            </w:tcBorders>
          </w:tcPr>
          <w:p w14:paraId="2EE369B8"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-0.768</w:t>
            </w:r>
          </w:p>
        </w:tc>
      </w:tr>
      <w:tr w:rsidR="00AE77D4" w:rsidRPr="00AE77D4" w14:paraId="36D57C8D"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tcPr>
          <w:p w14:paraId="0264359B" w14:textId="77777777" w:rsidR="005360D2" w:rsidRPr="00AE77D4" w:rsidRDefault="00661A05" w:rsidP="00AE77D4">
            <w:pPr>
              <w:spacing w:line="276" w:lineRule="auto"/>
              <w:rPr>
                <w:rFonts w:cs="Times New Roman"/>
                <w:sz w:val="20"/>
                <w:szCs w:val="20"/>
              </w:rPr>
            </w:pPr>
            <w:r w:rsidRPr="00AE77D4">
              <w:rPr>
                <w:rFonts w:cs="Times New Roman"/>
                <w:b w:val="0"/>
                <w:sz w:val="20"/>
                <w:szCs w:val="20"/>
                <w:lang w:val="en-GB"/>
              </w:rPr>
              <w:t>FORDIR</w:t>
            </w:r>
          </w:p>
        </w:tc>
        <w:tc>
          <w:tcPr>
            <w:tcW w:w="1934" w:type="dxa"/>
            <w:tcBorders>
              <w:top w:val="nil"/>
              <w:left w:val="nil"/>
              <w:bottom w:val="nil"/>
              <w:right w:val="nil"/>
            </w:tcBorders>
          </w:tcPr>
          <w:p w14:paraId="59693D18"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0.369***</w:t>
            </w:r>
          </w:p>
        </w:tc>
        <w:tc>
          <w:tcPr>
            <w:tcW w:w="2248" w:type="dxa"/>
            <w:tcBorders>
              <w:top w:val="nil"/>
              <w:left w:val="nil"/>
              <w:bottom w:val="nil"/>
              <w:right w:val="nil"/>
            </w:tcBorders>
          </w:tcPr>
          <w:p w14:paraId="3559ADFE"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0.337***</w:t>
            </w:r>
          </w:p>
        </w:tc>
        <w:tc>
          <w:tcPr>
            <w:tcW w:w="2248" w:type="dxa"/>
            <w:tcBorders>
              <w:top w:val="nil"/>
              <w:left w:val="nil"/>
              <w:bottom w:val="nil"/>
              <w:right w:val="nil"/>
            </w:tcBorders>
          </w:tcPr>
          <w:p w14:paraId="4C74C5CF"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0.384***</w:t>
            </w:r>
          </w:p>
        </w:tc>
      </w:tr>
      <w:tr w:rsidR="00AE77D4" w:rsidRPr="00AE77D4" w14:paraId="4ABDABA3"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hideMark/>
          </w:tcPr>
          <w:p w14:paraId="37180BB5"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GENDER</w:t>
            </w:r>
          </w:p>
        </w:tc>
        <w:tc>
          <w:tcPr>
            <w:tcW w:w="1934" w:type="dxa"/>
            <w:tcBorders>
              <w:top w:val="nil"/>
              <w:left w:val="nil"/>
              <w:bottom w:val="nil"/>
              <w:right w:val="nil"/>
            </w:tcBorders>
          </w:tcPr>
          <w:p w14:paraId="3085FA78"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-0.004</w:t>
            </w:r>
          </w:p>
        </w:tc>
        <w:tc>
          <w:tcPr>
            <w:tcW w:w="2248" w:type="dxa"/>
            <w:tcBorders>
              <w:top w:val="nil"/>
              <w:left w:val="nil"/>
              <w:bottom w:val="nil"/>
              <w:right w:val="nil"/>
            </w:tcBorders>
          </w:tcPr>
          <w:p w14:paraId="1EE68DA9"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0.042</w:t>
            </w:r>
          </w:p>
        </w:tc>
        <w:tc>
          <w:tcPr>
            <w:tcW w:w="2248" w:type="dxa"/>
            <w:tcBorders>
              <w:top w:val="nil"/>
              <w:left w:val="nil"/>
              <w:bottom w:val="nil"/>
              <w:right w:val="nil"/>
            </w:tcBorders>
          </w:tcPr>
          <w:p w14:paraId="0DD54B7D"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-0.027</w:t>
            </w:r>
          </w:p>
        </w:tc>
      </w:tr>
      <w:tr w:rsidR="00AE77D4" w:rsidRPr="00AE77D4" w14:paraId="31F6CCF7"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hideMark/>
          </w:tcPr>
          <w:p w14:paraId="696E7304"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BOMEET</w:t>
            </w:r>
          </w:p>
        </w:tc>
        <w:tc>
          <w:tcPr>
            <w:tcW w:w="1934" w:type="dxa"/>
            <w:tcBorders>
              <w:top w:val="nil"/>
              <w:left w:val="nil"/>
              <w:bottom w:val="nil"/>
              <w:right w:val="nil"/>
            </w:tcBorders>
          </w:tcPr>
          <w:p w14:paraId="4D3F4262"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-0.177</w:t>
            </w:r>
          </w:p>
        </w:tc>
        <w:tc>
          <w:tcPr>
            <w:tcW w:w="2248" w:type="dxa"/>
            <w:tcBorders>
              <w:top w:val="nil"/>
              <w:left w:val="nil"/>
              <w:bottom w:val="nil"/>
              <w:right w:val="nil"/>
            </w:tcBorders>
          </w:tcPr>
          <w:p w14:paraId="0EE292F4"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-0.054</w:t>
            </w:r>
          </w:p>
        </w:tc>
        <w:tc>
          <w:tcPr>
            <w:tcW w:w="2248" w:type="dxa"/>
            <w:tcBorders>
              <w:top w:val="nil"/>
              <w:left w:val="nil"/>
              <w:bottom w:val="nil"/>
              <w:right w:val="nil"/>
            </w:tcBorders>
          </w:tcPr>
          <w:p w14:paraId="252C5CF4"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-0.290</w:t>
            </w:r>
          </w:p>
        </w:tc>
      </w:tr>
      <w:tr w:rsidR="00AE77D4" w:rsidRPr="00AE77D4" w14:paraId="7C41A7C1"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tcPr>
          <w:p w14:paraId="6421EEC7" w14:textId="77777777" w:rsidR="005360D2" w:rsidRPr="00AE77D4" w:rsidRDefault="00661A05" w:rsidP="00AE77D4">
            <w:pPr>
              <w:spacing w:line="276" w:lineRule="auto"/>
              <w:rPr>
                <w:rFonts w:cs="Times New Roman"/>
                <w:sz w:val="20"/>
                <w:szCs w:val="20"/>
              </w:rPr>
            </w:pPr>
            <w:r w:rsidRPr="00AE77D4">
              <w:rPr>
                <w:rFonts w:cs="Times New Roman"/>
                <w:b w:val="0"/>
                <w:sz w:val="20"/>
                <w:szCs w:val="20"/>
                <w:lang w:val="en-GB"/>
              </w:rPr>
              <w:t>DUALITY</w:t>
            </w:r>
          </w:p>
        </w:tc>
        <w:tc>
          <w:tcPr>
            <w:tcW w:w="1934" w:type="dxa"/>
            <w:tcBorders>
              <w:top w:val="nil"/>
              <w:left w:val="nil"/>
              <w:bottom w:val="nil"/>
              <w:right w:val="nil"/>
            </w:tcBorders>
          </w:tcPr>
          <w:p w14:paraId="04D23A56"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-26.812**</w:t>
            </w:r>
          </w:p>
        </w:tc>
        <w:tc>
          <w:tcPr>
            <w:tcW w:w="2248" w:type="dxa"/>
            <w:tcBorders>
              <w:top w:val="nil"/>
              <w:left w:val="nil"/>
              <w:bottom w:val="nil"/>
              <w:right w:val="nil"/>
            </w:tcBorders>
          </w:tcPr>
          <w:p w14:paraId="1014BA41"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-26.462**</w:t>
            </w:r>
          </w:p>
        </w:tc>
        <w:tc>
          <w:tcPr>
            <w:tcW w:w="2248" w:type="dxa"/>
            <w:tcBorders>
              <w:top w:val="nil"/>
              <w:left w:val="nil"/>
              <w:bottom w:val="nil"/>
              <w:right w:val="nil"/>
            </w:tcBorders>
          </w:tcPr>
          <w:p w14:paraId="063A0E42"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-26.143**</w:t>
            </w:r>
          </w:p>
        </w:tc>
      </w:tr>
      <w:tr w:rsidR="00AE77D4" w:rsidRPr="00AE77D4" w14:paraId="6A4D4665"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hideMark/>
          </w:tcPr>
          <w:p w14:paraId="7DCD96A3"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ADCOM</w:t>
            </w:r>
          </w:p>
        </w:tc>
        <w:tc>
          <w:tcPr>
            <w:tcW w:w="1934" w:type="dxa"/>
            <w:tcBorders>
              <w:top w:val="nil"/>
              <w:left w:val="nil"/>
              <w:bottom w:val="nil"/>
              <w:right w:val="nil"/>
            </w:tcBorders>
          </w:tcPr>
          <w:p w14:paraId="5318F143"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4.60***</w:t>
            </w:r>
          </w:p>
        </w:tc>
        <w:tc>
          <w:tcPr>
            <w:tcW w:w="2248" w:type="dxa"/>
            <w:tcBorders>
              <w:top w:val="nil"/>
              <w:left w:val="nil"/>
              <w:bottom w:val="nil"/>
              <w:right w:val="nil"/>
            </w:tcBorders>
          </w:tcPr>
          <w:p w14:paraId="7EEC6F87"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5.249***</w:t>
            </w:r>
          </w:p>
        </w:tc>
        <w:tc>
          <w:tcPr>
            <w:tcW w:w="2248" w:type="dxa"/>
            <w:tcBorders>
              <w:top w:val="nil"/>
              <w:left w:val="nil"/>
              <w:bottom w:val="nil"/>
              <w:right w:val="nil"/>
            </w:tcBorders>
          </w:tcPr>
          <w:p w14:paraId="4F7F863A"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3.623**</w:t>
            </w:r>
          </w:p>
        </w:tc>
      </w:tr>
      <w:tr w:rsidR="00AE77D4" w:rsidRPr="00AE77D4" w14:paraId="3BE9CBDF"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hideMark/>
          </w:tcPr>
          <w:p w14:paraId="31927D0A"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SIZE</w:t>
            </w:r>
          </w:p>
        </w:tc>
        <w:tc>
          <w:tcPr>
            <w:tcW w:w="1934" w:type="dxa"/>
            <w:tcBorders>
              <w:top w:val="nil"/>
              <w:left w:val="nil"/>
              <w:bottom w:val="nil"/>
              <w:right w:val="nil"/>
            </w:tcBorders>
          </w:tcPr>
          <w:p w14:paraId="5BD3B522"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0.035**</w:t>
            </w:r>
          </w:p>
        </w:tc>
        <w:tc>
          <w:tcPr>
            <w:tcW w:w="2248" w:type="dxa"/>
            <w:tcBorders>
              <w:top w:val="nil"/>
              <w:left w:val="nil"/>
              <w:bottom w:val="nil"/>
              <w:right w:val="nil"/>
            </w:tcBorders>
          </w:tcPr>
          <w:p w14:paraId="63D8C4A6"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0.040**</w:t>
            </w:r>
          </w:p>
        </w:tc>
        <w:tc>
          <w:tcPr>
            <w:tcW w:w="2248" w:type="dxa"/>
            <w:tcBorders>
              <w:top w:val="nil"/>
              <w:left w:val="nil"/>
              <w:bottom w:val="nil"/>
              <w:right w:val="nil"/>
            </w:tcBorders>
          </w:tcPr>
          <w:p w14:paraId="0DFCF258"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0.027</w:t>
            </w:r>
          </w:p>
        </w:tc>
      </w:tr>
      <w:tr w:rsidR="00AE77D4" w:rsidRPr="00AE77D4" w14:paraId="2CCA4261"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hideMark/>
          </w:tcPr>
          <w:p w14:paraId="133F02CE"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ROA</w:t>
            </w:r>
          </w:p>
        </w:tc>
        <w:tc>
          <w:tcPr>
            <w:tcW w:w="1934" w:type="dxa"/>
            <w:tcBorders>
              <w:top w:val="nil"/>
              <w:left w:val="nil"/>
              <w:bottom w:val="nil"/>
              <w:right w:val="nil"/>
            </w:tcBorders>
          </w:tcPr>
          <w:p w14:paraId="735B55AD"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3.848**</w:t>
            </w:r>
          </w:p>
        </w:tc>
        <w:tc>
          <w:tcPr>
            <w:tcW w:w="2248" w:type="dxa"/>
            <w:tcBorders>
              <w:top w:val="nil"/>
              <w:left w:val="nil"/>
              <w:bottom w:val="nil"/>
              <w:right w:val="nil"/>
            </w:tcBorders>
          </w:tcPr>
          <w:p w14:paraId="11F2BA92"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2.325</w:t>
            </w:r>
          </w:p>
        </w:tc>
        <w:tc>
          <w:tcPr>
            <w:tcW w:w="2248" w:type="dxa"/>
            <w:tcBorders>
              <w:top w:val="nil"/>
              <w:left w:val="nil"/>
              <w:bottom w:val="nil"/>
              <w:right w:val="nil"/>
            </w:tcBorders>
          </w:tcPr>
          <w:p w14:paraId="27EC3C19"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19.049**</w:t>
            </w:r>
          </w:p>
        </w:tc>
      </w:tr>
      <w:tr w:rsidR="00AE77D4" w:rsidRPr="00AE77D4" w14:paraId="1B1A379F" w14:textId="77777777" w:rsidTr="00AB775B">
        <w:trPr>
          <w:trHeight w:val="233"/>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hideMark/>
          </w:tcPr>
          <w:p w14:paraId="66615F06"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LEV</w:t>
            </w:r>
          </w:p>
        </w:tc>
        <w:tc>
          <w:tcPr>
            <w:tcW w:w="1934" w:type="dxa"/>
            <w:tcBorders>
              <w:top w:val="nil"/>
              <w:left w:val="nil"/>
              <w:bottom w:val="nil"/>
              <w:right w:val="nil"/>
            </w:tcBorders>
          </w:tcPr>
          <w:p w14:paraId="40875693"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-2.273*</w:t>
            </w:r>
          </w:p>
        </w:tc>
        <w:tc>
          <w:tcPr>
            <w:tcW w:w="2248" w:type="dxa"/>
            <w:tcBorders>
              <w:top w:val="nil"/>
              <w:left w:val="nil"/>
              <w:bottom w:val="nil"/>
              <w:right w:val="nil"/>
            </w:tcBorders>
          </w:tcPr>
          <w:p w14:paraId="231126BC"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-2.162*</w:t>
            </w:r>
          </w:p>
        </w:tc>
        <w:tc>
          <w:tcPr>
            <w:tcW w:w="2248" w:type="dxa"/>
            <w:tcBorders>
              <w:top w:val="nil"/>
              <w:left w:val="nil"/>
              <w:bottom w:val="nil"/>
              <w:right w:val="nil"/>
            </w:tcBorders>
          </w:tcPr>
          <w:p w14:paraId="6407D243"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-4.316</w:t>
            </w:r>
          </w:p>
        </w:tc>
      </w:tr>
      <w:tr w:rsidR="00AE77D4" w:rsidRPr="00AE77D4" w14:paraId="621B6BCD" w14:textId="77777777" w:rsidTr="00AB775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hideMark/>
          </w:tcPr>
          <w:p w14:paraId="57D49C16"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YEAR</w:t>
            </w:r>
          </w:p>
        </w:tc>
        <w:tc>
          <w:tcPr>
            <w:tcW w:w="1934" w:type="dxa"/>
            <w:tcBorders>
              <w:top w:val="nil"/>
              <w:left w:val="nil"/>
              <w:bottom w:val="nil"/>
              <w:right w:val="nil"/>
            </w:tcBorders>
          </w:tcPr>
          <w:p w14:paraId="1274E338"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0.327</w:t>
            </w:r>
          </w:p>
        </w:tc>
        <w:tc>
          <w:tcPr>
            <w:tcW w:w="2248" w:type="dxa"/>
            <w:tcBorders>
              <w:top w:val="nil"/>
              <w:left w:val="nil"/>
              <w:bottom w:val="nil"/>
              <w:right w:val="nil"/>
            </w:tcBorders>
          </w:tcPr>
          <w:p w14:paraId="293D8C0D"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0.496</w:t>
            </w:r>
          </w:p>
        </w:tc>
        <w:tc>
          <w:tcPr>
            <w:tcW w:w="2248" w:type="dxa"/>
            <w:tcBorders>
              <w:top w:val="nil"/>
              <w:left w:val="nil"/>
              <w:bottom w:val="nil"/>
              <w:right w:val="nil"/>
            </w:tcBorders>
          </w:tcPr>
          <w:p w14:paraId="393284BF"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-0.266</w:t>
            </w:r>
          </w:p>
        </w:tc>
      </w:tr>
      <w:tr w:rsidR="00AE77D4" w:rsidRPr="00AE77D4" w14:paraId="6CCBB47A" w14:textId="77777777" w:rsidTr="00AB775B">
        <w:trPr>
          <w:trHeight w:val="288"/>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hideMark/>
          </w:tcPr>
          <w:p w14:paraId="51037E33"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INDUSTRY</w:t>
            </w:r>
          </w:p>
        </w:tc>
        <w:tc>
          <w:tcPr>
            <w:tcW w:w="1934" w:type="dxa"/>
            <w:tcBorders>
              <w:top w:val="nil"/>
              <w:left w:val="nil"/>
              <w:bottom w:val="nil"/>
              <w:right w:val="nil"/>
            </w:tcBorders>
          </w:tcPr>
          <w:p w14:paraId="0E0D457E"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-2.134</w:t>
            </w:r>
          </w:p>
        </w:tc>
        <w:tc>
          <w:tcPr>
            <w:tcW w:w="2248" w:type="dxa"/>
            <w:tcBorders>
              <w:top w:val="nil"/>
              <w:left w:val="nil"/>
              <w:bottom w:val="nil"/>
              <w:right w:val="nil"/>
            </w:tcBorders>
          </w:tcPr>
          <w:p w14:paraId="2E2FB9E2"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-2.502</w:t>
            </w:r>
          </w:p>
        </w:tc>
        <w:tc>
          <w:tcPr>
            <w:tcW w:w="2248" w:type="dxa"/>
            <w:tcBorders>
              <w:top w:val="nil"/>
              <w:left w:val="nil"/>
              <w:bottom w:val="nil"/>
              <w:right w:val="nil"/>
            </w:tcBorders>
          </w:tcPr>
          <w:p w14:paraId="77FAD509"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-1.539**</w:t>
            </w:r>
          </w:p>
        </w:tc>
      </w:tr>
      <w:tr w:rsidR="00AE77D4" w:rsidRPr="00AE77D4" w14:paraId="141EB215" w14:textId="77777777" w:rsidTr="00AB775B">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tcPr>
          <w:p w14:paraId="5DD7900C"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R Squared</w:t>
            </w:r>
          </w:p>
        </w:tc>
        <w:tc>
          <w:tcPr>
            <w:tcW w:w="1934" w:type="dxa"/>
            <w:tcBorders>
              <w:top w:val="nil"/>
              <w:left w:val="nil"/>
              <w:bottom w:val="nil"/>
              <w:right w:val="nil"/>
            </w:tcBorders>
          </w:tcPr>
          <w:p w14:paraId="31BE1392"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11.98</w:t>
            </w:r>
          </w:p>
        </w:tc>
        <w:tc>
          <w:tcPr>
            <w:tcW w:w="2248" w:type="dxa"/>
            <w:tcBorders>
              <w:top w:val="nil"/>
              <w:left w:val="nil"/>
              <w:bottom w:val="nil"/>
              <w:right w:val="nil"/>
            </w:tcBorders>
          </w:tcPr>
          <w:p w14:paraId="6401A180"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15.98</w:t>
            </w:r>
          </w:p>
        </w:tc>
        <w:tc>
          <w:tcPr>
            <w:tcW w:w="2248" w:type="dxa"/>
            <w:tcBorders>
              <w:top w:val="nil"/>
              <w:left w:val="nil"/>
              <w:bottom w:val="nil"/>
              <w:right w:val="nil"/>
            </w:tcBorders>
          </w:tcPr>
          <w:p w14:paraId="2D9DA70F" w14:textId="77777777" w:rsidR="005360D2" w:rsidRPr="00AE77D4" w:rsidRDefault="00661A05" w:rsidP="00AE77D4">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E77D4">
              <w:rPr>
                <w:rFonts w:cs="Times New Roman"/>
                <w:sz w:val="20"/>
                <w:szCs w:val="20"/>
              </w:rPr>
              <w:t>12.72</w:t>
            </w:r>
          </w:p>
        </w:tc>
      </w:tr>
      <w:tr w:rsidR="00AE77D4" w:rsidRPr="00AE77D4" w14:paraId="11388340" w14:textId="77777777" w:rsidTr="00AB775B">
        <w:trPr>
          <w:trHeight w:val="165"/>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hideMark/>
          </w:tcPr>
          <w:p w14:paraId="78A29BFA" w14:textId="77777777" w:rsidR="005360D2" w:rsidRPr="00AE77D4" w:rsidRDefault="00661A05" w:rsidP="00AE77D4">
            <w:pPr>
              <w:spacing w:line="276" w:lineRule="auto"/>
              <w:rPr>
                <w:rFonts w:cs="Times New Roman"/>
                <w:sz w:val="20"/>
                <w:szCs w:val="20"/>
              </w:rPr>
            </w:pPr>
            <w:r w:rsidRPr="00AE77D4">
              <w:rPr>
                <w:rFonts w:cs="Times New Roman"/>
                <w:b w:val="0"/>
                <w:sz w:val="20"/>
                <w:szCs w:val="20"/>
              </w:rPr>
              <w:t>Durbin–Wu– Hausman</w:t>
            </w:r>
          </w:p>
        </w:tc>
        <w:tc>
          <w:tcPr>
            <w:tcW w:w="1934" w:type="dxa"/>
            <w:tcBorders>
              <w:top w:val="nil"/>
              <w:left w:val="nil"/>
              <w:bottom w:val="nil"/>
              <w:right w:val="nil"/>
            </w:tcBorders>
          </w:tcPr>
          <w:p w14:paraId="1146C98C"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2.498</w:t>
            </w:r>
          </w:p>
        </w:tc>
        <w:tc>
          <w:tcPr>
            <w:tcW w:w="2248" w:type="dxa"/>
            <w:tcBorders>
              <w:top w:val="nil"/>
              <w:left w:val="nil"/>
              <w:bottom w:val="nil"/>
              <w:right w:val="nil"/>
            </w:tcBorders>
          </w:tcPr>
          <w:p w14:paraId="63AEBFC5" w14:textId="48B2D474"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0.</w:t>
            </w:r>
            <w:r w:rsidR="00E343A9" w:rsidRPr="00AE77D4">
              <w:rPr>
                <w:rFonts w:cs="Times New Roman"/>
                <w:sz w:val="20"/>
                <w:szCs w:val="20"/>
              </w:rPr>
              <w:t>18</w:t>
            </w:r>
            <w:r w:rsidRPr="00AE77D4">
              <w:rPr>
                <w:rFonts w:cs="Times New Roman"/>
                <w:sz w:val="20"/>
                <w:szCs w:val="20"/>
              </w:rPr>
              <w:t>0</w:t>
            </w:r>
          </w:p>
        </w:tc>
        <w:tc>
          <w:tcPr>
            <w:tcW w:w="2248" w:type="dxa"/>
            <w:tcBorders>
              <w:top w:val="nil"/>
              <w:left w:val="nil"/>
              <w:bottom w:val="nil"/>
              <w:right w:val="nil"/>
            </w:tcBorders>
          </w:tcPr>
          <w:p w14:paraId="41FFE672" w14:textId="77777777" w:rsidR="005360D2" w:rsidRPr="00AE77D4" w:rsidRDefault="00661A05" w:rsidP="00AE77D4">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E77D4">
              <w:rPr>
                <w:rFonts w:cs="Times New Roman"/>
                <w:sz w:val="20"/>
                <w:szCs w:val="20"/>
              </w:rPr>
              <w:t>1.574</w:t>
            </w:r>
          </w:p>
        </w:tc>
      </w:tr>
      <w:tr w:rsidR="00AE77D4" w:rsidRPr="00AE77D4" w14:paraId="3E27F92A" w14:textId="77777777" w:rsidTr="00AB775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8806" w:type="dxa"/>
            <w:gridSpan w:val="4"/>
            <w:tcBorders>
              <w:top w:val="nil"/>
              <w:left w:val="nil"/>
              <w:bottom w:val="nil"/>
              <w:right w:val="nil"/>
            </w:tcBorders>
            <w:shd w:val="clear" w:color="auto" w:fill="auto"/>
          </w:tcPr>
          <w:p w14:paraId="400FEDF0" w14:textId="77777777" w:rsidR="005360D2" w:rsidRPr="00AE77D4" w:rsidRDefault="00661A05" w:rsidP="00AE77D4">
            <w:pPr>
              <w:spacing w:line="276" w:lineRule="auto"/>
              <w:rPr>
                <w:rFonts w:cs="Times New Roman"/>
                <w:sz w:val="20"/>
                <w:szCs w:val="20"/>
                <w:lang w:val="en-GB"/>
              </w:rPr>
            </w:pPr>
            <w:r w:rsidRPr="00AE77D4">
              <w:rPr>
                <w:rFonts w:cs="Times New Roman"/>
                <w:b w:val="0"/>
                <w:sz w:val="16"/>
                <w:szCs w:val="16"/>
                <w:lang w:val="en-GB"/>
              </w:rPr>
              <w:t>Notes: (1) *, **, *** significance at 10%, 5%, and 1% levels of confidence, respectively. (2) See Table 2 for variable definitions.</w:t>
            </w:r>
          </w:p>
        </w:tc>
      </w:tr>
    </w:tbl>
    <w:p w14:paraId="1E8E8618" w14:textId="77777777" w:rsidR="005360D2" w:rsidRPr="00AE77D4" w:rsidRDefault="005360D2" w:rsidP="00AE77D4">
      <w:pPr>
        <w:spacing w:after="0" w:line="276" w:lineRule="auto"/>
        <w:jc w:val="both"/>
        <w:rPr>
          <w:rFonts w:ascii="Times New Roman" w:hAnsi="Times New Roman" w:cs="Times New Roman"/>
          <w:sz w:val="24"/>
          <w:szCs w:val="24"/>
          <w:lang w:val="en-GB"/>
        </w:rPr>
      </w:pPr>
    </w:p>
    <w:p w14:paraId="093621AB" w14:textId="77777777" w:rsidR="00E134CB" w:rsidRPr="00AE77D4" w:rsidRDefault="00E134CB" w:rsidP="00AE77D4">
      <w:pPr>
        <w:spacing w:after="0" w:line="276" w:lineRule="auto"/>
        <w:jc w:val="both"/>
        <w:rPr>
          <w:rFonts w:ascii="Times New Roman" w:hAnsi="Times New Roman" w:cs="Times New Roman"/>
          <w:sz w:val="24"/>
          <w:szCs w:val="24"/>
          <w:lang w:val="en-GB"/>
        </w:rPr>
      </w:pPr>
    </w:p>
    <w:p w14:paraId="7F249B6B" w14:textId="4DD5157A" w:rsidR="00F036A4"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6</w:t>
      </w:r>
      <w:r w:rsidR="00645594" w:rsidRPr="00AE77D4">
        <w:rPr>
          <w:rFonts w:ascii="Times New Roman" w:hAnsi="Times New Roman" w:cs="Times New Roman"/>
          <w:b/>
          <w:sz w:val="24"/>
          <w:szCs w:val="24"/>
          <w:lang w:val="en-GB"/>
        </w:rPr>
        <w:t>.4</w:t>
      </w:r>
      <w:r w:rsidRPr="00AE77D4">
        <w:rPr>
          <w:rFonts w:ascii="Times New Roman" w:hAnsi="Times New Roman" w:cs="Times New Roman"/>
          <w:b/>
          <w:sz w:val="24"/>
          <w:szCs w:val="24"/>
          <w:lang w:val="en-GB"/>
        </w:rPr>
        <w:t xml:space="preserve"> | </w:t>
      </w:r>
      <w:r w:rsidR="00F12ECC" w:rsidRPr="00AE77D4">
        <w:rPr>
          <w:rFonts w:ascii="Times New Roman" w:hAnsi="Times New Roman" w:cs="Times New Roman"/>
          <w:b/>
          <w:sz w:val="24"/>
          <w:szCs w:val="24"/>
          <w:lang w:val="en-GB"/>
        </w:rPr>
        <w:t>Additional Test to see the Impact of CG Code Amendment:</w:t>
      </w:r>
    </w:p>
    <w:p w14:paraId="53F7A0D7" w14:textId="4933A70A" w:rsidR="001F1F04" w:rsidRPr="00AE77D4" w:rsidRDefault="00663459" w:rsidP="00AE77D4">
      <w:pPr>
        <w:spacing w:after="0"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We conducted additional tests to assess statistical differences using both the parametric t-test and nonparametric Wilcoxon Ran</w:t>
      </w:r>
      <w:r w:rsidR="00483D10" w:rsidRPr="00AE77D4">
        <w:rPr>
          <w:rFonts w:ascii="Times New Roman" w:hAnsi="Times New Roman" w:cs="Times New Roman"/>
          <w:sz w:val="24"/>
          <w:szCs w:val="24"/>
          <w:lang w:val="en-GB"/>
        </w:rPr>
        <w:t>k-test, a</w:t>
      </w:r>
      <w:r w:rsidR="00571B83" w:rsidRPr="00AE77D4">
        <w:rPr>
          <w:rFonts w:ascii="Times New Roman" w:hAnsi="Times New Roman" w:cs="Times New Roman"/>
          <w:sz w:val="24"/>
          <w:szCs w:val="24"/>
          <w:lang w:val="en-GB"/>
        </w:rPr>
        <w:t>s presented in Table 1</w:t>
      </w:r>
      <w:r w:rsidR="00CE29E4" w:rsidRPr="00AE77D4">
        <w:rPr>
          <w:rFonts w:ascii="Times New Roman" w:hAnsi="Times New Roman" w:cs="Times New Roman"/>
          <w:sz w:val="24"/>
          <w:szCs w:val="24"/>
          <w:lang w:val="en-GB"/>
        </w:rPr>
        <w:t>2</w:t>
      </w:r>
      <w:r w:rsidRPr="00AE77D4">
        <w:rPr>
          <w:rFonts w:ascii="Times New Roman" w:hAnsi="Times New Roman" w:cs="Times New Roman"/>
          <w:sz w:val="24"/>
          <w:szCs w:val="24"/>
          <w:lang w:val="en-GB"/>
        </w:rPr>
        <w:t xml:space="preserve"> (Saha and Khan, 2024). In line with our research propositions and main findings, the parametric t-test revealed that board size and independent directors were statistically positively significant, whereas foreign directors and board meetings were negatively significant with respect to CCD. Similarly, the Wilcoxon Rank-test indicates that board size, independent directors, board meetings, and audit committee</w:t>
      </w:r>
      <w:r w:rsidRPr="00AE77D4">
        <w:rPr>
          <w:rFonts w:ascii="Times New Roman" w:eastAsia="Calibri" w:hAnsi="Times New Roman" w:cs="Times New Roman"/>
          <w:sz w:val="24"/>
          <w:szCs w:val="24"/>
          <w:lang w:val="en-GB"/>
        </w:rPr>
        <w:t xml:space="preserve">s are positively significant, while foreign directors and CEO duality are negatively significant concerning CCD. Interestingly, no significant relationship between female directors and CCD </w:t>
      </w:r>
      <w:r w:rsidRPr="00AE77D4">
        <w:rPr>
          <w:rFonts w:ascii="Times New Roman" w:hAnsi="Times New Roman" w:cs="Times New Roman"/>
          <w:sz w:val="24"/>
          <w:szCs w:val="24"/>
          <w:lang w:val="en-GB"/>
        </w:rPr>
        <w:t>was observed, which is consistent</w:t>
      </w:r>
      <w:r w:rsidR="009050FC" w:rsidRPr="00AE77D4">
        <w:rPr>
          <w:rFonts w:ascii="Times New Roman" w:hAnsi="Times New Roman" w:cs="Times New Roman"/>
          <w:sz w:val="24"/>
          <w:szCs w:val="24"/>
          <w:lang w:val="en-GB"/>
        </w:rPr>
        <w:t xml:space="preserve"> with our earlier findings.</w:t>
      </w:r>
    </w:p>
    <w:p w14:paraId="02CB7486" w14:textId="77777777" w:rsidR="00EF1069" w:rsidRPr="00AE77D4" w:rsidRDefault="00EF1069" w:rsidP="00AE77D4">
      <w:pPr>
        <w:spacing w:after="0" w:line="276" w:lineRule="auto"/>
        <w:jc w:val="both"/>
        <w:rPr>
          <w:rFonts w:ascii="Times New Roman" w:hAnsi="Times New Roman" w:cs="Times New Roman"/>
          <w:sz w:val="24"/>
          <w:szCs w:val="24"/>
          <w:lang w:val="en-GB"/>
        </w:rPr>
      </w:pPr>
    </w:p>
    <w:tbl>
      <w:tblPr>
        <w:tblStyle w:val="TableGrid"/>
        <w:tblW w:w="7998"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1932"/>
        <w:gridCol w:w="1130"/>
        <w:gridCol w:w="2525"/>
      </w:tblGrid>
      <w:tr w:rsidR="00AE77D4" w:rsidRPr="00AE77D4" w14:paraId="48557196" w14:textId="77777777" w:rsidTr="00D709B4">
        <w:trPr>
          <w:trHeight w:val="413"/>
        </w:trPr>
        <w:tc>
          <w:tcPr>
            <w:tcW w:w="7998" w:type="dxa"/>
            <w:gridSpan w:val="4"/>
            <w:tcBorders>
              <w:top w:val="single" w:sz="4" w:space="0" w:color="auto"/>
              <w:bottom w:val="single" w:sz="4" w:space="0" w:color="auto"/>
            </w:tcBorders>
            <w:shd w:val="clear" w:color="auto" w:fill="FFFFFF" w:themeFill="background1"/>
          </w:tcPr>
          <w:p w14:paraId="5DE22940" w14:textId="09937903" w:rsidR="001F1F04" w:rsidRPr="00AE77D4" w:rsidRDefault="00661A05" w:rsidP="00AE77D4">
            <w:pPr>
              <w:spacing w:line="276" w:lineRule="auto"/>
              <w:rPr>
                <w:rFonts w:ascii="Times New Roman" w:hAnsi="Times New Roman" w:cs="Times New Roman"/>
                <w:sz w:val="24"/>
                <w:szCs w:val="24"/>
                <w:lang w:val="en-GB"/>
              </w:rPr>
            </w:pPr>
            <w:r w:rsidRPr="00AE77D4">
              <w:rPr>
                <w:rFonts w:ascii="Times New Roman" w:hAnsi="Times New Roman" w:cs="Times New Roman"/>
                <w:b/>
                <w:bCs/>
                <w:sz w:val="24"/>
                <w:szCs w:val="24"/>
                <w:lang w:val="en-GB"/>
              </w:rPr>
              <w:t>Table 1</w:t>
            </w:r>
            <w:r w:rsidR="00CE29E4" w:rsidRPr="00AE77D4">
              <w:rPr>
                <w:rFonts w:ascii="Times New Roman" w:hAnsi="Times New Roman" w:cs="Times New Roman"/>
                <w:b/>
                <w:bCs/>
                <w:sz w:val="24"/>
                <w:szCs w:val="24"/>
                <w:lang w:val="en-GB"/>
              </w:rPr>
              <w:t>2</w:t>
            </w:r>
            <w:r w:rsidRPr="00AE77D4">
              <w:rPr>
                <w:rFonts w:ascii="Times New Roman" w:hAnsi="Times New Roman" w:cs="Times New Roman"/>
                <w:b/>
                <w:bCs/>
                <w:sz w:val="24"/>
                <w:szCs w:val="24"/>
                <w:lang w:val="en-GB"/>
              </w:rPr>
              <w:t>.</w:t>
            </w:r>
            <w:r w:rsidRPr="00AE77D4">
              <w:rPr>
                <w:rFonts w:ascii="Times New Roman" w:hAnsi="Times New Roman" w:cs="Times New Roman"/>
                <w:sz w:val="24"/>
                <w:szCs w:val="24"/>
                <w:lang w:val="en-GB"/>
              </w:rPr>
              <w:t xml:space="preserve"> Difference in pre and post amendment of CG guideline</w:t>
            </w:r>
          </w:p>
        </w:tc>
      </w:tr>
      <w:tr w:rsidR="00AE77D4" w:rsidRPr="00AE77D4" w14:paraId="24D176F7" w14:textId="77777777" w:rsidTr="00F22C10">
        <w:trPr>
          <w:trHeight w:val="336"/>
        </w:trPr>
        <w:tc>
          <w:tcPr>
            <w:tcW w:w="2411" w:type="dxa"/>
            <w:tcBorders>
              <w:top w:val="single" w:sz="4" w:space="0" w:color="auto"/>
              <w:bottom w:val="single" w:sz="4" w:space="0" w:color="auto"/>
            </w:tcBorders>
            <w:shd w:val="clear" w:color="auto" w:fill="F2F2F2" w:themeFill="background1" w:themeFillShade="F2"/>
          </w:tcPr>
          <w:p w14:paraId="10F37291"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Variables</w:t>
            </w:r>
          </w:p>
        </w:tc>
        <w:tc>
          <w:tcPr>
            <w:tcW w:w="1932" w:type="dxa"/>
            <w:tcBorders>
              <w:top w:val="single" w:sz="4" w:space="0" w:color="auto"/>
              <w:bottom w:val="single" w:sz="4" w:space="0" w:color="auto"/>
            </w:tcBorders>
            <w:shd w:val="clear" w:color="auto" w:fill="F2F2F2" w:themeFill="background1" w:themeFillShade="F2"/>
          </w:tcPr>
          <w:p w14:paraId="667EEDCE"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Mean difference</w:t>
            </w:r>
          </w:p>
        </w:tc>
        <w:tc>
          <w:tcPr>
            <w:tcW w:w="1130" w:type="dxa"/>
            <w:tcBorders>
              <w:top w:val="single" w:sz="4" w:space="0" w:color="auto"/>
              <w:bottom w:val="single" w:sz="4" w:space="0" w:color="auto"/>
            </w:tcBorders>
            <w:shd w:val="clear" w:color="auto" w:fill="F2F2F2" w:themeFill="background1" w:themeFillShade="F2"/>
          </w:tcPr>
          <w:p w14:paraId="2E75DC77" w14:textId="34CED7E3"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T-test</w:t>
            </w:r>
          </w:p>
        </w:tc>
        <w:tc>
          <w:tcPr>
            <w:tcW w:w="2525" w:type="dxa"/>
            <w:tcBorders>
              <w:top w:val="single" w:sz="4" w:space="0" w:color="auto"/>
              <w:bottom w:val="single" w:sz="4" w:space="0" w:color="auto"/>
            </w:tcBorders>
            <w:shd w:val="clear" w:color="auto" w:fill="F2F2F2" w:themeFill="background1" w:themeFillShade="F2"/>
          </w:tcPr>
          <w:p w14:paraId="7A9798E5"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Wilcoxson Rank Test</w:t>
            </w:r>
          </w:p>
        </w:tc>
      </w:tr>
      <w:tr w:rsidR="00AE77D4" w:rsidRPr="00AE77D4" w14:paraId="5043BFD7" w14:textId="77777777" w:rsidTr="00F22C10">
        <w:trPr>
          <w:trHeight w:val="199"/>
        </w:trPr>
        <w:tc>
          <w:tcPr>
            <w:tcW w:w="2411" w:type="dxa"/>
            <w:tcBorders>
              <w:top w:val="single" w:sz="4" w:space="0" w:color="auto"/>
            </w:tcBorders>
            <w:shd w:val="clear" w:color="auto" w:fill="auto"/>
          </w:tcPr>
          <w:p w14:paraId="12CD9941"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t>CCD</w:t>
            </w:r>
          </w:p>
        </w:tc>
        <w:tc>
          <w:tcPr>
            <w:tcW w:w="1932" w:type="dxa"/>
            <w:tcBorders>
              <w:top w:val="single" w:sz="4" w:space="0" w:color="auto"/>
            </w:tcBorders>
            <w:shd w:val="clear" w:color="auto" w:fill="auto"/>
          </w:tcPr>
          <w:p w14:paraId="747D1CF0" w14:textId="77777777" w:rsidR="001F1F04" w:rsidRPr="00AE77D4" w:rsidRDefault="00661A05" w:rsidP="00AE77D4">
            <w:pPr>
              <w:spacing w:line="276" w:lineRule="auto"/>
              <w:ind w:right="619"/>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1.21</w:t>
            </w:r>
          </w:p>
        </w:tc>
        <w:tc>
          <w:tcPr>
            <w:tcW w:w="1130" w:type="dxa"/>
            <w:tcBorders>
              <w:top w:val="single" w:sz="4" w:space="0" w:color="auto"/>
            </w:tcBorders>
            <w:shd w:val="clear" w:color="auto" w:fill="auto"/>
          </w:tcPr>
          <w:p w14:paraId="7ECC2A94"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0.58</w:t>
            </w:r>
          </w:p>
        </w:tc>
        <w:tc>
          <w:tcPr>
            <w:tcW w:w="2525" w:type="dxa"/>
            <w:tcBorders>
              <w:top w:val="single" w:sz="4" w:space="0" w:color="auto"/>
            </w:tcBorders>
            <w:shd w:val="clear" w:color="auto" w:fill="auto"/>
          </w:tcPr>
          <w:p w14:paraId="798A78A8" w14:textId="77777777" w:rsidR="001F1F04" w:rsidRPr="00AE77D4" w:rsidRDefault="00661A05" w:rsidP="00AE77D4">
            <w:pPr>
              <w:spacing w:line="276" w:lineRule="auto"/>
              <w:ind w:left="581"/>
              <w:rPr>
                <w:rFonts w:ascii="Times New Roman" w:hAnsi="Times New Roman" w:cs="Times New Roman"/>
                <w:sz w:val="20"/>
                <w:szCs w:val="20"/>
                <w:lang w:val="en-GB"/>
              </w:rPr>
            </w:pPr>
            <w:r w:rsidRPr="00AE77D4">
              <w:rPr>
                <w:rFonts w:ascii="Times New Roman" w:hAnsi="Times New Roman" w:cs="Times New Roman"/>
                <w:sz w:val="20"/>
                <w:szCs w:val="20"/>
                <w:lang w:val="en-GB"/>
              </w:rPr>
              <w:t>0.55</w:t>
            </w:r>
          </w:p>
        </w:tc>
      </w:tr>
      <w:tr w:rsidR="00AE77D4" w:rsidRPr="00AE77D4" w14:paraId="6597A3A8" w14:textId="77777777" w:rsidTr="00D709B4">
        <w:trPr>
          <w:trHeight w:val="210"/>
        </w:trPr>
        <w:tc>
          <w:tcPr>
            <w:tcW w:w="2411" w:type="dxa"/>
            <w:shd w:val="clear" w:color="auto" w:fill="F2F2F2" w:themeFill="background1" w:themeFillShade="F2"/>
          </w:tcPr>
          <w:p w14:paraId="522369DB"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BSIZE</w:t>
            </w:r>
          </w:p>
        </w:tc>
        <w:tc>
          <w:tcPr>
            <w:tcW w:w="1932" w:type="dxa"/>
            <w:shd w:val="clear" w:color="auto" w:fill="F2F2F2" w:themeFill="background1" w:themeFillShade="F2"/>
          </w:tcPr>
          <w:p w14:paraId="33A0CCBA" w14:textId="77777777" w:rsidR="001F1F04" w:rsidRPr="00AE77D4" w:rsidRDefault="00661A05" w:rsidP="00AE77D4">
            <w:pPr>
              <w:spacing w:line="276" w:lineRule="auto"/>
              <w:ind w:right="619"/>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37</w:t>
            </w:r>
          </w:p>
        </w:tc>
        <w:tc>
          <w:tcPr>
            <w:tcW w:w="1130" w:type="dxa"/>
            <w:shd w:val="clear" w:color="auto" w:fill="F2F2F2" w:themeFill="background1" w:themeFillShade="F2"/>
          </w:tcPr>
          <w:p w14:paraId="3ADAD110"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2.38**</w:t>
            </w:r>
          </w:p>
        </w:tc>
        <w:tc>
          <w:tcPr>
            <w:tcW w:w="2525" w:type="dxa"/>
            <w:shd w:val="clear" w:color="auto" w:fill="F2F2F2" w:themeFill="background1" w:themeFillShade="F2"/>
          </w:tcPr>
          <w:p w14:paraId="77933650" w14:textId="77777777" w:rsidR="001F1F04" w:rsidRPr="00AE77D4" w:rsidRDefault="00661A05" w:rsidP="00AE77D4">
            <w:pPr>
              <w:spacing w:line="276" w:lineRule="auto"/>
              <w:ind w:left="581"/>
              <w:rPr>
                <w:rFonts w:ascii="Times New Roman" w:hAnsi="Times New Roman" w:cs="Times New Roman"/>
                <w:sz w:val="20"/>
                <w:szCs w:val="20"/>
                <w:lang w:val="en-GB"/>
              </w:rPr>
            </w:pPr>
            <w:r w:rsidRPr="00AE77D4">
              <w:rPr>
                <w:rFonts w:ascii="Times New Roman" w:hAnsi="Times New Roman" w:cs="Times New Roman"/>
                <w:sz w:val="20"/>
                <w:szCs w:val="20"/>
                <w:lang w:val="en-GB"/>
              </w:rPr>
              <w:t>3.04**</w:t>
            </w:r>
          </w:p>
        </w:tc>
      </w:tr>
      <w:tr w:rsidR="00AE77D4" w:rsidRPr="00AE77D4" w14:paraId="40559FB8" w14:textId="77777777" w:rsidTr="00D709B4">
        <w:trPr>
          <w:trHeight w:val="199"/>
        </w:trPr>
        <w:tc>
          <w:tcPr>
            <w:tcW w:w="2411" w:type="dxa"/>
          </w:tcPr>
          <w:p w14:paraId="056E42F8"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INDIR</w:t>
            </w:r>
          </w:p>
        </w:tc>
        <w:tc>
          <w:tcPr>
            <w:tcW w:w="1932" w:type="dxa"/>
          </w:tcPr>
          <w:p w14:paraId="720BDCE3" w14:textId="77777777" w:rsidR="001F1F04" w:rsidRPr="00AE77D4" w:rsidRDefault="00661A05" w:rsidP="00AE77D4">
            <w:pPr>
              <w:spacing w:line="276" w:lineRule="auto"/>
              <w:ind w:right="619"/>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8.98</w:t>
            </w:r>
          </w:p>
        </w:tc>
        <w:tc>
          <w:tcPr>
            <w:tcW w:w="1130" w:type="dxa"/>
          </w:tcPr>
          <w:p w14:paraId="4C25E487"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2.52**</w:t>
            </w:r>
          </w:p>
        </w:tc>
        <w:tc>
          <w:tcPr>
            <w:tcW w:w="2525" w:type="dxa"/>
          </w:tcPr>
          <w:p w14:paraId="64BCF6D1" w14:textId="77777777" w:rsidR="001F1F04" w:rsidRPr="00AE77D4" w:rsidRDefault="00661A05" w:rsidP="00AE77D4">
            <w:pPr>
              <w:spacing w:line="276" w:lineRule="auto"/>
              <w:ind w:left="581"/>
              <w:rPr>
                <w:rFonts w:ascii="Times New Roman" w:hAnsi="Times New Roman" w:cs="Times New Roman"/>
                <w:sz w:val="20"/>
                <w:szCs w:val="20"/>
                <w:lang w:val="en-GB"/>
              </w:rPr>
            </w:pPr>
            <w:r w:rsidRPr="00AE77D4">
              <w:rPr>
                <w:rFonts w:ascii="Times New Roman" w:hAnsi="Times New Roman" w:cs="Times New Roman"/>
                <w:sz w:val="20"/>
                <w:szCs w:val="20"/>
                <w:lang w:val="en-GB"/>
              </w:rPr>
              <w:t>13***</w:t>
            </w:r>
          </w:p>
        </w:tc>
      </w:tr>
      <w:tr w:rsidR="00AE77D4" w:rsidRPr="00AE77D4" w14:paraId="01FB030D" w14:textId="77777777" w:rsidTr="00D709B4">
        <w:trPr>
          <w:trHeight w:val="210"/>
        </w:trPr>
        <w:tc>
          <w:tcPr>
            <w:tcW w:w="2411" w:type="dxa"/>
            <w:shd w:val="clear" w:color="auto" w:fill="F2F2F2" w:themeFill="background1" w:themeFillShade="F2"/>
          </w:tcPr>
          <w:p w14:paraId="2FDD2FFC"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t>FORDIR</w:t>
            </w:r>
          </w:p>
        </w:tc>
        <w:tc>
          <w:tcPr>
            <w:tcW w:w="1932" w:type="dxa"/>
            <w:shd w:val="clear" w:color="auto" w:fill="F2F2F2" w:themeFill="background1" w:themeFillShade="F2"/>
          </w:tcPr>
          <w:p w14:paraId="53869DBA" w14:textId="77777777" w:rsidR="001F1F04" w:rsidRPr="00AE77D4" w:rsidRDefault="00661A05" w:rsidP="00AE77D4">
            <w:pPr>
              <w:spacing w:line="276" w:lineRule="auto"/>
              <w:ind w:right="619"/>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-16</w:t>
            </w:r>
          </w:p>
        </w:tc>
        <w:tc>
          <w:tcPr>
            <w:tcW w:w="1130" w:type="dxa"/>
            <w:shd w:val="clear" w:color="auto" w:fill="F2F2F2" w:themeFill="background1" w:themeFillShade="F2"/>
          </w:tcPr>
          <w:p w14:paraId="6E5DD7D6"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-5.34*</w:t>
            </w:r>
          </w:p>
        </w:tc>
        <w:tc>
          <w:tcPr>
            <w:tcW w:w="2525" w:type="dxa"/>
            <w:shd w:val="clear" w:color="auto" w:fill="F2F2F2" w:themeFill="background1" w:themeFillShade="F2"/>
          </w:tcPr>
          <w:p w14:paraId="212E22D5" w14:textId="77777777" w:rsidR="001F1F04" w:rsidRPr="00AE77D4" w:rsidRDefault="00661A05" w:rsidP="00AE77D4">
            <w:pPr>
              <w:spacing w:line="276" w:lineRule="auto"/>
              <w:ind w:left="581"/>
              <w:rPr>
                <w:rFonts w:ascii="Times New Roman" w:hAnsi="Times New Roman" w:cs="Times New Roman"/>
                <w:sz w:val="20"/>
                <w:szCs w:val="20"/>
                <w:lang w:val="en-GB"/>
              </w:rPr>
            </w:pPr>
            <w:r w:rsidRPr="00AE77D4">
              <w:rPr>
                <w:rFonts w:ascii="Times New Roman" w:hAnsi="Times New Roman" w:cs="Times New Roman"/>
                <w:sz w:val="20"/>
                <w:szCs w:val="20"/>
                <w:lang w:val="en-GB"/>
              </w:rPr>
              <w:t>-26***</w:t>
            </w:r>
          </w:p>
        </w:tc>
      </w:tr>
      <w:tr w:rsidR="00AE77D4" w:rsidRPr="00AE77D4" w14:paraId="7613B375" w14:textId="77777777" w:rsidTr="00D709B4">
        <w:trPr>
          <w:trHeight w:val="199"/>
        </w:trPr>
        <w:tc>
          <w:tcPr>
            <w:tcW w:w="2411" w:type="dxa"/>
          </w:tcPr>
          <w:p w14:paraId="15B0A9A5"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t xml:space="preserve">GENDER </w:t>
            </w:r>
          </w:p>
        </w:tc>
        <w:tc>
          <w:tcPr>
            <w:tcW w:w="1932" w:type="dxa"/>
          </w:tcPr>
          <w:p w14:paraId="3568E0F5" w14:textId="77777777" w:rsidR="001F1F04" w:rsidRPr="00AE77D4" w:rsidRDefault="00661A05" w:rsidP="00AE77D4">
            <w:pPr>
              <w:spacing w:line="276" w:lineRule="auto"/>
              <w:ind w:right="619"/>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3</w:t>
            </w:r>
          </w:p>
        </w:tc>
        <w:tc>
          <w:tcPr>
            <w:tcW w:w="1130" w:type="dxa"/>
          </w:tcPr>
          <w:p w14:paraId="138AE276"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1.40</w:t>
            </w:r>
          </w:p>
        </w:tc>
        <w:tc>
          <w:tcPr>
            <w:tcW w:w="2525" w:type="dxa"/>
          </w:tcPr>
          <w:p w14:paraId="521E78F8" w14:textId="77777777" w:rsidR="001F1F04" w:rsidRPr="00AE77D4" w:rsidRDefault="00661A05" w:rsidP="00AE77D4">
            <w:pPr>
              <w:spacing w:line="276" w:lineRule="auto"/>
              <w:ind w:left="581"/>
              <w:rPr>
                <w:rFonts w:ascii="Times New Roman" w:hAnsi="Times New Roman" w:cs="Times New Roman"/>
                <w:sz w:val="20"/>
                <w:szCs w:val="20"/>
                <w:lang w:val="en-GB"/>
              </w:rPr>
            </w:pPr>
            <w:r w:rsidRPr="00AE77D4">
              <w:rPr>
                <w:rFonts w:ascii="Times New Roman" w:hAnsi="Times New Roman" w:cs="Times New Roman"/>
                <w:sz w:val="20"/>
                <w:szCs w:val="20"/>
                <w:lang w:val="en-GB"/>
              </w:rPr>
              <w:t>-22</w:t>
            </w:r>
          </w:p>
        </w:tc>
      </w:tr>
      <w:tr w:rsidR="00AE77D4" w:rsidRPr="00AE77D4" w14:paraId="7B2D4FC7" w14:textId="77777777" w:rsidTr="00D709B4">
        <w:trPr>
          <w:trHeight w:val="199"/>
        </w:trPr>
        <w:tc>
          <w:tcPr>
            <w:tcW w:w="2411" w:type="dxa"/>
            <w:shd w:val="clear" w:color="auto" w:fill="F2F2F2" w:themeFill="background1" w:themeFillShade="F2"/>
          </w:tcPr>
          <w:p w14:paraId="6CD888E3"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t xml:space="preserve">BOMEET </w:t>
            </w:r>
          </w:p>
        </w:tc>
        <w:tc>
          <w:tcPr>
            <w:tcW w:w="1932" w:type="dxa"/>
            <w:shd w:val="clear" w:color="auto" w:fill="F2F2F2" w:themeFill="background1" w:themeFillShade="F2"/>
          </w:tcPr>
          <w:p w14:paraId="4A085032" w14:textId="77777777" w:rsidR="001F1F04" w:rsidRPr="00AE77D4" w:rsidRDefault="00661A05" w:rsidP="00AE77D4">
            <w:pPr>
              <w:spacing w:line="276" w:lineRule="auto"/>
              <w:ind w:right="619"/>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-18</w:t>
            </w:r>
          </w:p>
        </w:tc>
        <w:tc>
          <w:tcPr>
            <w:tcW w:w="1130" w:type="dxa"/>
            <w:shd w:val="clear" w:color="auto" w:fill="F2F2F2" w:themeFill="background1" w:themeFillShade="F2"/>
          </w:tcPr>
          <w:p w14:paraId="3BF95F03"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-5.6***</w:t>
            </w:r>
          </w:p>
        </w:tc>
        <w:tc>
          <w:tcPr>
            <w:tcW w:w="2525" w:type="dxa"/>
            <w:shd w:val="clear" w:color="auto" w:fill="F2F2F2" w:themeFill="background1" w:themeFillShade="F2"/>
          </w:tcPr>
          <w:p w14:paraId="68BECF8D" w14:textId="77777777" w:rsidR="001F1F04" w:rsidRPr="00AE77D4" w:rsidRDefault="00661A05" w:rsidP="00AE77D4">
            <w:pPr>
              <w:spacing w:line="276" w:lineRule="auto"/>
              <w:ind w:left="581"/>
              <w:rPr>
                <w:rFonts w:ascii="Times New Roman" w:hAnsi="Times New Roman" w:cs="Times New Roman"/>
                <w:sz w:val="20"/>
                <w:szCs w:val="20"/>
                <w:lang w:val="en-GB"/>
              </w:rPr>
            </w:pPr>
            <w:r w:rsidRPr="00AE77D4">
              <w:rPr>
                <w:rFonts w:ascii="Times New Roman" w:hAnsi="Times New Roman" w:cs="Times New Roman"/>
                <w:sz w:val="20"/>
                <w:szCs w:val="20"/>
                <w:lang w:val="en-GB"/>
              </w:rPr>
              <w:t>14***</w:t>
            </w:r>
          </w:p>
        </w:tc>
      </w:tr>
      <w:tr w:rsidR="00AE77D4" w:rsidRPr="00AE77D4" w14:paraId="36AAB575" w14:textId="77777777" w:rsidTr="00D709B4">
        <w:trPr>
          <w:trHeight w:val="210"/>
        </w:trPr>
        <w:tc>
          <w:tcPr>
            <w:tcW w:w="2411" w:type="dxa"/>
          </w:tcPr>
          <w:p w14:paraId="145A734A"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eastAsia="Times New Roman" w:hAnsi="Times New Roman" w:cs="Times New Roman"/>
                <w:sz w:val="20"/>
                <w:szCs w:val="20"/>
                <w:lang w:val="en-GB"/>
              </w:rPr>
              <w:t xml:space="preserve">DUALITY </w:t>
            </w:r>
          </w:p>
        </w:tc>
        <w:tc>
          <w:tcPr>
            <w:tcW w:w="1932" w:type="dxa"/>
          </w:tcPr>
          <w:p w14:paraId="6D05AA3B" w14:textId="77777777" w:rsidR="001F1F04" w:rsidRPr="00AE77D4" w:rsidRDefault="00661A05" w:rsidP="00AE77D4">
            <w:pPr>
              <w:spacing w:line="276" w:lineRule="auto"/>
              <w:ind w:right="619"/>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-4.50</w:t>
            </w:r>
          </w:p>
        </w:tc>
        <w:tc>
          <w:tcPr>
            <w:tcW w:w="1130" w:type="dxa"/>
          </w:tcPr>
          <w:p w14:paraId="0D609D29"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w:t>
            </w:r>
          </w:p>
        </w:tc>
        <w:tc>
          <w:tcPr>
            <w:tcW w:w="2525" w:type="dxa"/>
          </w:tcPr>
          <w:p w14:paraId="4E79EDF5" w14:textId="77777777" w:rsidR="001F1F04" w:rsidRPr="00AE77D4" w:rsidRDefault="00661A05" w:rsidP="00AE77D4">
            <w:pPr>
              <w:spacing w:line="276" w:lineRule="auto"/>
              <w:ind w:left="581"/>
              <w:rPr>
                <w:rFonts w:ascii="Times New Roman" w:hAnsi="Times New Roman" w:cs="Times New Roman"/>
                <w:sz w:val="20"/>
                <w:szCs w:val="20"/>
                <w:lang w:val="en-GB"/>
              </w:rPr>
            </w:pPr>
            <w:r w:rsidRPr="00AE77D4">
              <w:rPr>
                <w:rFonts w:ascii="Times New Roman" w:hAnsi="Times New Roman" w:cs="Times New Roman"/>
                <w:sz w:val="20"/>
                <w:szCs w:val="20"/>
                <w:lang w:val="en-GB"/>
              </w:rPr>
              <w:t>-26***</w:t>
            </w:r>
          </w:p>
        </w:tc>
      </w:tr>
      <w:tr w:rsidR="00AE77D4" w:rsidRPr="00AE77D4" w14:paraId="6CD33457" w14:textId="77777777" w:rsidTr="005D6275">
        <w:trPr>
          <w:trHeight w:val="325"/>
        </w:trPr>
        <w:tc>
          <w:tcPr>
            <w:tcW w:w="2411" w:type="dxa"/>
            <w:shd w:val="clear" w:color="auto" w:fill="F2F2F2" w:themeFill="background1" w:themeFillShade="F2"/>
          </w:tcPr>
          <w:p w14:paraId="4E002118" w14:textId="77777777" w:rsidR="001F1F04" w:rsidRPr="00AE77D4" w:rsidRDefault="00661A05" w:rsidP="00AE77D4">
            <w:pPr>
              <w:spacing w:line="276" w:lineRule="auto"/>
              <w:rPr>
                <w:rFonts w:ascii="Times New Roman" w:eastAsia="Times New Roman" w:hAnsi="Times New Roman" w:cs="Times New Roman"/>
                <w:sz w:val="20"/>
                <w:szCs w:val="20"/>
                <w:lang w:val="en-GB"/>
              </w:rPr>
            </w:pPr>
            <w:r w:rsidRPr="00AE77D4">
              <w:rPr>
                <w:rFonts w:ascii="Times New Roman" w:eastAsia="Times New Roman" w:hAnsi="Times New Roman" w:cs="Times New Roman"/>
                <w:sz w:val="20"/>
                <w:szCs w:val="20"/>
                <w:lang w:val="en-GB"/>
              </w:rPr>
              <w:t xml:space="preserve">ADCOM </w:t>
            </w:r>
          </w:p>
        </w:tc>
        <w:tc>
          <w:tcPr>
            <w:tcW w:w="1932" w:type="dxa"/>
            <w:shd w:val="clear" w:color="auto" w:fill="F2F2F2" w:themeFill="background1" w:themeFillShade="F2"/>
          </w:tcPr>
          <w:p w14:paraId="76027C84" w14:textId="77777777" w:rsidR="001F1F04" w:rsidRPr="00AE77D4" w:rsidRDefault="00661A05" w:rsidP="00AE77D4">
            <w:pPr>
              <w:spacing w:line="276" w:lineRule="auto"/>
              <w:ind w:right="619"/>
              <w:jc w:val="right"/>
              <w:rPr>
                <w:rFonts w:ascii="Times New Roman" w:hAnsi="Times New Roman" w:cs="Times New Roman"/>
                <w:sz w:val="20"/>
                <w:szCs w:val="20"/>
                <w:lang w:val="en-GB"/>
              </w:rPr>
            </w:pPr>
            <w:r w:rsidRPr="00AE77D4">
              <w:rPr>
                <w:rFonts w:ascii="Times New Roman" w:hAnsi="Times New Roman" w:cs="Times New Roman"/>
                <w:sz w:val="20"/>
                <w:szCs w:val="20"/>
                <w:lang w:val="en-GB"/>
              </w:rPr>
              <w:t>3.57</w:t>
            </w:r>
          </w:p>
        </w:tc>
        <w:tc>
          <w:tcPr>
            <w:tcW w:w="1130" w:type="dxa"/>
            <w:shd w:val="clear" w:color="auto" w:fill="F2F2F2" w:themeFill="background1" w:themeFillShade="F2"/>
          </w:tcPr>
          <w:p w14:paraId="586FDC3F" w14:textId="77777777" w:rsidR="001F1F04" w:rsidRPr="00AE77D4" w:rsidRDefault="00661A05" w:rsidP="00AE77D4">
            <w:pPr>
              <w:spacing w:line="276" w:lineRule="auto"/>
              <w:rPr>
                <w:rFonts w:ascii="Times New Roman" w:hAnsi="Times New Roman" w:cs="Times New Roman"/>
                <w:sz w:val="20"/>
                <w:szCs w:val="20"/>
                <w:lang w:val="en-GB"/>
              </w:rPr>
            </w:pPr>
            <w:r w:rsidRPr="00AE77D4">
              <w:rPr>
                <w:rFonts w:ascii="Times New Roman" w:hAnsi="Times New Roman" w:cs="Times New Roman"/>
                <w:sz w:val="20"/>
                <w:szCs w:val="20"/>
                <w:lang w:val="en-GB"/>
              </w:rPr>
              <w:t>0.34</w:t>
            </w:r>
          </w:p>
        </w:tc>
        <w:tc>
          <w:tcPr>
            <w:tcW w:w="2525" w:type="dxa"/>
            <w:shd w:val="clear" w:color="auto" w:fill="F2F2F2" w:themeFill="background1" w:themeFillShade="F2"/>
          </w:tcPr>
          <w:p w14:paraId="5661464F" w14:textId="77777777" w:rsidR="001F1F04" w:rsidRPr="00AE77D4" w:rsidRDefault="00661A05" w:rsidP="00AE77D4">
            <w:pPr>
              <w:spacing w:line="276" w:lineRule="auto"/>
              <w:ind w:left="581"/>
              <w:rPr>
                <w:rFonts w:ascii="Times New Roman" w:hAnsi="Times New Roman" w:cs="Times New Roman"/>
                <w:sz w:val="20"/>
                <w:szCs w:val="20"/>
                <w:lang w:val="en-GB"/>
              </w:rPr>
            </w:pPr>
            <w:r w:rsidRPr="00AE77D4">
              <w:rPr>
                <w:rFonts w:ascii="Times New Roman" w:hAnsi="Times New Roman" w:cs="Times New Roman"/>
                <w:sz w:val="20"/>
                <w:szCs w:val="20"/>
                <w:lang w:val="en-GB"/>
              </w:rPr>
              <w:t>4.9***</w:t>
            </w:r>
          </w:p>
        </w:tc>
      </w:tr>
      <w:tr w:rsidR="00AE77D4" w:rsidRPr="00AE77D4" w14:paraId="7A23C77B" w14:textId="77777777" w:rsidTr="00D709B4">
        <w:trPr>
          <w:trHeight w:val="66"/>
        </w:trPr>
        <w:tc>
          <w:tcPr>
            <w:tcW w:w="7998" w:type="dxa"/>
            <w:gridSpan w:val="4"/>
            <w:shd w:val="clear" w:color="auto" w:fill="FFFFFF" w:themeFill="background1"/>
          </w:tcPr>
          <w:p w14:paraId="7D8BE02B" w14:textId="01D0C990" w:rsidR="001F1F04" w:rsidRPr="00AE77D4" w:rsidRDefault="00661A05" w:rsidP="00AE77D4">
            <w:pPr>
              <w:spacing w:line="276" w:lineRule="auto"/>
              <w:rPr>
                <w:rFonts w:ascii="Times New Roman" w:hAnsi="Times New Roman" w:cs="Times New Roman"/>
                <w:lang w:val="en-GB"/>
              </w:rPr>
            </w:pPr>
            <w:r w:rsidRPr="00AE77D4">
              <w:rPr>
                <w:rFonts w:ascii="Times New Roman" w:hAnsi="Times New Roman" w:cs="Times New Roman"/>
                <w:sz w:val="20"/>
                <w:lang w:val="en-GB"/>
              </w:rPr>
              <w:t xml:space="preserve">Notes: (1) The table presents differences in means, </w:t>
            </w:r>
            <w:r w:rsidR="00F66B09" w:rsidRPr="00AE77D4">
              <w:rPr>
                <w:rFonts w:ascii="Times New Roman" w:hAnsi="Times New Roman" w:cs="Times New Roman"/>
                <w:sz w:val="20"/>
                <w:lang w:val="en-GB"/>
              </w:rPr>
              <w:t>T</w:t>
            </w:r>
            <w:r w:rsidRPr="00AE77D4">
              <w:rPr>
                <w:rFonts w:ascii="Times New Roman" w:hAnsi="Times New Roman" w:cs="Times New Roman"/>
                <w:sz w:val="20"/>
                <w:lang w:val="en-GB"/>
              </w:rPr>
              <w:t>-test and Wilcoxson rank-sum test results for the explanatory variables. (2)  *, **, *** significance at 10%, 5%, and 1% levels of confidence, respectively. (3) See Table 2 for variable definitions.</w:t>
            </w:r>
          </w:p>
        </w:tc>
      </w:tr>
    </w:tbl>
    <w:p w14:paraId="49A8AF3F" w14:textId="77777777" w:rsidR="001F1F04" w:rsidRPr="00AE77D4" w:rsidRDefault="001F1F04" w:rsidP="00AE77D4">
      <w:pPr>
        <w:spacing w:line="276" w:lineRule="auto"/>
        <w:jc w:val="both"/>
        <w:rPr>
          <w:rFonts w:ascii="Times New Roman" w:hAnsi="Times New Roman" w:cs="Times New Roman"/>
          <w:lang w:val="en-GB"/>
        </w:rPr>
      </w:pPr>
    </w:p>
    <w:p w14:paraId="23002CD2" w14:textId="2C897AC8" w:rsidR="000B0F8A" w:rsidRPr="00AE77D4" w:rsidRDefault="00661A05" w:rsidP="00AE77D4">
      <w:pPr>
        <w:spacing w:line="276" w:lineRule="auto"/>
        <w:jc w:val="both"/>
        <w:rPr>
          <w:rFonts w:ascii="Times New Roman" w:hAnsi="Times New Roman" w:cs="Times New Roman"/>
          <w:b/>
          <w:sz w:val="24"/>
          <w:szCs w:val="24"/>
          <w:lang w:val="en-GB"/>
        </w:rPr>
      </w:pPr>
      <w:r w:rsidRPr="00AE77D4">
        <w:rPr>
          <w:rFonts w:ascii="Times New Roman" w:hAnsi="Times New Roman" w:cs="Times New Roman"/>
          <w:b/>
          <w:sz w:val="24"/>
          <w:szCs w:val="24"/>
          <w:lang w:val="en-GB"/>
        </w:rPr>
        <w:t>7 | D</w:t>
      </w:r>
      <w:r w:rsidR="00F927C5" w:rsidRPr="00AE77D4">
        <w:rPr>
          <w:rFonts w:ascii="Times New Roman" w:hAnsi="Times New Roman" w:cs="Times New Roman"/>
          <w:b/>
          <w:sz w:val="24"/>
          <w:szCs w:val="24"/>
          <w:lang w:val="en-GB"/>
        </w:rPr>
        <w:t>ISCUSSION</w:t>
      </w:r>
    </w:p>
    <w:p w14:paraId="745FDDA7" w14:textId="43F19850" w:rsidR="00C46F1F" w:rsidRPr="00AE77D4" w:rsidRDefault="00661A05" w:rsidP="00AE77D4">
      <w:pPr>
        <w:spacing w:line="276" w:lineRule="auto"/>
        <w:jc w:val="both"/>
        <w:rPr>
          <w:rFonts w:ascii="Times New Roman" w:hAnsi="Times New Roman" w:cs="Times New Roman"/>
          <w:bCs/>
          <w:sz w:val="24"/>
          <w:szCs w:val="24"/>
          <w:lang w:val="en-GB"/>
        </w:rPr>
      </w:pPr>
      <w:r w:rsidRPr="00AE77D4">
        <w:rPr>
          <w:rFonts w:ascii="Times New Roman" w:hAnsi="Times New Roman" w:cs="Times New Roman"/>
          <w:bCs/>
          <w:sz w:val="24"/>
          <w:szCs w:val="24"/>
          <w:lang w:val="en-GB"/>
        </w:rPr>
        <w:t>In the discussion section, we delve into the key findings of our study by examining the relationships between various board characteristics and climate change disclosure (CCD).</w:t>
      </w:r>
    </w:p>
    <w:p w14:paraId="3A1A34A7" w14:textId="1F141DE3"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 xml:space="preserve">H1: The study consistently reveals a significant and positive relationship between board size and climate change disclosure (CCD) across all examined periods—pre-amendment, post-amendment, and the entire period. This finding strongly supports hypothesis 1, indicating that companies with larger boards tend to disclose more information on climate change. This aligns with </w:t>
      </w:r>
      <w:r w:rsidRPr="00AE77D4">
        <w:rPr>
          <w:rFonts w:ascii="Times New Roman" w:eastAsia="Calibri" w:hAnsi="Times New Roman" w:cs="Times New Roman"/>
          <w:sz w:val="24"/>
          <w:szCs w:val="24"/>
        </w:rPr>
        <w:t>the theoretical predictions and prior studies (Al Kurdi et al., 2023; Nguyen et al., 2021; Post et al., 2015; Zou et al., 2019). Larger boards, integral to corporate governance, enhance efficiency and effectiveness by facilitating managerial monitoring and compliance with regulations (Wang et al., 2022; Al Amosh &amp; Khatib, 2021; Alnabsha et al., 2018). From a neo-institutionalism perspective, well-structured firms with larger boards are likely to push for climate-friendly activities, emphasizing CCD in voluntary disclosure</w:t>
      </w:r>
      <w:r w:rsidRPr="00AE77D4">
        <w:rPr>
          <w:rFonts w:ascii="Times New Roman" w:hAnsi="Times New Roman" w:cs="Times New Roman"/>
          <w:sz w:val="24"/>
          <w:szCs w:val="24"/>
        </w:rPr>
        <w:t xml:space="preserve"> (Grecco et al., 2013; Jizi, 2017; Ntim et al., 2013).</w:t>
      </w:r>
    </w:p>
    <w:p w14:paraId="1A62BCA4" w14:textId="77B7BF40"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lastRenderedPageBreak/>
        <w:t xml:space="preserve">However, contrasting views propose potential coordination issues and free-riding on larger boards, raising concerns about reduced managerial accountability (Jensen, 1993; Ntim et al., 2013). Despite </w:t>
      </w:r>
      <w:r w:rsidRPr="00AE77D4">
        <w:rPr>
          <w:rFonts w:ascii="Times New Roman" w:eastAsia="Calibri" w:hAnsi="Times New Roman" w:cs="Times New Roman"/>
          <w:sz w:val="24"/>
          <w:szCs w:val="24"/>
        </w:rPr>
        <w:t>the conflicting literature, our study, focusing on environmentally sensitive firms, supports the positive impact of board size on CCD practices. This finding highlights the unique context of environmentally sensitive firms and their commitment to climate change disclosure</w:t>
      </w:r>
      <w:r w:rsidRPr="00AE77D4">
        <w:rPr>
          <w:rFonts w:ascii="Times New Roman" w:hAnsi="Times New Roman" w:cs="Times New Roman"/>
          <w:sz w:val="24"/>
          <w:szCs w:val="24"/>
        </w:rPr>
        <w:t>.</w:t>
      </w:r>
    </w:p>
    <w:p w14:paraId="58EBAE7A" w14:textId="0F3856CA"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 xml:space="preserve">H2: Second, our findings for </w:t>
      </w:r>
      <w:r w:rsidRPr="00AE77D4">
        <w:rPr>
          <w:rFonts w:ascii="Times New Roman" w:eastAsia="Calibri" w:hAnsi="Times New Roman" w:cs="Times New Roman"/>
          <w:sz w:val="24"/>
          <w:szCs w:val="24"/>
        </w:rPr>
        <w:t xml:space="preserve">the entire sample show that independent directors </w:t>
      </w:r>
      <w:r w:rsidRPr="00AE77D4">
        <w:rPr>
          <w:rFonts w:ascii="Times New Roman" w:hAnsi="Times New Roman" w:cs="Times New Roman"/>
          <w:sz w:val="24"/>
          <w:szCs w:val="24"/>
        </w:rPr>
        <w:t>are significant to CCD</w:t>
      </w:r>
      <w:r w:rsidRPr="00AE77D4">
        <w:rPr>
          <w:rFonts w:ascii="Times New Roman" w:eastAsia="Calibri" w:hAnsi="Times New Roman" w:cs="Times New Roman"/>
          <w:sz w:val="24"/>
          <w:szCs w:val="24"/>
        </w:rPr>
        <w:t xml:space="preserve">, indicating that </w:t>
      </w:r>
      <w:r w:rsidRPr="00AE77D4">
        <w:rPr>
          <w:rFonts w:ascii="Times New Roman" w:hAnsi="Times New Roman" w:cs="Times New Roman"/>
          <w:sz w:val="24"/>
          <w:szCs w:val="24"/>
        </w:rPr>
        <w:t xml:space="preserve">Hypothesis 2 is supported and in line with </w:t>
      </w:r>
      <w:r w:rsidRPr="00AE77D4">
        <w:rPr>
          <w:rFonts w:ascii="Times New Roman" w:eastAsia="Calibri" w:hAnsi="Times New Roman" w:cs="Times New Roman"/>
          <w:sz w:val="24"/>
          <w:szCs w:val="24"/>
        </w:rPr>
        <w:t>the existing empirical literature (Fernandes et al., 2019 and Ibrahim &amp; Hanefah, 2016).  However, we find no significant relationship between independent directors and CCD throughout the pre-</w:t>
      </w:r>
      <w:r w:rsidRPr="00AE77D4">
        <w:rPr>
          <w:rFonts w:ascii="Times New Roman" w:hAnsi="Times New Roman" w:cs="Times New Roman"/>
          <w:sz w:val="24"/>
          <w:szCs w:val="24"/>
        </w:rPr>
        <w:t xml:space="preserve"> and post-amendment periods.  Theoretically, the appointment of independent directors represent</w:t>
      </w:r>
      <w:r w:rsidRPr="00AE77D4">
        <w:rPr>
          <w:rFonts w:ascii="Times New Roman" w:eastAsia="Calibri" w:hAnsi="Times New Roman" w:cs="Times New Roman"/>
          <w:sz w:val="24"/>
          <w:szCs w:val="24"/>
        </w:rPr>
        <w:t>s a board's degree of independence relative to the interests of various stakeholders (</w:t>
      </w:r>
      <w:r w:rsidR="00CD1A3F" w:rsidRPr="00AE77D4">
        <w:rPr>
          <w:rFonts w:ascii="Times New Roman" w:hAnsi="Times New Roman" w:cs="Times New Roman"/>
          <w:sz w:val="24"/>
          <w:szCs w:val="24"/>
          <w:shd w:val="clear" w:color="auto" w:fill="FFFFFF"/>
          <w:lang w:val="en-GB"/>
        </w:rPr>
        <w:t>Alkayed &amp; Omar, 2022</w:t>
      </w:r>
      <w:r w:rsidRPr="00AE77D4">
        <w:rPr>
          <w:rFonts w:ascii="Times New Roman" w:hAnsi="Times New Roman" w:cs="Times New Roman"/>
          <w:sz w:val="24"/>
          <w:szCs w:val="24"/>
        </w:rPr>
        <w:t>). The appointment of independent directors is seen as a means of mitigating the inherent mistrust arising from the separation of ownership and control, thereby aligning management decisions with shareholder interests (Alkayed &amp; Omar, 2022</w:t>
      </w:r>
      <w:r w:rsidR="00C74FBD" w:rsidRPr="00AE77D4">
        <w:rPr>
          <w:rFonts w:ascii="Times New Roman" w:hAnsi="Times New Roman" w:cs="Times New Roman"/>
          <w:sz w:val="24"/>
          <w:szCs w:val="24"/>
        </w:rPr>
        <w:t>;</w:t>
      </w:r>
      <w:r w:rsidR="00CD1A3F" w:rsidRPr="00AE77D4">
        <w:rPr>
          <w:rFonts w:ascii="Times New Roman" w:hAnsi="Times New Roman" w:cs="Times New Roman"/>
          <w:sz w:val="24"/>
          <w:szCs w:val="24"/>
        </w:rPr>
        <w:t xml:space="preserve"> Ntim et al., 2013</w:t>
      </w:r>
      <w:r w:rsidRPr="00AE77D4">
        <w:rPr>
          <w:rFonts w:ascii="Times New Roman" w:hAnsi="Times New Roman" w:cs="Times New Roman"/>
          <w:sz w:val="24"/>
          <w:szCs w:val="24"/>
        </w:rPr>
        <w:t xml:space="preserve">). Because this is a regulatory requirement, independent directors may be more motivated to put pressure on managers to engage in good CCD practices. </w:t>
      </w:r>
    </w:p>
    <w:p w14:paraId="6491626C" w14:textId="5FCEBB9B"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Regarding the regulatory impact of independent directors, a stronger association emerged in the analysis covering the entire period (Fernandes et al., 2019; Ibrahim &amp; Hanefah, 2016). However, no credible evidence of a relationship was found</w:t>
      </w:r>
      <w:r w:rsidRPr="00AE77D4">
        <w:rPr>
          <w:rFonts w:ascii="Times New Roman" w:eastAsia="Calibri" w:hAnsi="Times New Roman" w:cs="Times New Roman"/>
          <w:sz w:val="24"/>
          <w:szCs w:val="24"/>
        </w:rPr>
        <w:t xml:space="preserve"> in the pre- and post-amendment periods. The mixed findings suggest that the role of independent directors in influencing CCD may be context specific. The lack of authority </w:t>
      </w:r>
      <w:r w:rsidRPr="00AE77D4">
        <w:rPr>
          <w:rFonts w:ascii="Times New Roman" w:hAnsi="Times New Roman" w:cs="Times New Roman"/>
          <w:sz w:val="24"/>
          <w:szCs w:val="24"/>
        </w:rPr>
        <w:t>of independent directors to force climate disclosures might contribute to the inconsistency observed</w:t>
      </w:r>
      <w:r w:rsidRPr="00AE77D4">
        <w:rPr>
          <w:rFonts w:ascii="Times New Roman" w:eastAsia="Calibri" w:hAnsi="Times New Roman" w:cs="Times New Roman"/>
          <w:sz w:val="24"/>
          <w:szCs w:val="24"/>
        </w:rPr>
        <w:t>, as highlighted in the literature.</w:t>
      </w:r>
    </w:p>
    <w:p w14:paraId="3879BCD9" w14:textId="236B89F2"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H3: The empirical findings confirm the presence of a significant positive relationship between foreign directors and climate change disclosure (CCD), thereby substantiating Hypothesis 3. This alignment with the theoretical perspective underscores the pivotal role of foreign directors as catalysts in promoting transparency and accountability in voluntary disclosures (Khan et al., 2019). Their influential contributions extend to shaping critical company decisions, spanning investments, executive appointments, and disclosure of climate-related information (Oh et al., 2011).</w:t>
      </w:r>
    </w:p>
    <w:p w14:paraId="314EB516" w14:textId="768A90DD"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This study contributes to the broader discourse on the relationship between foreign directors and CCD practices by offering nuanced insights (Estelyi and Nisar, 2016; Khan et al., 2019; Muttakin et al., 2015; Oh et al., 2011). While some studies, such as Estelyi and Nisar (2016), emphasize the significant positive impact of foreign directors on firm performance, others, such as Barako and Brown (2008)</w:t>
      </w:r>
      <w:r w:rsidRPr="00AE77D4">
        <w:rPr>
          <w:rFonts w:ascii="Times New Roman" w:eastAsia="Calibri" w:hAnsi="Times New Roman" w:cs="Times New Roman"/>
          <w:sz w:val="24"/>
          <w:szCs w:val="24"/>
        </w:rPr>
        <w:t>, report an insignifican</w:t>
      </w:r>
      <w:r w:rsidRPr="00AE77D4">
        <w:rPr>
          <w:rFonts w:ascii="Times New Roman" w:hAnsi="Times New Roman" w:cs="Times New Roman"/>
          <w:sz w:val="24"/>
          <w:szCs w:val="24"/>
        </w:rPr>
        <w:t>t effect on CCD. Moreover, concerns raised by Hahn and Lasfer (2016) and Katmon et al. (2019) regarding potential challenges, such as higher costs, ineffective monitoring, and cross-cultural communication associated with foreign directors</w:t>
      </w:r>
      <w:r w:rsidRPr="00AE77D4">
        <w:rPr>
          <w:rFonts w:ascii="Times New Roman" w:eastAsia="Calibri" w:hAnsi="Times New Roman" w:cs="Times New Roman"/>
          <w:sz w:val="24"/>
          <w:szCs w:val="24"/>
        </w:rPr>
        <w:t>, contribute to the complexity of understanding this relationship.</w:t>
      </w:r>
    </w:p>
    <w:p w14:paraId="3385E82E" w14:textId="58B7C511"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 xml:space="preserve">Within the context of Bangladesh, where CG guidelines lack specific provisions regarding foreign directors, their inclusion on boards is predominantly driven by mimetic pressure. This study suggests that foreign directors actively engage in lobbying efforts to gain support from </w:t>
      </w:r>
      <w:r w:rsidRPr="00AE77D4">
        <w:rPr>
          <w:rFonts w:ascii="Times New Roman" w:hAnsi="Times New Roman" w:cs="Times New Roman"/>
          <w:sz w:val="24"/>
          <w:szCs w:val="24"/>
        </w:rPr>
        <w:lastRenderedPageBreak/>
        <w:t>influential parties</w:t>
      </w:r>
      <w:r w:rsidRPr="00AE77D4">
        <w:rPr>
          <w:rFonts w:ascii="Times New Roman" w:eastAsia="Calibri" w:hAnsi="Times New Roman" w:cs="Times New Roman"/>
          <w:sz w:val="24"/>
          <w:szCs w:val="24"/>
        </w:rPr>
        <w:t xml:space="preserve">, such as governments and employees, aiming to project a more socially responsible image. This finding illuminates the nuanced role of foreign directors </w:t>
      </w:r>
      <w:r w:rsidRPr="00AE77D4">
        <w:rPr>
          <w:rFonts w:ascii="Times New Roman" w:hAnsi="Times New Roman" w:cs="Times New Roman"/>
          <w:sz w:val="24"/>
          <w:szCs w:val="24"/>
        </w:rPr>
        <w:t>in influencing CCD practices, particularly within the distinctive landscape of environmentally sensitive firms in Bangladesh.</w:t>
      </w:r>
    </w:p>
    <w:p w14:paraId="332908B9" w14:textId="160F849E"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H4: The study reveals a nuanced and context-dependent relationship between gender diversity and climate change disclosure (CCD), challenging the consistency of past studies and theoretical expectations (Elmagrhi et al., 2019; Al Kurdi et al., 2023; Kanter, 2008). Contrary to the expectations outlined in Hypothesis 4 and the theoretical premise of the neo-institutional perspective</w:t>
      </w:r>
      <w:r w:rsidRPr="00AE77D4">
        <w:rPr>
          <w:rFonts w:ascii="Times New Roman" w:eastAsia="Calibri" w:hAnsi="Times New Roman" w:cs="Times New Roman"/>
          <w:sz w:val="24"/>
          <w:szCs w:val="24"/>
        </w:rPr>
        <w:t xml:space="preserve">, which </w:t>
      </w:r>
      <w:r w:rsidRPr="00AE77D4">
        <w:rPr>
          <w:rFonts w:ascii="Times New Roman" w:hAnsi="Times New Roman" w:cs="Times New Roman"/>
          <w:sz w:val="24"/>
          <w:szCs w:val="24"/>
        </w:rPr>
        <w:t>posits</w:t>
      </w:r>
      <w:r w:rsidRPr="00AE77D4">
        <w:rPr>
          <w:rFonts w:ascii="Times New Roman" w:eastAsia="Calibri" w:hAnsi="Times New Roman" w:cs="Times New Roman"/>
          <w:sz w:val="24"/>
          <w:szCs w:val="24"/>
        </w:rPr>
        <w:t xml:space="preserve"> that diverse gender backgrounds on boards enhance managerial monitoring, stakeholder relationships, resource attraction, and corporate governance (Ntim et al., 2013), our empirical results do not consistently support these expectations in the context of environmentally sensitive firms in Bangladesh. The mixed findings in </w:t>
      </w:r>
      <w:r w:rsidR="0000290B" w:rsidRPr="00AE77D4">
        <w:rPr>
          <w:rFonts w:ascii="Times New Roman" w:hAnsi="Times New Roman" w:cs="Times New Roman"/>
          <w:sz w:val="24"/>
          <w:szCs w:val="24"/>
        </w:rPr>
        <w:t>contemporary</w:t>
      </w:r>
      <w:r w:rsidRPr="00AE77D4">
        <w:rPr>
          <w:rFonts w:ascii="Times New Roman" w:hAnsi="Times New Roman" w:cs="Times New Roman"/>
          <w:sz w:val="24"/>
          <w:szCs w:val="24"/>
        </w:rPr>
        <w:t xml:space="preserve"> literature regarding the impact of gender diversity on decision making and CCD practices are reflected in our study (Liao et al., 2015; Lu &amp; Herremans, 2019; Al Kurdi et al., 2023; Cucari et al., 2018). </w:t>
      </w:r>
    </w:p>
    <w:p w14:paraId="48407D25" w14:textId="1F66E310"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Notably, the absence of specific guidelines in CG regulations regarding the minimum required number of female directors might contribute to the lack of a significant relationship between gender diversity and CCD practices in our study. This indicates the importance of contextual factors and regulatory frameworks in shaping the influence of gender diversity on environmental disclosure within the studied firms in Bangladesh. The incorporation of female directors in firms may be driven by the desire to connect with various industry groups, attract resources, and maintain corporate legitimacy rather than a regulatory mandate. Additionally, the power dynamics within boards, where the influence of female directors might be restricted compared to their male counterparts (Kanter, 2008), could explain the variation in results across different periods.</w:t>
      </w:r>
    </w:p>
    <w:p w14:paraId="6D0DC968" w14:textId="7235289F"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H5: The study reveals an insignificant negative relationship between the number of board meetings and climate change disclosure (CCD) across all examined periods, contrary to the expectations outlined in Hypothesis 5 (Wang et al., 2022; Yusoff et al., 2019; Hussain et al., 2018). The lack of support for this hypothesis suggests that the frequency of board meetings does not necessarily result in increased CCD. The observed results may be influenced by regulatory pressures that mandate regular meetings, potentially diluting their impact on enhancing climate-change disclosures.</w:t>
      </w:r>
    </w:p>
    <w:p w14:paraId="44F49A3C" w14:textId="4F8C5E09"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The findings consistently show no significant</w:t>
      </w:r>
      <w:r w:rsidRPr="00AE77D4">
        <w:rPr>
          <w:rFonts w:ascii="Times New Roman" w:eastAsia="Calibri" w:hAnsi="Times New Roman" w:cs="Times New Roman"/>
          <w:sz w:val="24"/>
          <w:szCs w:val="24"/>
        </w:rPr>
        <w:t xml:space="preserve"> positive relationship between board meetings and CCD in Tables 5 and 7, </w:t>
      </w:r>
      <w:r w:rsidRPr="00AE77D4">
        <w:rPr>
          <w:rFonts w:ascii="Times New Roman" w:hAnsi="Times New Roman" w:cs="Times New Roman"/>
          <w:sz w:val="24"/>
          <w:szCs w:val="24"/>
        </w:rPr>
        <w:t xml:space="preserve">consistent with previous studies by Wang et al. (2022), Yusoff et al. (2019), and Hussain et al. (2018). This </w:t>
      </w:r>
      <w:r w:rsidRPr="00AE77D4">
        <w:rPr>
          <w:rFonts w:ascii="Times New Roman" w:eastAsia="Calibri" w:hAnsi="Times New Roman" w:cs="Times New Roman"/>
          <w:sz w:val="24"/>
          <w:szCs w:val="24"/>
        </w:rPr>
        <w:t>finding indicates that the frequency of board meetings may not be a decisive factor in promoting climate change disclosure</w:t>
      </w:r>
      <w:r w:rsidRPr="00AE77D4">
        <w:rPr>
          <w:rFonts w:ascii="Times New Roman" w:hAnsi="Times New Roman" w:cs="Times New Roman"/>
          <w:sz w:val="24"/>
          <w:szCs w:val="24"/>
        </w:rPr>
        <w:t>. Interestingly, Model 8 in Table 6</w:t>
      </w:r>
      <w:r w:rsidRPr="00AE77D4">
        <w:rPr>
          <w:rFonts w:ascii="Times New Roman" w:eastAsia="Calibri" w:hAnsi="Times New Roman" w:cs="Times New Roman"/>
          <w:sz w:val="24"/>
          <w:szCs w:val="24"/>
        </w:rPr>
        <w:t xml:space="preserve"> shows a significant negative relationship, similar to the findings of Frias-Aceituno et al. (2013), who suggested that more frequent board meetings imply an inactive and futile board. This contradictory result highlights the complexity of the relationship between board meetings and CCD, and the potential for varied outcomes depending on contextual factors and firm-specific characteristics.</w:t>
      </w:r>
    </w:p>
    <w:p w14:paraId="76CDC895" w14:textId="57006FD0"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lastRenderedPageBreak/>
        <w:t>H6: The study consistently demonstrates a negative and significant relationship between CEO duality and climate change disclosure (CCD) across all periods, supporting Hypothesis 6 (Hussa</w:t>
      </w:r>
      <w:r w:rsidR="00E957C2" w:rsidRPr="00AE77D4">
        <w:rPr>
          <w:rFonts w:ascii="Times New Roman" w:hAnsi="Times New Roman" w:cs="Times New Roman"/>
          <w:sz w:val="24"/>
          <w:szCs w:val="24"/>
        </w:rPr>
        <w:t>in et al., 2018</w:t>
      </w:r>
      <w:r w:rsidRPr="00AE77D4">
        <w:rPr>
          <w:rFonts w:ascii="Times New Roman" w:hAnsi="Times New Roman" w:cs="Times New Roman"/>
          <w:sz w:val="24"/>
          <w:szCs w:val="24"/>
        </w:rPr>
        <w:t xml:space="preserve">). The findings suggest that having separate individuals in the roles of Chairman of the Board and CEO positively influences climate-friendly initiatives, in line with theoretical predictions and </w:t>
      </w:r>
      <w:r w:rsidRPr="00AE77D4">
        <w:rPr>
          <w:rFonts w:ascii="Times New Roman" w:eastAsia="Calibri" w:hAnsi="Times New Roman" w:cs="Times New Roman"/>
          <w:sz w:val="24"/>
          <w:szCs w:val="24"/>
        </w:rPr>
        <w:t>the existing literature that emphasizes the potential conflicts of interest associated with CEO duality.</w:t>
      </w:r>
    </w:p>
    <w:p w14:paraId="4F9505B2" w14:textId="741F84BA"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CEO duality, where the same individual holds the positions of Chairman of the Board and CEO, is viewed as compromising governance, reducing board independence, and promoting self-serving attitudes in decision making (Dalton &amp; Dalton, 2005; Greenwood et al., 2013). The negative correlation observed in this study highlights the potential detrimental effects of concentrated power on a single individual, hindering a firm's ability to monitor and implement quality, accountability, and sustainability practices, including climate change disclosures. This finding is in line with regulatory recommendations that advocate for the separation of the Chairperson of the Board and the Managing Director/CEO roles (Securities and Exchange Commission, 2012; Bangladesh Securities and Exchange Commission, 2018).</w:t>
      </w:r>
    </w:p>
    <w:p w14:paraId="23086A63" w14:textId="75563B6F"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 xml:space="preserve">H7: A highly significant positive relationship between the audit committee and climate change disclosures (CCD) is consistently observed across all periods, supporting Hypothesis 7 (Al‐Shaer et al., 2018). This aligns with regulatory recommendations and prior research </w:t>
      </w:r>
      <w:r w:rsidRPr="00AE77D4">
        <w:rPr>
          <w:rFonts w:ascii="Times New Roman" w:eastAsia="Calibri" w:hAnsi="Times New Roman" w:cs="Times New Roman"/>
          <w:sz w:val="24"/>
          <w:szCs w:val="24"/>
        </w:rPr>
        <w:t>that emphasiz</w:t>
      </w:r>
      <w:r w:rsidRPr="00AE77D4">
        <w:rPr>
          <w:rFonts w:ascii="Times New Roman" w:hAnsi="Times New Roman" w:cs="Times New Roman"/>
          <w:sz w:val="24"/>
          <w:szCs w:val="24"/>
        </w:rPr>
        <w:t>es the role of audit committees in enhancing transparency and disclosure practices. From a neo-institutional perspective, firms may accept coercive pressure from institutions to establish an audit committee. The audit committee, composed of executive and non-executive members with expertise in accounting and finance, plays a crucial role in protecting firms’ financial integrity and encouraging CCD reporting of CCD (Greenwood et al., 2013).</w:t>
      </w:r>
    </w:p>
    <w:p w14:paraId="14E620F3" w14:textId="1D55FD3E" w:rsidR="007C36B6"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The significance of effective audit committees in overseeing the financial reporting process has been well established in prior studies (Alkayed &amp; Omar, 2022; Al‐Shaer et al., 2018). While the primary role of an audit committee is associated with financial matters, its potential oversight of climate change disclosures (CCD) is increasingly recognized. The committee, composed of executive and non-executive members with expertise in accounting and finance, plays a crucial role in protecting against financial asymmetry and encouraging CCD reporting. This aligns with the mandatory inclusion of an audit committee in Bangladesh</w:t>
      </w:r>
      <w:r w:rsidRPr="00AE77D4">
        <w:rPr>
          <w:rFonts w:ascii="Times New Roman" w:eastAsia="Calibri" w:hAnsi="Times New Roman" w:cs="Times New Roman"/>
          <w:sz w:val="24"/>
          <w:szCs w:val="24"/>
        </w:rPr>
        <w:t>’s CG guidelines (Securities and Exchange Commission, 2012; Bangladesh Securities and Exchange Commission, 2018).</w:t>
      </w:r>
    </w:p>
    <w:p w14:paraId="10817B77" w14:textId="5EA36549" w:rsidR="009B612E" w:rsidRPr="00AE77D4" w:rsidRDefault="00661A05" w:rsidP="00AE77D4">
      <w:pPr>
        <w:autoSpaceDE w:val="0"/>
        <w:autoSpaceDN w:val="0"/>
        <w:adjustRightInd w:val="0"/>
        <w:spacing w:line="276" w:lineRule="auto"/>
        <w:jc w:val="both"/>
        <w:rPr>
          <w:rFonts w:ascii="Times New Roman" w:hAnsi="Times New Roman" w:cs="Times New Roman"/>
          <w:sz w:val="24"/>
          <w:szCs w:val="24"/>
        </w:rPr>
      </w:pPr>
      <w:r w:rsidRPr="00AE77D4">
        <w:rPr>
          <w:rFonts w:ascii="Times New Roman" w:hAnsi="Times New Roman" w:cs="Times New Roman"/>
          <w:sz w:val="24"/>
          <w:szCs w:val="24"/>
        </w:rPr>
        <w:t>Overall, the study findings highlight the significant influence of board characteristics on climate change disclosure (CCD), contributing valuable insights into the complex interplay between corporate governance and environmental transparency. Specifically, larger boards, the presence of foreign directors, and the existence of an audit committee were identified as positive and significant factors associated with increased CCD, consistent with previous research (Bui et al., 2020).</w:t>
      </w:r>
      <w:r w:rsidR="009310C2" w:rsidRPr="00AE77D4">
        <w:rPr>
          <w:rFonts w:ascii="Times New Roman" w:hAnsi="Times New Roman" w:cs="Times New Roman"/>
          <w:sz w:val="24"/>
          <w:szCs w:val="24"/>
        </w:rPr>
        <w:t xml:space="preserve"> </w:t>
      </w:r>
      <w:r w:rsidRPr="00AE77D4">
        <w:rPr>
          <w:rFonts w:ascii="Times New Roman" w:hAnsi="Times New Roman" w:cs="Times New Roman"/>
          <w:sz w:val="24"/>
          <w:szCs w:val="24"/>
        </w:rPr>
        <w:t xml:space="preserve">However, the study did not find strong connections between CCD and independent directors despite their mandatory inclusion according to corporate governance codes in Bangladesh. Additionally, the roles of female directors and board meetings appear to have a weaker association with CCD during both pre- and post-amendment periods. These findings suggest that regulatory bodies may need to scrutinize </w:t>
      </w:r>
      <w:r w:rsidRPr="00AE77D4">
        <w:rPr>
          <w:rFonts w:ascii="Times New Roman" w:hAnsi="Times New Roman" w:cs="Times New Roman"/>
          <w:sz w:val="24"/>
          <w:szCs w:val="24"/>
        </w:rPr>
        <w:lastRenderedPageBreak/>
        <w:t>further to understand the reasons behind the limited implementation of climate laws and regulations, emphasizing the need for effective governance mechanisms in these areas (</w:t>
      </w:r>
      <w:r w:rsidR="00956B17" w:rsidRPr="00AE77D4">
        <w:rPr>
          <w:rFonts w:ascii="Times New Roman" w:hAnsi="Times New Roman" w:cs="Times New Roman"/>
          <w:sz w:val="24"/>
          <w:szCs w:val="24"/>
        </w:rPr>
        <w:t>Alkayed &amp; Omar, 2022</w:t>
      </w:r>
      <w:r w:rsidRPr="00AE77D4">
        <w:rPr>
          <w:rFonts w:ascii="Times New Roman" w:hAnsi="Times New Roman" w:cs="Times New Roman"/>
          <w:sz w:val="24"/>
          <w:szCs w:val="24"/>
        </w:rPr>
        <w:t>). The identified factors can inform policymakers, corporate boards, and investors by providing insights to promote sustainable governance practices and enhance environmental transparency in corporate reporting.</w:t>
      </w:r>
    </w:p>
    <w:p w14:paraId="12B4D398" w14:textId="77777777" w:rsidR="007C36B6" w:rsidRPr="00AE77D4" w:rsidRDefault="007C36B6" w:rsidP="00AE77D4">
      <w:pPr>
        <w:autoSpaceDE w:val="0"/>
        <w:autoSpaceDN w:val="0"/>
        <w:adjustRightInd w:val="0"/>
        <w:spacing w:line="276" w:lineRule="auto"/>
        <w:jc w:val="both"/>
        <w:rPr>
          <w:rFonts w:ascii="Times New Roman" w:hAnsi="Times New Roman" w:cs="Times New Roman"/>
          <w:sz w:val="24"/>
          <w:szCs w:val="24"/>
        </w:rPr>
      </w:pPr>
    </w:p>
    <w:p w14:paraId="14E6CE87" w14:textId="44646543" w:rsidR="00C166AE" w:rsidRPr="00AE77D4" w:rsidRDefault="00661A05" w:rsidP="00AE77D4">
      <w:pPr>
        <w:spacing w:line="276" w:lineRule="auto"/>
        <w:jc w:val="both"/>
        <w:rPr>
          <w:rFonts w:ascii="Times New Roman" w:hAnsi="Times New Roman" w:cs="Times New Roman"/>
          <w:b/>
          <w:bCs/>
          <w:sz w:val="24"/>
          <w:szCs w:val="24"/>
          <w:lang w:val="en-GB"/>
        </w:rPr>
      </w:pPr>
      <w:r w:rsidRPr="00AE77D4">
        <w:rPr>
          <w:rFonts w:ascii="Times New Roman" w:hAnsi="Times New Roman" w:cs="Times New Roman"/>
          <w:b/>
          <w:bCs/>
          <w:sz w:val="24"/>
          <w:szCs w:val="24"/>
          <w:lang w:val="en-GB"/>
        </w:rPr>
        <w:t>8</w:t>
      </w:r>
      <w:r w:rsidR="00A759B5" w:rsidRPr="00AE77D4">
        <w:rPr>
          <w:rFonts w:ascii="Times New Roman" w:hAnsi="Times New Roman" w:cs="Times New Roman"/>
          <w:b/>
          <w:bCs/>
          <w:sz w:val="24"/>
          <w:szCs w:val="24"/>
          <w:lang w:val="en-GB"/>
        </w:rPr>
        <w:t xml:space="preserve"> </w:t>
      </w:r>
      <w:r w:rsidR="00DA6DE8" w:rsidRPr="00AE77D4">
        <w:rPr>
          <w:rFonts w:ascii="Times New Roman" w:hAnsi="Times New Roman" w:cs="Times New Roman"/>
          <w:b/>
          <w:bCs/>
          <w:sz w:val="24"/>
          <w:szCs w:val="24"/>
          <w:lang w:val="en-GB"/>
        </w:rPr>
        <w:t xml:space="preserve">| </w:t>
      </w:r>
      <w:r w:rsidRPr="00AE77D4">
        <w:rPr>
          <w:rFonts w:ascii="Times New Roman" w:hAnsi="Times New Roman" w:cs="Times New Roman"/>
          <w:b/>
          <w:bCs/>
          <w:sz w:val="24"/>
          <w:szCs w:val="24"/>
          <w:lang w:val="en-GB"/>
        </w:rPr>
        <w:t>CONCLUSION</w:t>
      </w:r>
    </w:p>
    <w:p w14:paraId="7D2677BF" w14:textId="61110D45" w:rsidR="007B2EEF"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bidi="bn-BD"/>
        </w:rPr>
      </w:pPr>
      <w:r w:rsidRPr="00AE77D4">
        <w:rPr>
          <w:rFonts w:ascii="Times New Roman" w:hAnsi="Times New Roman" w:cs="Times New Roman"/>
          <w:sz w:val="24"/>
          <w:szCs w:val="24"/>
          <w:lang w:val="en-GB" w:bidi="bn-BD"/>
        </w:rPr>
        <w:t>Over the past several decades, escalating concerns about climate change have prompted a surge in interest among academics, practitioners, and policymakers regarding its detrimental effects on the environment, socioeconomic systems, and human lives (Orazalin et al., 2023). In response to these challenges, regulatory bodies, including the Securities and Exchange Commission (SEC) in Bangladesh, have implemented legislative initiatives to exert pressure on firms to adopt climate-friendly</w:t>
      </w:r>
      <w:r w:rsidR="00956B17" w:rsidRPr="00AE77D4">
        <w:rPr>
          <w:rFonts w:ascii="Times New Roman" w:hAnsi="Times New Roman" w:cs="Times New Roman"/>
          <w:sz w:val="24"/>
          <w:szCs w:val="24"/>
          <w:lang w:val="en-GB" w:bidi="bn-BD"/>
        </w:rPr>
        <w:t xml:space="preserve"> practices (Boiral et al., 2019</w:t>
      </w:r>
      <w:r w:rsidRPr="00AE77D4">
        <w:rPr>
          <w:rFonts w:ascii="Times New Roman" w:hAnsi="Times New Roman" w:cs="Times New Roman"/>
          <w:sz w:val="24"/>
          <w:szCs w:val="24"/>
          <w:lang w:val="en-GB" w:bidi="bn-BD"/>
        </w:rPr>
        <w:t xml:space="preserve">). </w:t>
      </w:r>
      <w:r w:rsidRPr="00AE77D4">
        <w:rPr>
          <w:rFonts w:ascii="Times New Roman" w:hAnsi="Times New Roman" w:cs="Times New Roman"/>
          <w:sz w:val="24"/>
          <w:szCs w:val="24"/>
          <w:lang w:val="en-GB"/>
        </w:rPr>
        <w:t xml:space="preserve">Our research contributes to bridging the existing gap in understanding the roles of regulators and corporate governance (CG) mechanisms in shaping climate change disclosure (CCD) (Orazalin et al., 2023). Focusing on 100 environmentally sensitive firms operating in Bangladesh between 2014 and 2021, we explore the intricate links between board processes and CCD by leveraging a dynamic multidimensional neo-institutional theoretical framework. </w:t>
      </w:r>
      <w:r w:rsidR="008119B7" w:rsidRPr="00AE77D4">
        <w:rPr>
          <w:rFonts w:ascii="Times New Roman" w:hAnsi="Times New Roman" w:cs="Times New Roman"/>
          <w:sz w:val="24"/>
          <w:szCs w:val="24"/>
          <w:lang w:val="en-GB" w:bidi="bn-BD"/>
        </w:rPr>
        <w:t xml:space="preserve">We addressed </w:t>
      </w:r>
      <w:r w:rsidR="008119B7" w:rsidRPr="00AE77D4">
        <w:rPr>
          <w:rFonts w:ascii="Times New Roman" w:hAnsi="Times New Roman" w:cs="Times New Roman"/>
          <w:sz w:val="24"/>
          <w:szCs w:val="24"/>
          <w:lang w:val="en-GB"/>
        </w:rPr>
        <w:t>Bangladesh</w:t>
      </w:r>
      <w:r w:rsidR="008119B7" w:rsidRPr="00AE77D4">
        <w:rPr>
          <w:rFonts w:ascii="Times New Roman" w:hAnsi="Times New Roman" w:cs="Times New Roman"/>
          <w:sz w:val="24"/>
          <w:szCs w:val="24"/>
          <w:lang w:val="en-GB" w:bidi="bn-BD"/>
        </w:rPr>
        <w:t xml:space="preserve">, as </w:t>
      </w:r>
      <w:r w:rsidR="008119B7" w:rsidRPr="00AE77D4">
        <w:rPr>
          <w:rFonts w:ascii="Times New Roman" w:hAnsi="Times New Roman" w:cs="Times New Roman"/>
          <w:sz w:val="24"/>
          <w:szCs w:val="24"/>
          <w:lang w:val="en-GB"/>
        </w:rPr>
        <w:t xml:space="preserve">it </w:t>
      </w:r>
      <w:r w:rsidR="002D7B99" w:rsidRPr="00AE77D4">
        <w:rPr>
          <w:rFonts w:ascii="Times New Roman" w:hAnsi="Times New Roman" w:cs="Times New Roman"/>
          <w:sz w:val="24"/>
          <w:szCs w:val="24"/>
          <w:lang w:val="en-GB"/>
        </w:rPr>
        <w:t xml:space="preserve">has recently achieved considerable economic growth </w:t>
      </w:r>
      <w:r w:rsidR="009C628F" w:rsidRPr="00AE77D4">
        <w:rPr>
          <w:rFonts w:ascii="Times New Roman" w:hAnsi="Times New Roman" w:cs="Times New Roman"/>
          <w:sz w:val="24"/>
          <w:szCs w:val="24"/>
          <w:lang w:val="en-GB"/>
        </w:rPr>
        <w:t xml:space="preserve">via export-led industrialization </w:t>
      </w:r>
      <w:r w:rsidR="00F65201" w:rsidRPr="00AE77D4">
        <w:rPr>
          <w:rFonts w:ascii="Times New Roman" w:hAnsi="Times New Roman" w:cs="Times New Roman"/>
          <w:sz w:val="24"/>
          <w:szCs w:val="24"/>
          <w:lang w:val="en-GB"/>
        </w:rPr>
        <w:t xml:space="preserve">(World </w:t>
      </w:r>
      <w:r w:rsidR="002D7B99" w:rsidRPr="00AE77D4">
        <w:rPr>
          <w:rFonts w:ascii="Times New Roman" w:hAnsi="Times New Roman" w:cs="Times New Roman"/>
          <w:sz w:val="24"/>
          <w:szCs w:val="24"/>
          <w:lang w:val="en-GB"/>
        </w:rPr>
        <w:t>Bank, 2012)</w:t>
      </w:r>
      <w:r w:rsidR="009C628F" w:rsidRPr="00AE77D4">
        <w:rPr>
          <w:rFonts w:ascii="Times New Roman" w:hAnsi="Times New Roman" w:cs="Times New Roman"/>
          <w:sz w:val="24"/>
          <w:szCs w:val="24"/>
          <w:lang w:val="en-GB"/>
        </w:rPr>
        <w:t xml:space="preserve">, and thus </w:t>
      </w:r>
      <w:r w:rsidR="002D7B99" w:rsidRPr="00AE77D4">
        <w:rPr>
          <w:rFonts w:ascii="Times New Roman" w:hAnsi="Times New Roman" w:cs="Times New Roman"/>
          <w:sz w:val="24"/>
          <w:szCs w:val="24"/>
          <w:lang w:val="en-GB"/>
        </w:rPr>
        <w:t>pay</w:t>
      </w:r>
      <w:r w:rsidR="009C628F" w:rsidRPr="00AE77D4">
        <w:rPr>
          <w:rFonts w:ascii="Times New Roman" w:hAnsi="Times New Roman" w:cs="Times New Roman"/>
          <w:sz w:val="24"/>
          <w:szCs w:val="24"/>
          <w:lang w:val="en-GB"/>
        </w:rPr>
        <w:t>s</w:t>
      </w:r>
      <w:r w:rsidR="002D7B99" w:rsidRPr="00AE77D4">
        <w:rPr>
          <w:rFonts w:ascii="Times New Roman" w:hAnsi="Times New Roman" w:cs="Times New Roman"/>
          <w:sz w:val="24"/>
          <w:szCs w:val="24"/>
          <w:lang w:val="en-GB"/>
        </w:rPr>
        <w:t xml:space="preserve"> a heavy price in climate terms, as evident from its lower ranking in the 2020 Global Environmental Performance Index (Wendling et al., 2020). </w:t>
      </w:r>
    </w:p>
    <w:p w14:paraId="264A94C1" w14:textId="28E083DB" w:rsidR="00B2627A"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Our study delves into regulatory influences, specifically Corporate Governance Guidelines (CGG), on CCD within highly environmentally sensitive firms responsible for significant climate damage (Elmagrhi et al., 2019). The findings indicate significant positive associations between the level of climate disclosure and board size (BSIZE), foreign directors (FORDIR), and audit committee</w:t>
      </w:r>
      <w:r w:rsidRPr="00AE77D4">
        <w:rPr>
          <w:rFonts w:ascii="Times New Roman" w:eastAsia="Calibri" w:hAnsi="Times New Roman" w:cs="Times New Roman"/>
          <w:sz w:val="24"/>
          <w:szCs w:val="24"/>
          <w:lang w:val="en-GB"/>
        </w:rPr>
        <w:t xml:space="preserve">s (ADCOM) both </w:t>
      </w:r>
      <w:r w:rsidRPr="00AE77D4">
        <w:rPr>
          <w:rFonts w:ascii="Times New Roman" w:hAnsi="Times New Roman" w:cs="Times New Roman"/>
          <w:sz w:val="24"/>
          <w:szCs w:val="24"/>
          <w:lang w:val="en-GB"/>
        </w:rPr>
        <w:t xml:space="preserve">before and </w:t>
      </w:r>
      <w:r w:rsidRPr="00AE77D4">
        <w:rPr>
          <w:rFonts w:ascii="Times New Roman" w:eastAsia="Calibri" w:hAnsi="Times New Roman" w:cs="Times New Roman"/>
          <w:sz w:val="24"/>
          <w:szCs w:val="24"/>
          <w:lang w:val="en-GB"/>
        </w:rPr>
        <w:t xml:space="preserve">after the </w:t>
      </w:r>
      <w:r w:rsidRPr="00AE77D4">
        <w:rPr>
          <w:rFonts w:ascii="Times New Roman" w:hAnsi="Times New Roman" w:cs="Times New Roman"/>
          <w:sz w:val="24"/>
          <w:szCs w:val="24"/>
          <w:lang w:val="en-GB"/>
        </w:rPr>
        <w:t>amendment. Additionally, independent directors show positive significance throughout the entire period, whereas female directors exhibit significance in the pre-amendment period. However, board meetings and duality demonstrate</w:t>
      </w:r>
      <w:r w:rsidRPr="00AE77D4">
        <w:rPr>
          <w:rFonts w:ascii="Times New Roman" w:eastAsia="Calibri" w:hAnsi="Times New Roman" w:cs="Times New Roman"/>
          <w:sz w:val="24"/>
          <w:szCs w:val="24"/>
          <w:lang w:val="en-GB"/>
        </w:rPr>
        <w:t>d negative significance in the post-amendment period.</w:t>
      </w:r>
      <w:r w:rsidRPr="00AE77D4">
        <w:rPr>
          <w:rFonts w:ascii="Times New Roman" w:hAnsi="Times New Roman" w:cs="Times New Roman"/>
          <w:sz w:val="24"/>
          <w:szCs w:val="24"/>
          <w:lang w:val="en-GB"/>
        </w:rPr>
        <w:t xml:space="preserve"> </w:t>
      </w:r>
    </w:p>
    <w:p w14:paraId="4CBF68D2" w14:textId="56F0C1CA" w:rsidR="00C361ED" w:rsidRPr="00AE77D4" w:rsidRDefault="00661A05" w:rsidP="00AE77D4">
      <w:pPr>
        <w:autoSpaceDE w:val="0"/>
        <w:autoSpaceDN w:val="0"/>
        <w:adjustRightInd w:val="0"/>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Unlike prior studies, our research examines a comprehensive spectrum of climate disclosures encompassing air, water, renewable energy, climate activities, climate policies, direct and indirect climate initiatives, and short- and long-term climate initiatives. The results reveal strong positive relationships between air</w:t>
      </w:r>
      <w:r w:rsidRPr="00AE77D4">
        <w:rPr>
          <w:rFonts w:ascii="Times New Roman" w:eastAsia="Calibri" w:hAnsi="Times New Roman" w:cs="Times New Roman"/>
          <w:sz w:val="24"/>
          <w:szCs w:val="24"/>
          <w:lang w:val="en-GB"/>
        </w:rPr>
        <w:t xml:space="preserve">- and water-related disclosures with foreign directors, while renewable energy disclosures correlate positively with board size, independence, foreign directors, board diversity, and audit committees. </w:t>
      </w:r>
    </w:p>
    <w:p w14:paraId="2FA76527" w14:textId="04EB95C8" w:rsidR="00E049DF" w:rsidRPr="00AE77D4" w:rsidRDefault="00661A05" w:rsidP="00AE77D4">
      <w:pPr>
        <w:autoSpaceDE w:val="0"/>
        <w:autoSpaceDN w:val="0"/>
        <w:adjustRightInd w:val="0"/>
        <w:spacing w:line="276" w:lineRule="auto"/>
        <w:jc w:val="both"/>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t>The practical and policy implications of our findings are multi</w:t>
      </w:r>
      <w:r w:rsidRPr="00AE77D4">
        <w:rPr>
          <w:rFonts w:ascii="Times New Roman" w:eastAsia="Times New Roman" w:hAnsi="Times New Roman" w:cs="Times New Roman"/>
          <w:sz w:val="24"/>
          <w:szCs w:val="24"/>
          <w:lang w:val="en-GB"/>
        </w:rPr>
        <w:t>-faceted. First</w:t>
      </w:r>
      <w:r w:rsidRPr="00AE77D4">
        <w:rPr>
          <w:rFonts w:ascii="Times New Roman" w:eastAsia="Times New Roman" w:hAnsi="Times New Roman" w:cs="Times New Roman"/>
          <w:sz w:val="24"/>
          <w:szCs w:val="24"/>
          <w:lang w:val="en-GB" w:bidi="bn-BD"/>
        </w:rPr>
        <w:t xml:space="preserve">, our research suggests that larger boards, foreign directors, and audit committees tend to disclose more climate issues, </w:t>
      </w:r>
      <w:r w:rsidRPr="00AE77D4">
        <w:rPr>
          <w:rFonts w:ascii="Times New Roman" w:eastAsia="Times New Roman" w:hAnsi="Times New Roman" w:cs="Times New Roman"/>
          <w:sz w:val="24"/>
          <w:szCs w:val="24"/>
          <w:lang w:val="en-GB"/>
        </w:rPr>
        <w:t xml:space="preserve">thus emphasizing the importance of these governance structures. However, the roles of independent directors and </w:t>
      </w:r>
      <w:r w:rsidRPr="00AE77D4">
        <w:rPr>
          <w:rFonts w:ascii="Times New Roman" w:eastAsia="Times New Roman" w:hAnsi="Times New Roman" w:cs="Times New Roman"/>
          <w:sz w:val="24"/>
          <w:szCs w:val="24"/>
          <w:lang w:val="en-GB" w:bidi="bn-BD"/>
        </w:rPr>
        <w:t>female directors appear less significant, warranting regulatory scrutiny and potential enhancements to directors' abilities.</w:t>
      </w:r>
    </w:p>
    <w:p w14:paraId="138449EE" w14:textId="0D39C45D" w:rsidR="00E049DF" w:rsidRPr="00AE77D4" w:rsidRDefault="00661A05" w:rsidP="00AE77D4">
      <w:pPr>
        <w:autoSpaceDE w:val="0"/>
        <w:autoSpaceDN w:val="0"/>
        <w:adjustRightInd w:val="0"/>
        <w:spacing w:line="276" w:lineRule="auto"/>
        <w:jc w:val="both"/>
        <w:rPr>
          <w:rFonts w:ascii="Times New Roman" w:eastAsia="Times New Roman" w:hAnsi="Times New Roman" w:cs="Times New Roman"/>
          <w:sz w:val="24"/>
          <w:szCs w:val="24"/>
          <w:lang w:val="en-GB" w:bidi="bn-BD"/>
        </w:rPr>
      </w:pPr>
      <w:r w:rsidRPr="00AE77D4">
        <w:rPr>
          <w:rFonts w:ascii="Times New Roman" w:eastAsia="Times New Roman" w:hAnsi="Times New Roman" w:cs="Times New Roman"/>
          <w:sz w:val="24"/>
          <w:szCs w:val="24"/>
          <w:lang w:val="en-GB" w:bidi="bn-BD"/>
        </w:rPr>
        <w:lastRenderedPageBreak/>
        <w:t>Second, regulatory authorities</w:t>
      </w:r>
      <w:r w:rsidRPr="00AE77D4">
        <w:rPr>
          <w:rFonts w:ascii="Times New Roman" w:eastAsia="Times New Roman" w:hAnsi="Times New Roman" w:cs="Times New Roman"/>
          <w:sz w:val="24"/>
          <w:szCs w:val="24"/>
          <w:lang w:val="en-GB"/>
        </w:rPr>
        <w:t xml:space="preserve">, such as the Bangladesh Securities and Exchange Commission (BSEC) and policymakers, should formulate and enforce guidelines or policies on climate disclosure procedures, aligning them with binding carbon reduction targets. This becomes crucial, especially in the absence of mandatory carbon reporting, urging firms to obtain independent assurance </w:t>
      </w:r>
      <w:r w:rsidRPr="00AE77D4">
        <w:rPr>
          <w:rFonts w:ascii="Times New Roman" w:eastAsia="Times New Roman" w:hAnsi="Times New Roman" w:cs="Times New Roman"/>
          <w:sz w:val="24"/>
          <w:szCs w:val="24"/>
          <w:lang w:val="en-GB" w:bidi="bn-BD"/>
        </w:rPr>
        <w:t>to justify climate-change disclosures.</w:t>
      </w:r>
    </w:p>
    <w:p w14:paraId="1F7073C3" w14:textId="7C2EE75E" w:rsidR="005539A5" w:rsidRPr="00AE77D4" w:rsidRDefault="00661A05" w:rsidP="00AE77D4">
      <w:pPr>
        <w:spacing w:line="276" w:lineRule="auto"/>
        <w:jc w:val="both"/>
        <w:rPr>
          <w:rFonts w:ascii="Times New Roman" w:hAnsi="Times New Roman" w:cs="Times New Roman"/>
          <w:sz w:val="24"/>
          <w:szCs w:val="24"/>
          <w:lang w:val="en-GB" w:bidi="bn-BD"/>
        </w:rPr>
      </w:pPr>
      <w:r w:rsidRPr="00AE77D4">
        <w:rPr>
          <w:rFonts w:ascii="Times New Roman" w:hAnsi="Times New Roman" w:cs="Times New Roman"/>
          <w:sz w:val="24"/>
          <w:szCs w:val="24"/>
          <w:lang w:val="en-GB" w:bidi="bn-BD"/>
        </w:rPr>
        <w:t xml:space="preserve">While our study makes significant contributions, it is not without </w:t>
      </w:r>
      <w:r w:rsidRPr="00AE77D4">
        <w:rPr>
          <w:rFonts w:ascii="Times New Roman" w:eastAsia="Calibri" w:hAnsi="Times New Roman" w:cs="Times New Roman"/>
          <w:sz w:val="24"/>
          <w:szCs w:val="24"/>
          <w:lang w:val="en-GB"/>
        </w:rPr>
        <w:t xml:space="preserve">its limitations. </w:t>
      </w:r>
      <w:r w:rsidR="00612695" w:rsidRPr="00AE77D4">
        <w:rPr>
          <w:rFonts w:ascii="Times New Roman" w:hAnsi="Times New Roman" w:cs="Times New Roman"/>
          <w:sz w:val="24"/>
          <w:szCs w:val="24"/>
          <w:lang w:val="en-GB" w:bidi="bn-BD"/>
        </w:rPr>
        <w:t xml:space="preserve">Future research in this area could explore the impact of corporate governance on climate change disclosures in SMEs and non-publicly traded firms, delve into </w:t>
      </w:r>
      <w:r w:rsidRPr="00AE77D4">
        <w:rPr>
          <w:rFonts w:ascii="Times New Roman" w:eastAsia="Calibri" w:hAnsi="Times New Roman" w:cs="Times New Roman"/>
          <w:sz w:val="24"/>
          <w:szCs w:val="24"/>
          <w:lang w:val="en-GB"/>
        </w:rPr>
        <w:t>the individual characteristics of board members, investigate ownership structures (family vs. non-family), focus on specific carbon disclosures, and scrutinize the regulatory impact on climate laws. These avenues aim to provide a more nuanced and comprehensive understanding of the relationship between corporate governance and climate change disclosure</w:t>
      </w:r>
      <w:r w:rsidR="00612695" w:rsidRPr="00AE77D4">
        <w:rPr>
          <w:rFonts w:ascii="Times New Roman" w:hAnsi="Times New Roman" w:cs="Times New Roman"/>
          <w:sz w:val="24"/>
          <w:szCs w:val="24"/>
          <w:lang w:val="en-GB" w:bidi="bn-BD"/>
        </w:rPr>
        <w:t>.</w:t>
      </w:r>
    </w:p>
    <w:p w14:paraId="39792524" w14:textId="718AE808" w:rsidR="000F4077" w:rsidRPr="00AE77D4" w:rsidRDefault="00661A05" w:rsidP="00AE77D4">
      <w:pPr>
        <w:spacing w:line="276" w:lineRule="auto"/>
        <w:jc w:val="both"/>
        <w:rPr>
          <w:rFonts w:ascii="Times New Roman" w:hAnsi="Times New Roman" w:cs="Times New Roman"/>
          <w:b/>
          <w:sz w:val="24"/>
          <w:szCs w:val="24"/>
          <w:lang w:val="en-GB" w:bidi="bn-BD"/>
        </w:rPr>
      </w:pPr>
      <w:r w:rsidRPr="00AE77D4">
        <w:rPr>
          <w:rFonts w:ascii="Times New Roman" w:hAnsi="Times New Roman" w:cs="Times New Roman"/>
          <w:sz w:val="24"/>
          <w:szCs w:val="24"/>
          <w:lang w:val="en-GB" w:bidi="bn-BD"/>
        </w:rPr>
        <w:br w:type="page"/>
      </w:r>
      <w:r w:rsidR="00C166AE" w:rsidRPr="00AE77D4">
        <w:rPr>
          <w:rFonts w:ascii="Times New Roman" w:hAnsi="Times New Roman" w:cs="Times New Roman"/>
          <w:b/>
          <w:sz w:val="24"/>
          <w:szCs w:val="24"/>
          <w:lang w:val="en-GB"/>
        </w:rPr>
        <w:lastRenderedPageBreak/>
        <w:t>REFERENCE</w:t>
      </w:r>
      <w:r w:rsidR="00454E6C" w:rsidRPr="00AE77D4">
        <w:rPr>
          <w:rFonts w:ascii="Times New Roman" w:hAnsi="Times New Roman" w:cs="Times New Roman"/>
          <w:b/>
          <w:sz w:val="24"/>
          <w:szCs w:val="24"/>
          <w:lang w:val="en-GB"/>
        </w:rPr>
        <w:t>S</w:t>
      </w:r>
    </w:p>
    <w:p w14:paraId="63B5E28E"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lang w:val="en-GB"/>
        </w:rPr>
      </w:pPr>
      <w:bookmarkStart w:id="1" w:name="reference_citations"/>
      <w:bookmarkEnd w:id="1"/>
      <w:r w:rsidRPr="00AE77D4">
        <w:rPr>
          <w:rFonts w:ascii="Times New Roman" w:hAnsi="Times New Roman" w:cs="Times New Roman"/>
          <w:sz w:val="24"/>
          <w:szCs w:val="24"/>
          <w:lang w:val="en-GB"/>
        </w:rPr>
        <w:t xml:space="preserve">Abbott, L. J., Daugherty, B., Parker, S., &amp; Peters, G. F. (2016). Internal audit quality and financial reporting quality: The joint importance of independence and competence. </w:t>
      </w:r>
      <w:r w:rsidRPr="00AE77D4">
        <w:rPr>
          <w:rFonts w:ascii="Times New Roman" w:hAnsi="Times New Roman" w:cs="Times New Roman"/>
          <w:i/>
          <w:sz w:val="24"/>
          <w:szCs w:val="24"/>
          <w:lang w:val="en-GB"/>
        </w:rPr>
        <w:t>Journal of Accounting Research</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54</w:t>
      </w:r>
      <w:r w:rsidRPr="00AE77D4">
        <w:rPr>
          <w:rFonts w:ascii="Times New Roman" w:hAnsi="Times New Roman" w:cs="Times New Roman"/>
          <w:sz w:val="24"/>
          <w:szCs w:val="24"/>
          <w:lang w:val="en-GB"/>
        </w:rPr>
        <w:t>(1), 3–40.</w:t>
      </w:r>
    </w:p>
    <w:p w14:paraId="53C15FC4" w14:textId="77777777" w:rsidR="007F0276" w:rsidRPr="00AE77D4" w:rsidRDefault="00661A05" w:rsidP="00AE77D4">
      <w:pPr>
        <w:spacing w:after="0" w:line="276" w:lineRule="auto"/>
        <w:ind w:left="720" w:hanging="720"/>
        <w:jc w:val="both"/>
        <w:rPr>
          <w:rFonts w:ascii="Times New Roman" w:hAnsi="Times New Roman" w:cs="Times New Roman"/>
          <w:sz w:val="24"/>
          <w:szCs w:val="24"/>
          <w:shd w:val="clear" w:color="auto" w:fill="FFFFFF"/>
          <w:lang w:val="en-GB"/>
        </w:rPr>
      </w:pPr>
      <w:r w:rsidRPr="00AE77D4">
        <w:rPr>
          <w:rFonts w:ascii="Times New Roman" w:hAnsi="Times New Roman" w:cs="Times New Roman"/>
          <w:sz w:val="24"/>
          <w:szCs w:val="24"/>
          <w:shd w:val="clear" w:color="auto" w:fill="FFFFFF"/>
          <w:lang w:val="en-GB"/>
        </w:rPr>
        <w:t>Adams, C., Druckman, P., &amp; Picot, R. (2020). Sustainable development goals disclosure (SDGD) recommendations.</w:t>
      </w:r>
    </w:p>
    <w:p w14:paraId="3C83B78C" w14:textId="77777777" w:rsidR="007F0276" w:rsidRPr="00AE77D4" w:rsidRDefault="00661A05" w:rsidP="00AE77D4">
      <w:pPr>
        <w:spacing w:after="0" w:line="276" w:lineRule="auto"/>
        <w:ind w:left="720" w:hanging="720"/>
        <w:jc w:val="both"/>
        <w:rPr>
          <w:rFonts w:ascii="Times New Roman" w:hAnsi="Times New Roman" w:cs="Times New Roman"/>
          <w:sz w:val="24"/>
          <w:szCs w:val="24"/>
          <w:shd w:val="clear" w:color="auto" w:fill="FFFFFF"/>
          <w:lang w:val="en-GB"/>
        </w:rPr>
      </w:pPr>
      <w:bookmarkStart w:id="2" w:name="old_references"/>
      <w:bookmarkEnd w:id="2"/>
      <w:r w:rsidRPr="00AE77D4">
        <w:rPr>
          <w:rFonts w:ascii="Times New Roman" w:hAnsi="Times New Roman" w:cs="Times New Roman"/>
          <w:sz w:val="24"/>
          <w:szCs w:val="24"/>
          <w:shd w:val="clear" w:color="auto" w:fill="FFFFFF"/>
          <w:lang w:val="en-GB"/>
        </w:rPr>
        <w:t xml:space="preserve">Aguilera, R. V. &amp; Cuervo-Cazurra, A. (2009). Codes of good governance. </w:t>
      </w:r>
      <w:r w:rsidRPr="00AE77D4">
        <w:rPr>
          <w:rFonts w:ascii="Times New Roman" w:hAnsi="Times New Roman" w:cs="Times New Roman"/>
          <w:i/>
          <w:sz w:val="24"/>
          <w:szCs w:val="24"/>
          <w:shd w:val="clear" w:color="auto" w:fill="FFFFFF"/>
          <w:lang w:val="en-GB"/>
        </w:rPr>
        <w:t>Corporate Governance: An International Review, 17</w:t>
      </w:r>
      <w:r w:rsidRPr="00AE77D4">
        <w:rPr>
          <w:rFonts w:ascii="Times New Roman" w:hAnsi="Times New Roman" w:cs="Times New Roman"/>
          <w:sz w:val="24"/>
          <w:szCs w:val="24"/>
          <w:shd w:val="clear" w:color="auto" w:fill="FFFFFF"/>
          <w:lang w:val="en-GB"/>
        </w:rPr>
        <w:t>(3), 376–387.</w:t>
      </w:r>
    </w:p>
    <w:p w14:paraId="24254B6E"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Aguilera, R. V., Rupp, D. E., Williams, C. A., &amp; Ganapathi, J. (2007). Putting the S back in corporate social responsibility: A multilevel theory of social change in organizations. </w:t>
      </w:r>
      <w:r w:rsidRPr="00AE77D4">
        <w:rPr>
          <w:rFonts w:ascii="Times New Roman" w:hAnsi="Times New Roman" w:cs="Times New Roman"/>
          <w:i/>
          <w:iCs/>
          <w:sz w:val="24"/>
          <w:szCs w:val="24"/>
          <w:lang w:val="en-GB"/>
        </w:rPr>
        <w:t>Academy of management review</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32</w:t>
      </w:r>
      <w:r w:rsidRPr="00AE77D4">
        <w:rPr>
          <w:rFonts w:ascii="Times New Roman" w:hAnsi="Times New Roman" w:cs="Times New Roman"/>
          <w:sz w:val="24"/>
          <w:szCs w:val="24"/>
          <w:lang w:val="en-GB"/>
        </w:rPr>
        <w:t>(3), 836-863.</w:t>
      </w:r>
    </w:p>
    <w:p w14:paraId="45CB7F12"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shd w:val="clear" w:color="auto" w:fill="FFFFFF"/>
          <w:lang w:val="en-GB"/>
        </w:rPr>
        <w:t>Al Amosh, H., &amp; Khatib, S. F. (2021). Corporate governance and voluntary disclosure of sustainability performance: The case of Jordan. </w:t>
      </w:r>
      <w:r w:rsidRPr="00AE77D4">
        <w:rPr>
          <w:rFonts w:ascii="Times New Roman" w:hAnsi="Times New Roman" w:cs="Times New Roman"/>
          <w:i/>
          <w:iCs/>
          <w:sz w:val="24"/>
          <w:szCs w:val="24"/>
          <w:shd w:val="clear" w:color="auto" w:fill="FFFFFF"/>
          <w:lang w:val="en-GB"/>
        </w:rPr>
        <w:t>SN Business &amp; Economics</w:t>
      </w:r>
      <w:r w:rsidRPr="00AE77D4">
        <w:rPr>
          <w:rFonts w:ascii="Times New Roman" w:hAnsi="Times New Roman" w:cs="Times New Roman"/>
          <w:sz w:val="24"/>
          <w:szCs w:val="24"/>
          <w:shd w:val="clear" w:color="auto" w:fill="FFFFFF"/>
          <w:lang w:val="en-GB"/>
        </w:rPr>
        <w:t>, </w:t>
      </w:r>
      <w:r w:rsidRPr="00AE77D4">
        <w:rPr>
          <w:rFonts w:ascii="Times New Roman" w:hAnsi="Times New Roman" w:cs="Times New Roman"/>
          <w:i/>
          <w:iCs/>
          <w:sz w:val="24"/>
          <w:szCs w:val="24"/>
          <w:shd w:val="clear" w:color="auto" w:fill="FFFFFF"/>
          <w:lang w:val="en-GB"/>
        </w:rPr>
        <w:t>1</w:t>
      </w:r>
      <w:r w:rsidRPr="00AE77D4">
        <w:rPr>
          <w:rFonts w:ascii="Times New Roman" w:hAnsi="Times New Roman" w:cs="Times New Roman"/>
          <w:sz w:val="24"/>
          <w:szCs w:val="24"/>
          <w:shd w:val="clear" w:color="auto" w:fill="FFFFFF"/>
          <w:lang w:val="en-GB"/>
        </w:rPr>
        <w:t>(12), 1-22.</w:t>
      </w:r>
    </w:p>
    <w:p w14:paraId="2AD6B3A7" w14:textId="77777777" w:rsidR="007F0276" w:rsidRPr="00AE77D4" w:rsidRDefault="00661A05" w:rsidP="00AE77D4">
      <w:pPr>
        <w:spacing w:after="0" w:line="276" w:lineRule="auto"/>
        <w:ind w:left="720" w:hanging="720"/>
        <w:jc w:val="both"/>
        <w:rPr>
          <w:rFonts w:ascii="Times New Roman" w:hAnsi="Times New Roman" w:cs="Times New Roman"/>
          <w:sz w:val="24"/>
          <w:szCs w:val="24"/>
          <w:shd w:val="clear" w:color="auto" w:fill="FFFFFF"/>
          <w:lang w:val="en-GB"/>
        </w:rPr>
      </w:pPr>
      <w:r w:rsidRPr="00AE77D4">
        <w:rPr>
          <w:rFonts w:ascii="Times New Roman" w:hAnsi="Times New Roman" w:cs="Times New Roman"/>
          <w:sz w:val="24"/>
          <w:szCs w:val="24"/>
          <w:shd w:val="clear" w:color="auto" w:fill="FFFFFF"/>
          <w:lang w:val="en-GB"/>
        </w:rPr>
        <w:t>Al Kurdi, A., Al Amosh, H., &amp; Khatib, S. F. (2023). The mediating role of carbon emissions in the relationship between the board attributes and ESG performance: European evidence. </w:t>
      </w:r>
      <w:r w:rsidRPr="00AE77D4">
        <w:rPr>
          <w:rFonts w:ascii="Times New Roman" w:hAnsi="Times New Roman" w:cs="Times New Roman"/>
          <w:i/>
          <w:iCs/>
          <w:sz w:val="24"/>
          <w:szCs w:val="24"/>
          <w:shd w:val="clear" w:color="auto" w:fill="FFFFFF"/>
          <w:lang w:val="en-GB"/>
        </w:rPr>
        <w:t>EuroMed Journal of Business</w:t>
      </w:r>
      <w:r w:rsidRPr="00AE77D4">
        <w:rPr>
          <w:rFonts w:ascii="Times New Roman" w:hAnsi="Times New Roman" w:cs="Times New Roman"/>
          <w:sz w:val="24"/>
          <w:szCs w:val="24"/>
          <w:shd w:val="clear" w:color="auto" w:fill="FFFFFF"/>
          <w:lang w:val="en-GB"/>
        </w:rPr>
        <w:t>,</w:t>
      </w:r>
      <w:r w:rsidRPr="00AE77D4">
        <w:rPr>
          <w:rFonts w:ascii="Arial" w:hAnsi="Arial" w:cs="Arial"/>
          <w:sz w:val="20"/>
          <w:szCs w:val="20"/>
          <w:shd w:val="clear" w:color="auto" w:fill="FFFFFF"/>
        </w:rPr>
        <w:t xml:space="preserve"> </w:t>
      </w:r>
      <w:r w:rsidRPr="00AE77D4">
        <w:rPr>
          <w:rFonts w:ascii="Times New Roman" w:hAnsi="Times New Roman" w:cs="Times New Roman"/>
          <w:sz w:val="24"/>
          <w:szCs w:val="24"/>
          <w:shd w:val="clear" w:color="auto" w:fill="FFFFFF"/>
        </w:rPr>
        <w:t>(ahead-of-print).</w:t>
      </w:r>
    </w:p>
    <w:p w14:paraId="09B6C68B" w14:textId="77777777" w:rsidR="007F0276" w:rsidRPr="00AE77D4" w:rsidRDefault="00661A05" w:rsidP="00AE77D4">
      <w:pPr>
        <w:spacing w:after="0" w:line="276" w:lineRule="auto"/>
        <w:ind w:left="720" w:hanging="720"/>
        <w:jc w:val="both"/>
        <w:rPr>
          <w:rFonts w:ascii="Times New Roman" w:hAnsi="Times New Roman" w:cs="Times New Roman"/>
          <w:sz w:val="24"/>
          <w:szCs w:val="24"/>
          <w:shd w:val="clear" w:color="auto" w:fill="FFFFFF"/>
          <w:lang w:val="en-GB"/>
        </w:rPr>
      </w:pPr>
      <w:r w:rsidRPr="00AE77D4">
        <w:rPr>
          <w:rFonts w:ascii="Times New Roman" w:hAnsi="Times New Roman" w:cs="Times New Roman"/>
          <w:sz w:val="24"/>
          <w:szCs w:val="24"/>
          <w:shd w:val="clear" w:color="auto" w:fill="FFFFFF"/>
          <w:lang w:val="en-GB"/>
        </w:rPr>
        <w:t>Alatawi, I. A., Ntim, C. G., Zras, A., &amp; Elmagrhi, M. H. (2023). CSR, financial and non-financial performance in the tourism sector: A systematic literature review and future research agenda. </w:t>
      </w:r>
      <w:r w:rsidRPr="00AE77D4">
        <w:rPr>
          <w:rFonts w:ascii="Times New Roman" w:hAnsi="Times New Roman" w:cs="Times New Roman"/>
          <w:i/>
          <w:iCs/>
          <w:sz w:val="24"/>
          <w:szCs w:val="24"/>
          <w:shd w:val="clear" w:color="auto" w:fill="FFFFFF"/>
          <w:lang w:val="en-GB"/>
        </w:rPr>
        <w:t>International Review of Financial Analysis</w:t>
      </w:r>
      <w:r w:rsidRPr="00AE77D4">
        <w:rPr>
          <w:rFonts w:ascii="Times New Roman" w:hAnsi="Times New Roman" w:cs="Times New Roman"/>
          <w:sz w:val="24"/>
          <w:szCs w:val="24"/>
          <w:shd w:val="clear" w:color="auto" w:fill="FFFFFF"/>
          <w:lang w:val="en-GB"/>
        </w:rPr>
        <w:t xml:space="preserve">, </w:t>
      </w:r>
      <w:r w:rsidRPr="00AE77D4">
        <w:rPr>
          <w:rFonts w:ascii="Times New Roman" w:hAnsi="Times New Roman" w:cs="Times New Roman"/>
          <w:i/>
          <w:sz w:val="24"/>
          <w:szCs w:val="24"/>
          <w:shd w:val="clear" w:color="auto" w:fill="FFFFFF"/>
          <w:lang w:val="en-GB"/>
        </w:rPr>
        <w:t>89</w:t>
      </w:r>
      <w:r w:rsidRPr="00AE77D4">
        <w:rPr>
          <w:rFonts w:ascii="Times New Roman" w:hAnsi="Times New Roman" w:cs="Times New Roman"/>
          <w:sz w:val="24"/>
          <w:szCs w:val="24"/>
          <w:shd w:val="clear" w:color="auto" w:fill="FFFFFF"/>
          <w:lang w:val="en-GB"/>
        </w:rPr>
        <w:t>, 102734.</w:t>
      </w:r>
    </w:p>
    <w:p w14:paraId="43EB70CD" w14:textId="77777777" w:rsidR="007F0276" w:rsidRPr="00AE77D4" w:rsidRDefault="00661A05" w:rsidP="00AE77D4">
      <w:pPr>
        <w:spacing w:after="0" w:line="276" w:lineRule="auto"/>
        <w:ind w:left="720" w:hanging="720"/>
        <w:jc w:val="both"/>
        <w:rPr>
          <w:rFonts w:ascii="Times New Roman" w:hAnsi="Times New Roman" w:cs="Times New Roman"/>
          <w:sz w:val="24"/>
          <w:szCs w:val="24"/>
          <w:shd w:val="clear" w:color="auto" w:fill="FFFFFF"/>
          <w:lang w:val="en-GB"/>
        </w:rPr>
      </w:pPr>
      <w:r w:rsidRPr="00AE77D4">
        <w:rPr>
          <w:rFonts w:ascii="Times New Roman" w:hAnsi="Times New Roman" w:cs="Times New Roman"/>
          <w:sz w:val="24"/>
          <w:szCs w:val="24"/>
          <w:shd w:val="clear" w:color="auto" w:fill="FFFFFF"/>
        </w:rPr>
        <w:t>Alkayed, H., &amp; Omar, B. F. (2022). Determinants of the extent and quality of corporate social responsibility disclosure in the industrial and services sectors: the case of Jordan. </w:t>
      </w:r>
      <w:r w:rsidRPr="00AE77D4">
        <w:rPr>
          <w:rFonts w:ascii="Times New Roman" w:hAnsi="Times New Roman" w:cs="Times New Roman"/>
          <w:i/>
          <w:iCs/>
          <w:sz w:val="24"/>
          <w:szCs w:val="24"/>
          <w:shd w:val="clear" w:color="auto" w:fill="FFFFFF"/>
        </w:rPr>
        <w:t>Journal of Financial Reporting and Accounting</w:t>
      </w:r>
      <w:r w:rsidRPr="00AE77D4">
        <w:rPr>
          <w:rFonts w:ascii="Times New Roman" w:hAnsi="Times New Roman" w:cs="Times New Roman"/>
          <w:sz w:val="24"/>
          <w:szCs w:val="24"/>
          <w:shd w:val="clear" w:color="auto" w:fill="FFFFFF"/>
        </w:rPr>
        <w:t>, </w:t>
      </w:r>
      <w:r w:rsidRPr="00AE77D4">
        <w:rPr>
          <w:rFonts w:ascii="Times New Roman" w:hAnsi="Times New Roman" w:cs="Times New Roman"/>
          <w:i/>
          <w:iCs/>
          <w:sz w:val="24"/>
          <w:szCs w:val="24"/>
          <w:shd w:val="clear" w:color="auto" w:fill="FFFFFF"/>
        </w:rPr>
        <w:t>21</w:t>
      </w:r>
      <w:r w:rsidRPr="00AE77D4">
        <w:rPr>
          <w:rFonts w:ascii="Times New Roman" w:hAnsi="Times New Roman" w:cs="Times New Roman"/>
          <w:sz w:val="24"/>
          <w:szCs w:val="24"/>
          <w:shd w:val="clear" w:color="auto" w:fill="FFFFFF"/>
        </w:rPr>
        <w:t>(5), 1206-1245.</w:t>
      </w:r>
    </w:p>
    <w:p w14:paraId="3A534C0E"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Alnabsha, A., Abdou, H. A., Ntim, C. G., &amp; Elamer, A. A. (2018). Corporate boards, ownership structures and corporate disclosures: Evidence from a developing country. </w:t>
      </w:r>
      <w:r w:rsidRPr="00AE77D4">
        <w:rPr>
          <w:rFonts w:ascii="Times New Roman" w:hAnsi="Times New Roman" w:cs="Times New Roman"/>
          <w:i/>
          <w:iCs/>
          <w:sz w:val="24"/>
          <w:szCs w:val="24"/>
          <w:lang w:val="en-GB"/>
        </w:rPr>
        <w:t>Journal of Applied Accounting Research</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19</w:t>
      </w:r>
      <w:r w:rsidRPr="00AE77D4">
        <w:rPr>
          <w:rFonts w:ascii="Times New Roman" w:hAnsi="Times New Roman" w:cs="Times New Roman"/>
          <w:sz w:val="24"/>
          <w:szCs w:val="24"/>
          <w:lang w:val="en-GB"/>
        </w:rPr>
        <w:t>(1), 20–41.</w:t>
      </w:r>
    </w:p>
    <w:p w14:paraId="289977EC"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Alsaifi, K., Elnahass, M., </w:t>
      </w:r>
      <w:r w:rsidRPr="00AE77D4">
        <w:rPr>
          <w:rFonts w:ascii="Times New Roman" w:hAnsi="Times New Roman" w:cs="Times New Roman"/>
          <w:sz w:val="24"/>
          <w:szCs w:val="24"/>
          <w:lang w:val="en-GB"/>
        </w:rPr>
        <w:t>&amp;</w:t>
      </w:r>
      <w:r w:rsidRPr="00AE77D4">
        <w:rPr>
          <w:rFonts w:ascii="Times New Roman" w:hAnsi="Times New Roman" w:cs="Times New Roman"/>
          <w:noProof/>
          <w:sz w:val="24"/>
          <w:szCs w:val="24"/>
          <w:lang w:val="en-GB"/>
        </w:rPr>
        <w:t xml:space="preserve"> Salama, A. (2019). Carbon disclosure and financial performance: UK environmental policy. </w:t>
      </w:r>
      <w:r w:rsidRPr="00AE77D4">
        <w:rPr>
          <w:rFonts w:ascii="Times New Roman" w:hAnsi="Times New Roman" w:cs="Times New Roman"/>
          <w:i/>
          <w:iCs/>
          <w:noProof/>
          <w:sz w:val="24"/>
          <w:szCs w:val="24"/>
          <w:lang w:val="en-GB"/>
        </w:rPr>
        <w:t>Business Strategy and the Environment</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29</w:t>
      </w:r>
      <w:r w:rsidRPr="00AE77D4">
        <w:rPr>
          <w:rFonts w:ascii="Times New Roman" w:hAnsi="Times New Roman" w:cs="Times New Roman"/>
          <w:noProof/>
          <w:sz w:val="24"/>
          <w:szCs w:val="24"/>
          <w:lang w:val="en-GB"/>
        </w:rPr>
        <w:t>(2), 711–726.</w:t>
      </w:r>
    </w:p>
    <w:p w14:paraId="229A737A"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Al</w:t>
      </w:r>
      <w:r w:rsidRPr="00AE77D4">
        <w:rPr>
          <w:rFonts w:ascii="Cambria Math" w:hAnsi="Cambria Math" w:cs="Cambria Math"/>
          <w:sz w:val="24"/>
          <w:szCs w:val="24"/>
          <w:lang w:val="en-GB"/>
        </w:rPr>
        <w:t>‐</w:t>
      </w:r>
      <w:r w:rsidRPr="00AE77D4">
        <w:rPr>
          <w:rFonts w:ascii="Times New Roman" w:hAnsi="Times New Roman" w:cs="Times New Roman"/>
          <w:sz w:val="24"/>
          <w:szCs w:val="24"/>
          <w:lang w:val="en-GB"/>
        </w:rPr>
        <w:t xml:space="preserve">Shaer, H., &amp; Zaman, M. (2018). Credibility of sustainability reports: The contribution of audit committees, </w:t>
      </w:r>
      <w:r w:rsidRPr="00AE77D4">
        <w:rPr>
          <w:rFonts w:ascii="Times New Roman" w:hAnsi="Times New Roman" w:cs="Times New Roman"/>
          <w:i/>
          <w:sz w:val="24"/>
          <w:szCs w:val="24"/>
          <w:lang w:val="en-GB"/>
        </w:rPr>
        <w:t>Business Strategy and the Environment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27</w:t>
      </w:r>
      <w:r w:rsidRPr="00AE77D4">
        <w:rPr>
          <w:rFonts w:ascii="Times New Roman" w:hAnsi="Times New Roman" w:cs="Times New Roman"/>
          <w:sz w:val="24"/>
          <w:szCs w:val="24"/>
          <w:lang w:val="en-GB"/>
        </w:rPr>
        <w:t>(7), 973–986.</w:t>
      </w:r>
    </w:p>
    <w:p w14:paraId="1A4CC186"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Al-Shaer, H., </w:t>
      </w:r>
      <w:r w:rsidRPr="00AE77D4">
        <w:rPr>
          <w:rFonts w:ascii="Times New Roman" w:hAnsi="Times New Roman" w:cs="Times New Roman"/>
          <w:sz w:val="24"/>
          <w:szCs w:val="24"/>
          <w:lang w:val="en-GB"/>
        </w:rPr>
        <w:t>&amp;</w:t>
      </w:r>
      <w:r w:rsidRPr="00AE77D4">
        <w:rPr>
          <w:rFonts w:ascii="Times New Roman" w:hAnsi="Times New Roman" w:cs="Times New Roman"/>
          <w:noProof/>
          <w:sz w:val="24"/>
          <w:szCs w:val="24"/>
          <w:lang w:val="en-GB"/>
        </w:rPr>
        <w:t xml:space="preserve"> Zaman, M. (2019). CEO Compensation and Sustainability Reporting Assurance: Evidence from the UK. </w:t>
      </w:r>
      <w:r w:rsidRPr="00AE77D4">
        <w:rPr>
          <w:rFonts w:ascii="Times New Roman" w:hAnsi="Times New Roman" w:cs="Times New Roman"/>
          <w:i/>
          <w:iCs/>
          <w:noProof/>
          <w:sz w:val="24"/>
          <w:szCs w:val="24"/>
          <w:lang w:val="en-GB"/>
        </w:rPr>
        <w:t>Journal of Business Ethics</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158</w:t>
      </w:r>
      <w:r w:rsidRPr="00AE77D4">
        <w:rPr>
          <w:rFonts w:ascii="Times New Roman" w:hAnsi="Times New Roman" w:cs="Times New Roman"/>
          <w:noProof/>
          <w:sz w:val="24"/>
          <w:szCs w:val="24"/>
          <w:lang w:val="en-GB"/>
        </w:rPr>
        <w:t>(1), 233–252.</w:t>
      </w:r>
    </w:p>
    <w:p w14:paraId="0DA8FFFC" w14:textId="77777777" w:rsidR="007F0276" w:rsidRPr="00AE77D4" w:rsidRDefault="00661A05" w:rsidP="00AE77D4">
      <w:pPr>
        <w:spacing w:after="0" w:line="276" w:lineRule="auto"/>
        <w:ind w:left="720" w:hanging="720"/>
        <w:jc w:val="both"/>
        <w:rPr>
          <w:rFonts w:ascii="Times New Roman" w:hAnsi="Times New Roman" w:cs="Times New Roman"/>
          <w:sz w:val="24"/>
          <w:szCs w:val="24"/>
          <w:shd w:val="clear" w:color="auto" w:fill="FFFFFF"/>
          <w:lang w:val="en-GB"/>
        </w:rPr>
      </w:pPr>
      <w:r w:rsidRPr="00AE77D4">
        <w:rPr>
          <w:rFonts w:ascii="Times New Roman" w:hAnsi="Times New Roman" w:cs="Times New Roman"/>
          <w:sz w:val="24"/>
          <w:szCs w:val="24"/>
          <w:shd w:val="clear" w:color="auto" w:fill="FFFFFF"/>
          <w:lang w:val="en-GB"/>
        </w:rPr>
        <w:t>Amran, A., Lee, S. P., &amp; Devi, S. S. (2014). The influence of governance structure and strategic corporate social responsibility toward sustainability reporting quality. </w:t>
      </w:r>
      <w:r w:rsidRPr="00AE77D4">
        <w:rPr>
          <w:rFonts w:ascii="Times New Roman" w:hAnsi="Times New Roman" w:cs="Times New Roman"/>
          <w:i/>
          <w:iCs/>
          <w:sz w:val="24"/>
          <w:szCs w:val="24"/>
          <w:shd w:val="clear" w:color="auto" w:fill="FFFFFF"/>
          <w:lang w:val="en-GB"/>
        </w:rPr>
        <w:t>Business Strategy and the Environment</w:t>
      </w:r>
      <w:r w:rsidRPr="00AE77D4">
        <w:rPr>
          <w:rFonts w:ascii="Times New Roman" w:hAnsi="Times New Roman" w:cs="Times New Roman"/>
          <w:sz w:val="24"/>
          <w:szCs w:val="24"/>
          <w:shd w:val="clear" w:color="auto" w:fill="FFFFFF"/>
          <w:lang w:val="en-GB"/>
        </w:rPr>
        <w:t>, </w:t>
      </w:r>
      <w:r w:rsidRPr="00AE77D4">
        <w:rPr>
          <w:rFonts w:ascii="Times New Roman" w:hAnsi="Times New Roman" w:cs="Times New Roman"/>
          <w:i/>
          <w:iCs/>
          <w:sz w:val="24"/>
          <w:szCs w:val="24"/>
          <w:shd w:val="clear" w:color="auto" w:fill="FFFFFF"/>
          <w:lang w:val="en-GB"/>
        </w:rPr>
        <w:t>23</w:t>
      </w:r>
      <w:r w:rsidRPr="00AE77D4">
        <w:rPr>
          <w:rFonts w:ascii="Times New Roman" w:hAnsi="Times New Roman" w:cs="Times New Roman"/>
          <w:sz w:val="24"/>
          <w:szCs w:val="24"/>
          <w:shd w:val="clear" w:color="auto" w:fill="FFFFFF"/>
          <w:lang w:val="en-GB"/>
        </w:rPr>
        <w:t>(4), 217-235.</w:t>
      </w:r>
    </w:p>
    <w:p w14:paraId="277112E8"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Arora, P. &amp; Dharwadkar, R. (2011). Corporate governance and corporate social responsibility (CSR): The moderating roles of attainment discrepancy and organization slack. </w:t>
      </w:r>
      <w:r w:rsidRPr="00AE77D4">
        <w:rPr>
          <w:rFonts w:ascii="Times New Roman" w:hAnsi="Times New Roman" w:cs="Times New Roman"/>
          <w:i/>
          <w:sz w:val="24"/>
          <w:szCs w:val="24"/>
          <w:lang w:val="en-GB"/>
        </w:rPr>
        <w:t>Corporate Governance: An International Review, 19</w:t>
      </w:r>
      <w:r w:rsidRPr="00AE77D4">
        <w:rPr>
          <w:rFonts w:ascii="Times New Roman" w:hAnsi="Times New Roman" w:cs="Times New Roman"/>
          <w:sz w:val="24"/>
          <w:szCs w:val="24"/>
          <w:lang w:val="en-GB"/>
        </w:rPr>
        <w:t>(2), 136–152.</w:t>
      </w:r>
    </w:p>
    <w:p w14:paraId="37EF1623"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Baboukardos, D., Mangena, M., &amp; Ishola, A. (2021). Integrated thinking and sustainability reporting assurance: International evidence. </w:t>
      </w:r>
      <w:r w:rsidRPr="00AE77D4">
        <w:rPr>
          <w:rFonts w:ascii="Times New Roman" w:hAnsi="Times New Roman" w:cs="Times New Roman"/>
          <w:i/>
          <w:iCs/>
          <w:sz w:val="24"/>
          <w:szCs w:val="24"/>
          <w:lang w:val="en-GB"/>
        </w:rPr>
        <w:t>Business Strategy and the Environment</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30</w:t>
      </w:r>
      <w:r w:rsidRPr="00AE77D4">
        <w:rPr>
          <w:rFonts w:ascii="Times New Roman" w:hAnsi="Times New Roman" w:cs="Times New Roman"/>
          <w:sz w:val="24"/>
          <w:szCs w:val="24"/>
          <w:lang w:val="en-GB"/>
        </w:rPr>
        <w:t>(4), 1580-1597.</w:t>
      </w:r>
    </w:p>
    <w:p w14:paraId="6A311DF8"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lastRenderedPageBreak/>
        <w:t>Backman, C. A., Verbeke, A., &amp; Schulz, R. A. (2017). The drivers of corporate climate change strategies and public policy: A new resource-based view perspective. </w:t>
      </w:r>
      <w:r w:rsidRPr="00AE77D4">
        <w:rPr>
          <w:rFonts w:ascii="Times New Roman" w:hAnsi="Times New Roman" w:cs="Times New Roman"/>
          <w:i/>
          <w:iCs/>
          <w:sz w:val="24"/>
          <w:szCs w:val="24"/>
          <w:lang w:val="en-GB"/>
        </w:rPr>
        <w:t>Business &amp; Society</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56</w:t>
      </w:r>
      <w:r w:rsidRPr="00AE77D4">
        <w:rPr>
          <w:rFonts w:ascii="Times New Roman" w:hAnsi="Times New Roman" w:cs="Times New Roman"/>
          <w:sz w:val="24"/>
          <w:szCs w:val="24"/>
          <w:lang w:val="en-GB"/>
        </w:rPr>
        <w:t>(4), 545-575.</w:t>
      </w:r>
    </w:p>
    <w:p w14:paraId="7957AA74"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Baldwin, R., Cave, M., &amp; Lodge, M. (2011). </w:t>
      </w:r>
      <w:r w:rsidRPr="00AE77D4">
        <w:rPr>
          <w:rFonts w:ascii="Times New Roman" w:hAnsi="Times New Roman" w:cs="Times New Roman"/>
          <w:i/>
          <w:iCs/>
          <w:sz w:val="24"/>
          <w:szCs w:val="24"/>
          <w:lang w:val="en-GB"/>
        </w:rPr>
        <w:t>UNDERSTANDING REGULATION 2E P: Theory, Strategy, and Practice</w:t>
      </w:r>
      <w:r w:rsidRPr="00AE77D4">
        <w:rPr>
          <w:rFonts w:ascii="Times New Roman" w:hAnsi="Times New Roman" w:cs="Times New Roman"/>
          <w:sz w:val="24"/>
          <w:szCs w:val="24"/>
          <w:lang w:val="en-GB"/>
        </w:rPr>
        <w:t>. Oxford university press.</w:t>
      </w:r>
    </w:p>
    <w:p w14:paraId="33330B8B" w14:textId="77777777" w:rsidR="007F0276" w:rsidRPr="00AE77D4" w:rsidRDefault="00661A05" w:rsidP="00AE77D4">
      <w:pPr>
        <w:spacing w:after="100" w:afterAutospacing="1"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shd w:val="clear" w:color="auto" w:fill="FFFFFF"/>
          <w:lang w:val="en-GB"/>
        </w:rPr>
        <w:t>Ball, A., &amp; Craig, R. (2010). Using neo-institutionalism to advance social and environmental accounting. </w:t>
      </w:r>
      <w:r w:rsidRPr="00AE77D4">
        <w:rPr>
          <w:rFonts w:ascii="Times New Roman" w:hAnsi="Times New Roman" w:cs="Times New Roman"/>
          <w:i/>
          <w:iCs/>
          <w:sz w:val="24"/>
          <w:szCs w:val="24"/>
          <w:shd w:val="clear" w:color="auto" w:fill="FFFFFF"/>
          <w:lang w:val="en-GB"/>
        </w:rPr>
        <w:t>Critical Perspectives on Accounting</w:t>
      </w:r>
      <w:r w:rsidRPr="00AE77D4">
        <w:rPr>
          <w:rFonts w:ascii="Times New Roman" w:hAnsi="Times New Roman" w:cs="Times New Roman"/>
          <w:sz w:val="24"/>
          <w:szCs w:val="24"/>
          <w:shd w:val="clear" w:color="auto" w:fill="FFFFFF"/>
          <w:lang w:val="en-GB"/>
        </w:rPr>
        <w:t>, </w:t>
      </w:r>
      <w:r w:rsidRPr="00AE77D4">
        <w:rPr>
          <w:rFonts w:ascii="Times New Roman" w:hAnsi="Times New Roman" w:cs="Times New Roman"/>
          <w:i/>
          <w:iCs/>
          <w:sz w:val="24"/>
          <w:szCs w:val="24"/>
          <w:shd w:val="clear" w:color="auto" w:fill="FFFFFF"/>
          <w:lang w:val="en-GB"/>
        </w:rPr>
        <w:t>21</w:t>
      </w:r>
      <w:r w:rsidRPr="00AE77D4">
        <w:rPr>
          <w:rFonts w:ascii="Times New Roman" w:hAnsi="Times New Roman" w:cs="Times New Roman"/>
          <w:sz w:val="24"/>
          <w:szCs w:val="24"/>
          <w:shd w:val="clear" w:color="auto" w:fill="FFFFFF"/>
          <w:lang w:val="en-GB"/>
        </w:rPr>
        <w:t>(4), 283-293.</w:t>
      </w:r>
    </w:p>
    <w:p w14:paraId="484EA073"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lang w:val="en-GB" w:bidi="bn-BD"/>
        </w:rPr>
      </w:pPr>
      <w:r w:rsidRPr="00AE77D4">
        <w:rPr>
          <w:rFonts w:ascii="Times New Roman" w:hAnsi="Times New Roman" w:cs="Times New Roman"/>
          <w:sz w:val="24"/>
          <w:szCs w:val="24"/>
          <w:lang w:val="en-GB"/>
        </w:rPr>
        <w:t>Bangladesh Securities and Exchange Commission. (2018). Corporate Governance Code.</w:t>
      </w:r>
      <w:r w:rsidRPr="00AE77D4">
        <w:rPr>
          <w:rFonts w:ascii="Times New Roman" w:hAnsi="Times New Roman" w:cs="Times New Roman"/>
          <w:i/>
          <w:iCs/>
          <w:sz w:val="24"/>
          <w:szCs w:val="24"/>
          <w:lang w:val="en-GB"/>
        </w:rPr>
        <w:t xml:space="preserve"> </w:t>
      </w:r>
      <w:hyperlink r:id="rId11" w:tgtFrame="_blank" w:history="1">
        <w:r w:rsidRPr="00AE77D4">
          <w:rPr>
            <w:rStyle w:val="Hyperlink"/>
            <w:rFonts w:ascii="Times New Roman" w:hAnsi="Times New Roman" w:cs="Times New Roman"/>
            <w:color w:val="auto"/>
            <w:sz w:val="24"/>
            <w:szCs w:val="24"/>
            <w:u w:val="none"/>
            <w:shd w:val="clear" w:color="auto" w:fill="FFFFFF"/>
            <w:lang w:val="en-GB"/>
          </w:rPr>
          <w:t>https://www.sec.gov.bd/slaws/Corporate_Governance_Code_10.06.2018.pdf</w:t>
        </w:r>
      </w:hyperlink>
      <w:r w:rsidRPr="00AE77D4">
        <w:rPr>
          <w:rStyle w:val="Hyperlink"/>
          <w:rFonts w:ascii="Times New Roman" w:hAnsi="Times New Roman" w:cs="Times New Roman"/>
          <w:color w:val="auto"/>
          <w:sz w:val="24"/>
          <w:szCs w:val="24"/>
          <w:u w:val="none"/>
          <w:shd w:val="clear" w:color="auto" w:fill="FFFFFF"/>
          <w:lang w:val="en-GB"/>
        </w:rPr>
        <w:t xml:space="preserve"> </w:t>
      </w:r>
      <w:r w:rsidRPr="00AE77D4">
        <w:rPr>
          <w:rFonts w:ascii="Times New Roman" w:hAnsi="Times New Roman" w:cs="Times New Roman"/>
          <w:sz w:val="24"/>
          <w:szCs w:val="24"/>
          <w:lang w:val="en-GB"/>
        </w:rPr>
        <w:t>(accessed 15 March 2023).</w:t>
      </w:r>
    </w:p>
    <w:p w14:paraId="0B6E2429"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Barako, D. G., &amp; Brown, A. M. (2008). Corporate social reporting and board representation: Evidence from the Kenyan banking sector. </w:t>
      </w:r>
      <w:r w:rsidRPr="00AE77D4">
        <w:rPr>
          <w:rFonts w:ascii="Times New Roman" w:hAnsi="Times New Roman" w:cs="Times New Roman"/>
          <w:i/>
          <w:iCs/>
          <w:sz w:val="24"/>
          <w:szCs w:val="24"/>
          <w:lang w:val="en-GB"/>
        </w:rPr>
        <w:t>Journal of</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Management and Governance</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12</w:t>
      </w:r>
      <w:r w:rsidRPr="00AE77D4">
        <w:rPr>
          <w:rFonts w:ascii="Times New Roman" w:hAnsi="Times New Roman" w:cs="Times New Roman"/>
          <w:sz w:val="24"/>
          <w:szCs w:val="24"/>
          <w:lang w:val="en-GB"/>
        </w:rPr>
        <w:t>(4), 309–324.</w:t>
      </w:r>
    </w:p>
    <w:p w14:paraId="1B6DFE35"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Beekes, W., &amp; Brown, P. (2013). Do better-governed Australian firms make more informative disclosures?. In </w:t>
      </w:r>
      <w:r w:rsidRPr="00AE77D4">
        <w:rPr>
          <w:rFonts w:ascii="Times New Roman" w:hAnsi="Times New Roman" w:cs="Times New Roman"/>
          <w:i/>
          <w:iCs/>
          <w:sz w:val="24"/>
          <w:szCs w:val="24"/>
          <w:lang w:val="en-GB"/>
        </w:rPr>
        <w:t>Financial Accounting and Equity Markets</w:t>
      </w:r>
      <w:r w:rsidRPr="00AE77D4">
        <w:rPr>
          <w:rFonts w:ascii="Times New Roman" w:hAnsi="Times New Roman" w:cs="Times New Roman"/>
          <w:sz w:val="24"/>
          <w:szCs w:val="24"/>
          <w:lang w:val="en-GB"/>
        </w:rPr>
        <w:t> (pp. 233-261). Routledge.</w:t>
      </w:r>
    </w:p>
    <w:p w14:paraId="65BDEB67"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Belal, A. R.,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Cooper, S. (2011). The absence of corporate social responsibility reporting in Bangladesh. </w:t>
      </w:r>
      <w:r w:rsidRPr="00AE77D4">
        <w:rPr>
          <w:rFonts w:ascii="Times New Roman" w:hAnsi="Times New Roman" w:cs="Times New Roman"/>
          <w:i/>
          <w:iCs/>
          <w:noProof/>
          <w:sz w:val="24"/>
          <w:szCs w:val="24"/>
          <w:lang w:val="en-GB"/>
        </w:rPr>
        <w:t>Critical Perspectives on Accounting</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22</w:t>
      </w:r>
      <w:r w:rsidRPr="00AE77D4">
        <w:rPr>
          <w:rFonts w:ascii="Times New Roman" w:hAnsi="Times New Roman" w:cs="Times New Roman"/>
          <w:noProof/>
          <w:sz w:val="24"/>
          <w:szCs w:val="24"/>
          <w:lang w:val="en-GB"/>
        </w:rPr>
        <w:t>(7), 654–667.</w:t>
      </w:r>
    </w:p>
    <w:p w14:paraId="41FCB871"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Boiral, O., Heras-Saizarbitoria, I., &amp; Brotherton, M. C. (2019). Nature connectedness and environmental management in natural resources companies: an exploratory study. </w:t>
      </w:r>
      <w:r w:rsidRPr="00AE77D4">
        <w:rPr>
          <w:rFonts w:ascii="Times New Roman" w:hAnsi="Times New Roman" w:cs="Times New Roman"/>
          <w:i/>
          <w:iCs/>
          <w:sz w:val="24"/>
          <w:szCs w:val="24"/>
          <w:lang w:val="en-GB"/>
        </w:rPr>
        <w:t>Journal of Cleaner Production</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206</w:t>
      </w:r>
      <w:r w:rsidRPr="00AE77D4">
        <w:rPr>
          <w:rFonts w:ascii="Times New Roman" w:hAnsi="Times New Roman" w:cs="Times New Roman"/>
          <w:sz w:val="24"/>
          <w:szCs w:val="24"/>
          <w:lang w:val="en-GB"/>
        </w:rPr>
        <w:t>, 227-237.</w:t>
      </w:r>
    </w:p>
    <w:p w14:paraId="173CA1B8"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Bozec, R. &amp; Bozec, Y. (2012). The use of governance indexes in the governance-performance relationship literature: International evidence. </w:t>
      </w:r>
      <w:r w:rsidRPr="00AE77D4">
        <w:rPr>
          <w:rFonts w:ascii="Times New Roman" w:hAnsi="Times New Roman" w:cs="Times New Roman"/>
          <w:i/>
          <w:sz w:val="24"/>
          <w:szCs w:val="24"/>
          <w:lang w:val="en-GB"/>
        </w:rPr>
        <w:t>Canadian Journal of Administrative Sciences, 29</w:t>
      </w:r>
      <w:r w:rsidRPr="00AE77D4">
        <w:rPr>
          <w:rFonts w:ascii="Times New Roman" w:hAnsi="Times New Roman" w:cs="Times New Roman"/>
          <w:sz w:val="24"/>
          <w:szCs w:val="24"/>
          <w:lang w:val="en-GB"/>
        </w:rPr>
        <w:t>(1), 79–98.</w:t>
      </w:r>
    </w:p>
    <w:p w14:paraId="0C14BB15"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Brammer, S., &amp; Pavelin, S. (2008). Factors influencing the quality of corporate environmental disclosure. </w:t>
      </w:r>
      <w:r w:rsidRPr="00AE77D4">
        <w:rPr>
          <w:rFonts w:ascii="Times New Roman" w:hAnsi="Times New Roman" w:cs="Times New Roman"/>
          <w:i/>
          <w:iCs/>
          <w:sz w:val="24"/>
          <w:szCs w:val="24"/>
          <w:lang w:val="en-GB"/>
        </w:rPr>
        <w:t>Business strategy and the environment</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17</w:t>
      </w:r>
      <w:r w:rsidRPr="00AE77D4">
        <w:rPr>
          <w:rFonts w:ascii="Times New Roman" w:hAnsi="Times New Roman" w:cs="Times New Roman"/>
          <w:sz w:val="24"/>
          <w:szCs w:val="24"/>
          <w:lang w:val="en-GB"/>
        </w:rPr>
        <w:t>(2), 120-136.</w:t>
      </w:r>
    </w:p>
    <w:p w14:paraId="1259C0B1"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Brooks, C., &amp; Oikonomou, I. (2017). The effects of environmental, social and governance disclosures and performance on firm value: A review of the literature in accounting and finance</w:t>
      </w:r>
      <w:r w:rsidRPr="00AE77D4">
        <w:rPr>
          <w:rFonts w:ascii="Times New Roman" w:hAnsi="Times New Roman" w:cs="Times New Roman"/>
          <w:noProof/>
          <w:sz w:val="24"/>
          <w:szCs w:val="24"/>
          <w:lang w:val="en-GB"/>
        </w:rPr>
        <w: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The British Accounting Review</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50</w:t>
      </w:r>
      <w:r w:rsidRPr="00AE77D4">
        <w:rPr>
          <w:rFonts w:ascii="Times New Roman" w:hAnsi="Times New Roman" w:cs="Times New Roman"/>
          <w:sz w:val="24"/>
          <w:szCs w:val="24"/>
          <w:lang w:val="en-GB"/>
        </w:rPr>
        <w:t>(1), 1–15.</w:t>
      </w:r>
    </w:p>
    <w:p w14:paraId="1841F249"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Bui, B., Houqe, M. N., &amp; Zaman, M. (2020). Climate governance effects on carbon disclosure and performance. </w:t>
      </w:r>
      <w:r w:rsidRPr="00AE77D4">
        <w:rPr>
          <w:rFonts w:ascii="Times New Roman" w:hAnsi="Times New Roman" w:cs="Times New Roman"/>
          <w:i/>
          <w:iCs/>
          <w:sz w:val="24"/>
          <w:szCs w:val="24"/>
          <w:lang w:val="en-GB"/>
        </w:rPr>
        <w:t>The British Accounting Review</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52</w:t>
      </w:r>
      <w:r w:rsidRPr="00AE77D4">
        <w:rPr>
          <w:rFonts w:ascii="Times New Roman" w:hAnsi="Times New Roman" w:cs="Times New Roman"/>
          <w:sz w:val="24"/>
          <w:szCs w:val="24"/>
          <w:lang w:val="en-GB"/>
        </w:rPr>
        <w:t>(2), 100880.</w:t>
      </w:r>
    </w:p>
    <w:p w14:paraId="34F8A5E6"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Carter, D. A., Simkins, B. J., &amp; Simpson, W. G. (2003). Corporate governance, board diversity, and firm value. </w:t>
      </w:r>
      <w:r w:rsidRPr="00AE77D4">
        <w:rPr>
          <w:rFonts w:ascii="Times New Roman" w:hAnsi="Times New Roman" w:cs="Times New Roman"/>
          <w:i/>
          <w:sz w:val="24"/>
          <w:szCs w:val="24"/>
          <w:lang w:val="en-GB"/>
        </w:rPr>
        <w:t>Financial Review, 38</w:t>
      </w:r>
      <w:r w:rsidRPr="00AE77D4">
        <w:rPr>
          <w:rFonts w:ascii="Times New Roman" w:hAnsi="Times New Roman" w:cs="Times New Roman"/>
          <w:sz w:val="24"/>
          <w:szCs w:val="24"/>
          <w:lang w:val="en-GB"/>
        </w:rPr>
        <w:t>, 33–53.</w:t>
      </w:r>
    </w:p>
    <w:p w14:paraId="4201380E"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Chen, J. C., &amp; Roberts, R. W. (2010). Toward a more coherent understanding of the organization–society relationship: A theoretical consideration for social and environmental accounting research. </w:t>
      </w:r>
      <w:r w:rsidRPr="00AE77D4">
        <w:rPr>
          <w:rFonts w:ascii="Times New Roman" w:hAnsi="Times New Roman" w:cs="Times New Roman"/>
          <w:i/>
          <w:iCs/>
          <w:sz w:val="24"/>
          <w:szCs w:val="24"/>
          <w:lang w:val="en-GB"/>
        </w:rPr>
        <w:t>Journal of business ethics</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97</w:t>
      </w:r>
      <w:r w:rsidRPr="00AE77D4">
        <w:rPr>
          <w:rFonts w:ascii="Times New Roman" w:hAnsi="Times New Roman" w:cs="Times New Roman"/>
          <w:sz w:val="24"/>
          <w:szCs w:val="24"/>
          <w:lang w:val="en-GB"/>
        </w:rPr>
        <w:t>, 651-665.</w:t>
      </w:r>
    </w:p>
    <w:p w14:paraId="273C2A44" w14:textId="77777777" w:rsidR="007F0276" w:rsidRPr="00AE77D4" w:rsidRDefault="00661A05" w:rsidP="00AE77D4">
      <w:pPr>
        <w:tabs>
          <w:tab w:val="left" w:pos="567"/>
        </w:tabs>
        <w:autoSpaceDE w:val="0"/>
        <w:autoSpaceDN w:val="0"/>
        <w:adjustRightInd w:val="0"/>
        <w:spacing w:after="0" w:line="276" w:lineRule="auto"/>
        <w:ind w:left="709" w:hanging="709"/>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Cho, D. S., &amp; Kim, J. (2003). Determinants in introduction of outside directors in Korean companies. </w:t>
      </w:r>
      <w:r w:rsidRPr="00AE77D4">
        <w:rPr>
          <w:rFonts w:ascii="Times New Roman" w:hAnsi="Times New Roman" w:cs="Times New Roman"/>
          <w:i/>
          <w:iCs/>
          <w:sz w:val="24"/>
          <w:szCs w:val="24"/>
          <w:lang w:val="en-GB"/>
        </w:rPr>
        <w:t>Journal of International and Area Studies</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10</w:t>
      </w:r>
      <w:r w:rsidRPr="00AE77D4">
        <w:rPr>
          <w:rFonts w:ascii="Times New Roman" w:hAnsi="Times New Roman" w:cs="Times New Roman"/>
          <w:sz w:val="24"/>
          <w:szCs w:val="24"/>
          <w:lang w:val="en-GB"/>
        </w:rPr>
        <w:t>(1), 1-20.</w:t>
      </w:r>
    </w:p>
    <w:p w14:paraId="4A2E3397" w14:textId="77777777" w:rsidR="007F0276" w:rsidRPr="00AE77D4" w:rsidRDefault="00661A05" w:rsidP="00AE77D4">
      <w:pPr>
        <w:tabs>
          <w:tab w:val="left" w:pos="567"/>
        </w:tabs>
        <w:autoSpaceDE w:val="0"/>
        <w:autoSpaceDN w:val="0"/>
        <w:adjustRightInd w:val="0"/>
        <w:spacing w:after="0" w:line="276" w:lineRule="auto"/>
        <w:ind w:left="709" w:hanging="709"/>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Choi, B., &amp; Luo, L. (2021). Does the market value greenhouse gas emissions? Evidence from multi-country firm data. </w:t>
      </w:r>
      <w:r w:rsidRPr="00AE77D4">
        <w:rPr>
          <w:rFonts w:ascii="Times New Roman" w:hAnsi="Times New Roman" w:cs="Times New Roman"/>
          <w:i/>
          <w:iCs/>
          <w:sz w:val="24"/>
          <w:szCs w:val="24"/>
          <w:lang w:val="en-GB"/>
        </w:rPr>
        <w:t>The British Accounting Review</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53</w:t>
      </w:r>
      <w:r w:rsidRPr="00AE77D4">
        <w:rPr>
          <w:rFonts w:ascii="Times New Roman" w:hAnsi="Times New Roman" w:cs="Times New Roman"/>
          <w:sz w:val="24"/>
          <w:szCs w:val="24"/>
          <w:lang w:val="en-GB"/>
        </w:rPr>
        <w:t>(1), 100909.</w:t>
      </w:r>
    </w:p>
    <w:p w14:paraId="697E0D3B"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Clarkson, P. M, Li, Y., Richardson, G. D., &amp; Vasvari, F. P. (2008). Revisiting the relation between environmental performance and environmental disclosure: An empirical analysis. </w:t>
      </w:r>
      <w:r w:rsidRPr="00AE77D4">
        <w:rPr>
          <w:rFonts w:ascii="Times New Roman" w:hAnsi="Times New Roman" w:cs="Times New Roman"/>
          <w:i/>
          <w:iCs/>
          <w:sz w:val="24"/>
          <w:szCs w:val="24"/>
          <w:lang w:val="en-GB"/>
        </w:rPr>
        <w:t>Accounting, Organisations and Society</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33(4-5)</w:t>
      </w:r>
      <w:r w:rsidRPr="00AE77D4">
        <w:rPr>
          <w:rFonts w:ascii="Times New Roman" w:hAnsi="Times New Roman" w:cs="Times New Roman"/>
          <w:sz w:val="24"/>
          <w:szCs w:val="24"/>
          <w:lang w:val="en-GB"/>
        </w:rPr>
        <w:t>, 303-327.</w:t>
      </w:r>
    </w:p>
    <w:p w14:paraId="23CE876C"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lastRenderedPageBreak/>
        <w:t>Collett, P., &amp; Hrasky, S. (2005). Voluntary disclosure of corporate governance practices by listed Australian companies. </w:t>
      </w:r>
      <w:r w:rsidRPr="00AE77D4">
        <w:rPr>
          <w:rFonts w:ascii="Times New Roman" w:hAnsi="Times New Roman" w:cs="Times New Roman"/>
          <w:i/>
          <w:iCs/>
          <w:sz w:val="24"/>
          <w:szCs w:val="24"/>
          <w:lang w:val="en-GB"/>
        </w:rPr>
        <w:t>Corporate Governance: An International Review</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13</w:t>
      </w:r>
      <w:r w:rsidRPr="00AE77D4">
        <w:rPr>
          <w:rFonts w:ascii="Times New Roman" w:hAnsi="Times New Roman" w:cs="Times New Roman"/>
          <w:sz w:val="24"/>
          <w:szCs w:val="24"/>
          <w:lang w:val="en-GB"/>
        </w:rPr>
        <w:t>(2), 188-196.</w:t>
      </w:r>
    </w:p>
    <w:p w14:paraId="452DFECB"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Cucari, N., Esposito De Falco, S., &amp; Orlando, B. (2018). Diversity of board of directors and environmental social governance: Evidence from Italian listed companies. </w:t>
      </w:r>
      <w:r w:rsidRPr="00AE77D4">
        <w:rPr>
          <w:rFonts w:ascii="Times New Roman" w:hAnsi="Times New Roman" w:cs="Times New Roman"/>
          <w:i/>
          <w:iCs/>
          <w:sz w:val="24"/>
          <w:szCs w:val="24"/>
          <w:lang w:val="en-GB"/>
        </w:rPr>
        <w:t>Corporate Social Responsibility and Environmental Management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25</w:t>
      </w:r>
      <w:r w:rsidRPr="00AE77D4">
        <w:rPr>
          <w:rFonts w:ascii="Times New Roman" w:hAnsi="Times New Roman" w:cs="Times New Roman"/>
          <w:sz w:val="24"/>
          <w:szCs w:val="24"/>
          <w:lang w:val="en-GB"/>
        </w:rPr>
        <w:t>(3), 250–266.</w:t>
      </w:r>
    </w:p>
    <w:p w14:paraId="1094934E"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Cui, X., Peng, X. Jia, J., &amp; Wu, D. (2020). Does board independence affect environmental disclosures by multinational corporations? Moderating effects of national culture. </w:t>
      </w:r>
      <w:r w:rsidRPr="00AE77D4">
        <w:rPr>
          <w:rFonts w:ascii="Times New Roman" w:hAnsi="Times New Roman" w:cs="Times New Roman"/>
          <w:i/>
          <w:sz w:val="24"/>
          <w:szCs w:val="24"/>
          <w:lang w:val="en-GB"/>
        </w:rPr>
        <w:t>Applied Economics</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52</w:t>
      </w:r>
      <w:r w:rsidRPr="00AE77D4">
        <w:rPr>
          <w:rFonts w:ascii="Times New Roman" w:hAnsi="Times New Roman" w:cs="Times New Roman"/>
          <w:sz w:val="24"/>
          <w:szCs w:val="24"/>
          <w:lang w:val="en-GB"/>
        </w:rPr>
        <w:t>(52), 5687-5705.</w:t>
      </w:r>
    </w:p>
    <w:p w14:paraId="2EE3DDD8"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Dalton, C. M., &amp; Dalton, D. R. (2005). Boards of directors: Utilising empirical evidence in developing practical prescriptions. </w:t>
      </w:r>
      <w:r w:rsidRPr="00AE77D4">
        <w:rPr>
          <w:rFonts w:ascii="Times New Roman" w:hAnsi="Times New Roman" w:cs="Times New Roman"/>
          <w:i/>
          <w:sz w:val="24"/>
          <w:szCs w:val="24"/>
          <w:lang w:val="en-GB"/>
        </w:rPr>
        <w:t>British Journal of Management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16</w:t>
      </w:r>
      <w:r w:rsidRPr="00AE77D4">
        <w:rPr>
          <w:rFonts w:ascii="Times New Roman" w:hAnsi="Times New Roman" w:cs="Times New Roman"/>
          <w:sz w:val="24"/>
          <w:szCs w:val="24"/>
          <w:lang w:val="en-GB"/>
        </w:rPr>
        <w:t>(1), 91-97.</w:t>
      </w:r>
    </w:p>
    <w:p w14:paraId="76C27E62"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Datt, R. R., Luo, L.,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Tang, Q. (2019). The Impact of Legitimacy Threat on the Choice of External Carbon Assurance: Evidence from the United States. </w:t>
      </w:r>
      <w:r w:rsidRPr="00AE77D4">
        <w:rPr>
          <w:rFonts w:ascii="Times New Roman" w:hAnsi="Times New Roman" w:cs="Times New Roman"/>
          <w:i/>
          <w:iCs/>
          <w:noProof/>
          <w:sz w:val="24"/>
          <w:szCs w:val="24"/>
          <w:lang w:val="en-GB"/>
        </w:rPr>
        <w:t>Accounting Research Journal</w:t>
      </w:r>
      <w:r w:rsidRPr="00AE77D4">
        <w:rPr>
          <w:rFonts w:ascii="Times New Roman" w:hAnsi="Times New Roman" w:cs="Times New Roman"/>
          <w:noProof/>
          <w:sz w:val="24"/>
          <w:szCs w:val="24"/>
          <w:lang w:val="en-GB"/>
        </w:rPr>
        <w:t xml:space="preserve">, Vol. </w:t>
      </w:r>
      <w:r w:rsidRPr="00AE77D4">
        <w:rPr>
          <w:rFonts w:ascii="Times New Roman" w:hAnsi="Times New Roman" w:cs="Times New Roman"/>
          <w:i/>
          <w:iCs/>
          <w:noProof/>
          <w:sz w:val="24"/>
          <w:szCs w:val="24"/>
          <w:lang w:val="en-GB"/>
        </w:rPr>
        <w:t>32</w:t>
      </w:r>
      <w:r w:rsidRPr="00AE77D4">
        <w:rPr>
          <w:rFonts w:ascii="Times New Roman" w:hAnsi="Times New Roman" w:cs="Times New Roman"/>
          <w:noProof/>
          <w:sz w:val="24"/>
          <w:szCs w:val="24"/>
          <w:lang w:val="en-GB"/>
        </w:rPr>
        <w:t>(2), 181–202.</w:t>
      </w:r>
    </w:p>
    <w:p w14:paraId="1E776A6B"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Devinney, T. M. (2009). Is the socially responsible corporation a myth? The good, the bad, and the ugly of corporate social responsibility. </w:t>
      </w:r>
      <w:r w:rsidRPr="00AE77D4">
        <w:rPr>
          <w:rFonts w:ascii="Times New Roman" w:hAnsi="Times New Roman" w:cs="Times New Roman"/>
          <w:i/>
          <w:iCs/>
          <w:noProof/>
          <w:sz w:val="24"/>
          <w:szCs w:val="24"/>
          <w:lang w:val="en-GB"/>
        </w:rPr>
        <w:t>Academy of management perspectives</w:t>
      </w:r>
      <w:r w:rsidRPr="00AE77D4">
        <w:rPr>
          <w:rFonts w:ascii="Times New Roman" w:hAnsi="Times New Roman" w:cs="Times New Roman"/>
          <w:noProof/>
          <w:sz w:val="24"/>
          <w:szCs w:val="24"/>
          <w:lang w:val="en-GB"/>
        </w:rPr>
        <w:t>, </w:t>
      </w:r>
      <w:r w:rsidRPr="00AE77D4">
        <w:rPr>
          <w:rFonts w:ascii="Times New Roman" w:hAnsi="Times New Roman" w:cs="Times New Roman"/>
          <w:i/>
          <w:iCs/>
          <w:noProof/>
          <w:sz w:val="24"/>
          <w:szCs w:val="24"/>
          <w:lang w:val="en-GB"/>
        </w:rPr>
        <w:t>23</w:t>
      </w:r>
      <w:r w:rsidRPr="00AE77D4">
        <w:rPr>
          <w:rFonts w:ascii="Times New Roman" w:hAnsi="Times New Roman" w:cs="Times New Roman"/>
          <w:noProof/>
          <w:sz w:val="24"/>
          <w:szCs w:val="24"/>
          <w:lang w:val="en-GB"/>
        </w:rPr>
        <w:t>(2), 44-56.</w:t>
      </w:r>
    </w:p>
    <w:p w14:paraId="663A453D" w14:textId="77777777" w:rsidR="007F0276" w:rsidRPr="00AE77D4" w:rsidRDefault="00661A05" w:rsidP="00AE77D4">
      <w:pPr>
        <w:autoSpaceDE w:val="0"/>
        <w:autoSpaceDN w:val="0"/>
        <w:adjustRightInd w:val="0"/>
        <w:spacing w:after="0" w:line="276" w:lineRule="auto"/>
        <w:jc w:val="both"/>
        <w:rPr>
          <w:rFonts w:ascii="Times New Roman" w:hAnsi="Times New Roman" w:cs="Times New Roman"/>
          <w:sz w:val="24"/>
          <w:szCs w:val="24"/>
          <w:lang w:val="en-GB" w:bidi="bn-BD"/>
        </w:rPr>
      </w:pPr>
      <w:r w:rsidRPr="00AE77D4">
        <w:rPr>
          <w:rFonts w:ascii="Times New Roman" w:hAnsi="Times New Roman" w:cs="Times New Roman"/>
          <w:sz w:val="24"/>
          <w:szCs w:val="24"/>
          <w:lang w:val="en-GB" w:bidi="bn-BD"/>
        </w:rPr>
        <w:t xml:space="preserve">DiMaggio, P. J., </w:t>
      </w:r>
      <w:r w:rsidRPr="00AE77D4">
        <w:rPr>
          <w:rFonts w:ascii="Times New Roman" w:hAnsi="Times New Roman" w:cs="Times New Roman"/>
          <w:sz w:val="24"/>
          <w:szCs w:val="24"/>
          <w:lang w:val="en-GB"/>
        </w:rPr>
        <w:t xml:space="preserve">&amp; </w:t>
      </w:r>
      <w:r w:rsidRPr="00AE77D4">
        <w:rPr>
          <w:rFonts w:ascii="Times New Roman" w:hAnsi="Times New Roman" w:cs="Times New Roman"/>
          <w:sz w:val="24"/>
          <w:szCs w:val="24"/>
          <w:lang w:val="en-GB" w:bidi="bn-BD"/>
        </w:rPr>
        <w:t xml:space="preserve">Powell, W. W. (1983). The iron cage revisited: Collective rationality and institutional isomorphism in organisational fields. </w:t>
      </w:r>
      <w:r w:rsidRPr="00AE77D4">
        <w:rPr>
          <w:rFonts w:ascii="Times New Roman" w:hAnsi="Times New Roman" w:cs="Times New Roman"/>
          <w:i/>
          <w:iCs/>
          <w:sz w:val="24"/>
          <w:szCs w:val="24"/>
          <w:lang w:val="en-GB" w:bidi="bn-BD"/>
        </w:rPr>
        <w:t>American</w:t>
      </w:r>
      <w:r w:rsidRPr="00AE77D4">
        <w:rPr>
          <w:rFonts w:ascii="Times New Roman" w:hAnsi="Times New Roman" w:cs="Times New Roman"/>
          <w:sz w:val="24"/>
          <w:szCs w:val="24"/>
          <w:lang w:val="en-GB" w:bidi="bn-BD"/>
        </w:rPr>
        <w:t xml:space="preserve"> </w:t>
      </w:r>
      <w:r w:rsidRPr="00AE77D4">
        <w:rPr>
          <w:rFonts w:ascii="Times New Roman" w:hAnsi="Times New Roman" w:cs="Times New Roman"/>
          <w:i/>
          <w:iCs/>
          <w:sz w:val="24"/>
          <w:szCs w:val="24"/>
          <w:lang w:val="en-GB" w:bidi="bn-BD"/>
        </w:rPr>
        <w:t>Sociological Review</w:t>
      </w:r>
      <w:r w:rsidRPr="00AE77D4">
        <w:rPr>
          <w:rFonts w:ascii="Times New Roman" w:hAnsi="Times New Roman" w:cs="Times New Roman"/>
          <w:sz w:val="24"/>
          <w:szCs w:val="24"/>
          <w:lang w:val="en-GB" w:bidi="bn-BD"/>
        </w:rPr>
        <w:t xml:space="preserve">, </w:t>
      </w:r>
      <w:r w:rsidRPr="00AE77D4">
        <w:rPr>
          <w:rFonts w:ascii="Times New Roman" w:hAnsi="Times New Roman" w:cs="Times New Roman"/>
          <w:i/>
          <w:iCs/>
          <w:sz w:val="24"/>
          <w:szCs w:val="24"/>
          <w:lang w:val="en-GB" w:bidi="bn-BD"/>
        </w:rPr>
        <w:t>48</w:t>
      </w:r>
      <w:r w:rsidRPr="00AE77D4">
        <w:rPr>
          <w:rFonts w:ascii="Times New Roman" w:hAnsi="Times New Roman" w:cs="Times New Roman"/>
          <w:sz w:val="24"/>
          <w:szCs w:val="24"/>
          <w:lang w:val="en-GB" w:bidi="bn-BD"/>
        </w:rPr>
        <w:t>(2), 147–160.</w:t>
      </w:r>
    </w:p>
    <w:p w14:paraId="647F221B"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Donaldson, T., &amp; Preston, L. E. (1995). The stakeholder theory of the corporation: Concepts, evidence, and implications. </w:t>
      </w:r>
      <w:r w:rsidRPr="00AE77D4">
        <w:rPr>
          <w:rFonts w:ascii="Times New Roman" w:hAnsi="Times New Roman" w:cs="Times New Roman"/>
          <w:i/>
          <w:iCs/>
          <w:noProof/>
          <w:sz w:val="24"/>
          <w:szCs w:val="24"/>
          <w:lang w:val="en-GB"/>
        </w:rPr>
        <w:t>Academy of management Review</w:t>
      </w:r>
      <w:r w:rsidRPr="00AE77D4">
        <w:rPr>
          <w:rFonts w:ascii="Times New Roman" w:hAnsi="Times New Roman" w:cs="Times New Roman"/>
          <w:noProof/>
          <w:sz w:val="24"/>
          <w:szCs w:val="24"/>
          <w:lang w:val="en-GB"/>
        </w:rPr>
        <w:t>, </w:t>
      </w:r>
      <w:r w:rsidRPr="00AE77D4">
        <w:rPr>
          <w:rFonts w:ascii="Times New Roman" w:hAnsi="Times New Roman" w:cs="Times New Roman"/>
          <w:i/>
          <w:iCs/>
          <w:noProof/>
          <w:sz w:val="24"/>
          <w:szCs w:val="24"/>
          <w:lang w:val="en-GB"/>
        </w:rPr>
        <w:t>20</w:t>
      </w:r>
      <w:r w:rsidRPr="00AE77D4">
        <w:rPr>
          <w:rFonts w:ascii="Times New Roman" w:hAnsi="Times New Roman" w:cs="Times New Roman"/>
          <w:noProof/>
          <w:sz w:val="24"/>
          <w:szCs w:val="24"/>
          <w:lang w:val="en-GB"/>
        </w:rPr>
        <w:t>(1), 65-91.</w:t>
      </w:r>
    </w:p>
    <w:p w14:paraId="7C4C43B1"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Elfeky, M. I.,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Nasiri, A. (2017). The Determinants of Voluntary Disclosure in Emerging Markets : The Case of Egypt. </w:t>
      </w:r>
      <w:r w:rsidRPr="00AE77D4">
        <w:rPr>
          <w:rFonts w:ascii="Times New Roman" w:hAnsi="Times New Roman" w:cs="Times New Roman"/>
          <w:i/>
          <w:iCs/>
          <w:noProof/>
          <w:sz w:val="24"/>
          <w:szCs w:val="24"/>
          <w:lang w:val="en-GB"/>
        </w:rPr>
        <w:t>Journal of Poverty, Investment and Development</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36</w:t>
      </w:r>
      <w:r w:rsidRPr="00AE77D4">
        <w:rPr>
          <w:rFonts w:ascii="Times New Roman" w:hAnsi="Times New Roman" w:cs="Times New Roman"/>
          <w:iCs/>
          <w:noProof/>
          <w:sz w:val="24"/>
          <w:szCs w:val="24"/>
          <w:lang w:val="en-GB"/>
        </w:rPr>
        <w:t>(7)</w:t>
      </w:r>
      <w:r w:rsidRPr="00AE77D4">
        <w:rPr>
          <w:rFonts w:ascii="Times New Roman" w:hAnsi="Times New Roman" w:cs="Times New Roman"/>
          <w:noProof/>
          <w:sz w:val="24"/>
          <w:szCs w:val="24"/>
          <w:lang w:val="en-GB"/>
        </w:rPr>
        <w:t>, 1–12.</w:t>
      </w:r>
    </w:p>
    <w:p w14:paraId="14CDCDFF"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Elmagrhi, M. H., Ntim, C. G., Elamer, A. A., &amp; Zhang, Q. (2019). A study of environmental policies and regulations, governance structures and environmental performance: The role of female directors.</w:t>
      </w:r>
      <w:r w:rsidRPr="00AE77D4">
        <w:rPr>
          <w:rFonts w:ascii="Times New Roman" w:hAnsi="Times New Roman" w:cs="Times New Roman"/>
          <w:i/>
          <w:iCs/>
          <w:sz w:val="24"/>
          <w:szCs w:val="24"/>
          <w:lang w:val="en-GB"/>
        </w:rPr>
        <w:t xml:space="preserve"> Business Strategy and the Environment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28</w:t>
      </w:r>
      <w:r w:rsidRPr="00AE77D4">
        <w:rPr>
          <w:rFonts w:ascii="Times New Roman" w:hAnsi="Times New Roman" w:cs="Times New Roman"/>
          <w:sz w:val="24"/>
          <w:szCs w:val="24"/>
          <w:lang w:val="en-GB"/>
        </w:rPr>
        <w:t>(1), 206–220.</w:t>
      </w:r>
    </w:p>
    <w:p w14:paraId="36646A4E"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Eng, L. L., &amp; Mak, Y. T. (2003). Corporate governance and voluntary disclosure. </w:t>
      </w:r>
      <w:r w:rsidRPr="00AE77D4">
        <w:rPr>
          <w:rFonts w:ascii="Times New Roman" w:hAnsi="Times New Roman" w:cs="Times New Roman"/>
          <w:i/>
          <w:iCs/>
          <w:noProof/>
          <w:sz w:val="24"/>
          <w:szCs w:val="24"/>
          <w:lang w:val="en-GB"/>
        </w:rPr>
        <w:t>Journal of accounting and public policy</w:t>
      </w:r>
      <w:r w:rsidRPr="00AE77D4">
        <w:rPr>
          <w:rFonts w:ascii="Times New Roman" w:hAnsi="Times New Roman" w:cs="Times New Roman"/>
          <w:noProof/>
          <w:sz w:val="24"/>
          <w:szCs w:val="24"/>
          <w:lang w:val="en-GB"/>
        </w:rPr>
        <w:t>, </w:t>
      </w:r>
      <w:r w:rsidRPr="00AE77D4">
        <w:rPr>
          <w:rFonts w:ascii="Times New Roman" w:hAnsi="Times New Roman" w:cs="Times New Roman"/>
          <w:i/>
          <w:iCs/>
          <w:noProof/>
          <w:sz w:val="24"/>
          <w:szCs w:val="24"/>
          <w:lang w:val="en-GB"/>
        </w:rPr>
        <w:t>22</w:t>
      </w:r>
      <w:r w:rsidRPr="00AE77D4">
        <w:rPr>
          <w:rFonts w:ascii="Times New Roman" w:hAnsi="Times New Roman" w:cs="Times New Roman"/>
          <w:noProof/>
          <w:sz w:val="24"/>
          <w:szCs w:val="24"/>
          <w:lang w:val="en-GB"/>
        </w:rPr>
        <w:t>(4), 325-345.</w:t>
      </w:r>
    </w:p>
    <w:p w14:paraId="454F14CB"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Estelyi, K. S., &amp; Nisar, T. M. (2016). Diverse boards: Why do firms get foreign nationals on their boards? </w:t>
      </w:r>
      <w:r w:rsidRPr="00AE77D4">
        <w:rPr>
          <w:rFonts w:ascii="Times New Roman" w:hAnsi="Times New Roman" w:cs="Times New Roman"/>
          <w:i/>
          <w:sz w:val="24"/>
          <w:szCs w:val="24"/>
          <w:lang w:val="en-GB"/>
        </w:rPr>
        <w:t>Journal of Corporate Finance</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39</w:t>
      </w:r>
      <w:r w:rsidRPr="00AE77D4">
        <w:rPr>
          <w:rFonts w:ascii="Times New Roman" w:hAnsi="Times New Roman" w:cs="Times New Roman"/>
          <w:sz w:val="24"/>
          <w:szCs w:val="24"/>
          <w:lang w:val="en-GB"/>
        </w:rPr>
        <w:t>, 174–192.</w:t>
      </w:r>
    </w:p>
    <w:p w14:paraId="05DD7D27"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Fernandes, S. M., Bornia, A. C., &amp; Nakamura, L. R. (2019). The influence of boards of directors on environmental disclosure. </w:t>
      </w:r>
      <w:r w:rsidRPr="00AE77D4">
        <w:rPr>
          <w:rFonts w:ascii="Times New Roman" w:hAnsi="Times New Roman" w:cs="Times New Roman"/>
          <w:i/>
          <w:iCs/>
          <w:sz w:val="24"/>
          <w:szCs w:val="24"/>
          <w:lang w:val="en-GB"/>
        </w:rPr>
        <w:t>Management Decision</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57</w:t>
      </w:r>
      <w:r w:rsidRPr="00AE77D4">
        <w:rPr>
          <w:rFonts w:ascii="Times New Roman" w:hAnsi="Times New Roman" w:cs="Times New Roman"/>
          <w:sz w:val="24"/>
          <w:szCs w:val="24"/>
          <w:lang w:val="en-GB"/>
        </w:rPr>
        <w:t>(9), 2358–2382.</w:t>
      </w:r>
    </w:p>
    <w:p w14:paraId="1D16E6A2"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Fifka, M. S. (2013). Corporate responsibility reporting and its determinants in comparative perspective–a review of the empirical literature and a meta‐analysis. </w:t>
      </w:r>
      <w:r w:rsidRPr="00AE77D4">
        <w:rPr>
          <w:rFonts w:ascii="Times New Roman" w:hAnsi="Times New Roman" w:cs="Times New Roman"/>
          <w:i/>
          <w:iCs/>
          <w:sz w:val="24"/>
          <w:szCs w:val="24"/>
          <w:lang w:val="en-GB"/>
        </w:rPr>
        <w:t>Business strategy and the environment</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22</w:t>
      </w:r>
      <w:r w:rsidRPr="00AE77D4">
        <w:rPr>
          <w:rFonts w:ascii="Times New Roman" w:hAnsi="Times New Roman" w:cs="Times New Roman"/>
          <w:sz w:val="24"/>
          <w:szCs w:val="24"/>
          <w:lang w:val="en-GB"/>
        </w:rPr>
        <w:t>(1), 1-35.</w:t>
      </w:r>
    </w:p>
    <w:p w14:paraId="129AA7CD"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FRC (2018). The UK corporate governance code. </w:t>
      </w:r>
      <w:r w:rsidRPr="00AE77D4">
        <w:rPr>
          <w:rFonts w:ascii="Times New Roman" w:hAnsi="Times New Roman" w:cs="Times New Roman"/>
          <w:i/>
          <w:iCs/>
          <w:sz w:val="24"/>
          <w:szCs w:val="24"/>
          <w:lang w:val="en-GB"/>
        </w:rPr>
        <w:t>London, September</w:t>
      </w:r>
      <w:r w:rsidRPr="00AE77D4">
        <w:rPr>
          <w:rFonts w:ascii="Times New Roman" w:hAnsi="Times New Roman" w:cs="Times New Roman"/>
          <w:sz w:val="24"/>
          <w:szCs w:val="24"/>
          <w:lang w:val="en-GB"/>
        </w:rPr>
        <w:t>.</w:t>
      </w:r>
    </w:p>
    <w:p w14:paraId="522419DF"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Frias-Aceituno, J. V., Rodriguez-Ariza, L., &amp; Garcia-Sanchez, I. M. (2013). The Role of the Board in the Dissemination of Integrated Corporate Social Reporting. </w:t>
      </w:r>
      <w:r w:rsidRPr="00AE77D4">
        <w:rPr>
          <w:rFonts w:ascii="Times New Roman" w:hAnsi="Times New Roman" w:cs="Times New Roman"/>
          <w:i/>
          <w:sz w:val="24"/>
          <w:szCs w:val="24"/>
          <w:lang w:val="en-GB"/>
        </w:rPr>
        <w:t>Corporate Social Responsibility and Environmental Management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20</w:t>
      </w:r>
      <w:r w:rsidRPr="00AE77D4">
        <w:rPr>
          <w:rFonts w:ascii="Times New Roman" w:hAnsi="Times New Roman" w:cs="Times New Roman"/>
          <w:sz w:val="24"/>
          <w:szCs w:val="24"/>
          <w:lang w:val="en-GB"/>
        </w:rPr>
        <w:t>(4), 219–233.</w:t>
      </w:r>
    </w:p>
    <w:p w14:paraId="4E0154E8"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Gaganis, C., Papadimitri, P., Pasiouras, F., &amp; Ventouri, A. (2021). Informal Institutions and Corporate Reputational Exposure: The Role of Public Environmental Perceptions. </w:t>
      </w:r>
      <w:r w:rsidRPr="00AE77D4">
        <w:rPr>
          <w:rFonts w:ascii="Times New Roman" w:hAnsi="Times New Roman" w:cs="Times New Roman"/>
          <w:i/>
          <w:iCs/>
          <w:sz w:val="24"/>
          <w:szCs w:val="24"/>
          <w:lang w:val="en-GB"/>
        </w:rPr>
        <w:t>British Journal of Management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32</w:t>
      </w:r>
      <w:r w:rsidRPr="00AE77D4">
        <w:rPr>
          <w:rFonts w:ascii="Times New Roman" w:hAnsi="Times New Roman" w:cs="Times New Roman"/>
          <w:sz w:val="24"/>
          <w:szCs w:val="24"/>
          <w:lang w:val="en-GB"/>
        </w:rPr>
        <w:t>(4), 1027–1061.</w:t>
      </w:r>
    </w:p>
    <w:p w14:paraId="24231A68"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lastRenderedPageBreak/>
        <w:t xml:space="preserve">García-Martín, C. J., &amp; Herrero, B. (2020). Do board characteristics affect environmental performance? A study of EU firms. </w:t>
      </w:r>
      <w:r w:rsidRPr="00AE77D4">
        <w:rPr>
          <w:rFonts w:ascii="Times New Roman" w:hAnsi="Times New Roman" w:cs="Times New Roman"/>
          <w:i/>
          <w:iCs/>
          <w:sz w:val="24"/>
          <w:szCs w:val="24"/>
          <w:lang w:val="en-GB"/>
        </w:rPr>
        <w:t>Corporate Social Responsibility and Environmental Management,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27</w:t>
      </w:r>
      <w:r w:rsidRPr="00AE77D4">
        <w:rPr>
          <w:rFonts w:ascii="Times New Roman" w:hAnsi="Times New Roman" w:cs="Times New Roman"/>
          <w:sz w:val="24"/>
          <w:szCs w:val="24"/>
          <w:lang w:val="en-GB"/>
        </w:rPr>
        <w:t>(1), 74–94.</w:t>
      </w:r>
    </w:p>
    <w:p w14:paraId="71B8BE40"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shd w:val="clear" w:color="auto" w:fill="FFFFFF"/>
          <w:lang w:val="en-GB"/>
        </w:rPr>
        <w:t>García</w:t>
      </w:r>
      <w:r w:rsidRPr="00AE77D4">
        <w:rPr>
          <w:rFonts w:ascii="Cambria Math" w:hAnsi="Cambria Math" w:cs="Cambria Math"/>
          <w:sz w:val="24"/>
          <w:szCs w:val="24"/>
          <w:shd w:val="clear" w:color="auto" w:fill="FFFFFF"/>
          <w:lang w:val="en-GB"/>
        </w:rPr>
        <w:t>‐</w:t>
      </w:r>
      <w:r w:rsidRPr="00AE77D4">
        <w:rPr>
          <w:rFonts w:ascii="Times New Roman" w:hAnsi="Times New Roman" w:cs="Times New Roman"/>
          <w:sz w:val="24"/>
          <w:szCs w:val="24"/>
          <w:shd w:val="clear" w:color="auto" w:fill="FFFFFF"/>
          <w:lang w:val="en-GB"/>
        </w:rPr>
        <w:t>Sánchez, I. M., &amp; Martínez</w:t>
      </w:r>
      <w:r w:rsidRPr="00AE77D4">
        <w:rPr>
          <w:rFonts w:ascii="Cambria Math" w:hAnsi="Cambria Math" w:cs="Cambria Math"/>
          <w:sz w:val="24"/>
          <w:szCs w:val="24"/>
          <w:shd w:val="clear" w:color="auto" w:fill="FFFFFF"/>
          <w:lang w:val="en-GB"/>
        </w:rPr>
        <w:t>‐</w:t>
      </w:r>
      <w:r w:rsidRPr="00AE77D4">
        <w:rPr>
          <w:rFonts w:ascii="Times New Roman" w:hAnsi="Times New Roman" w:cs="Times New Roman"/>
          <w:sz w:val="24"/>
          <w:szCs w:val="24"/>
          <w:shd w:val="clear" w:color="auto" w:fill="FFFFFF"/>
          <w:lang w:val="en-GB"/>
        </w:rPr>
        <w:t>Ferrero, J. (2018). How do independent directors behave with respect to sustainability disclosure?</w:t>
      </w:r>
      <w:r w:rsidRPr="00AE77D4">
        <w:rPr>
          <w:rFonts w:ascii="Times New Roman" w:hAnsi="Times New Roman" w:cs="Times New Roman"/>
          <w:i/>
          <w:iCs/>
          <w:sz w:val="24"/>
          <w:szCs w:val="24"/>
          <w:shd w:val="clear" w:color="auto" w:fill="FFFFFF"/>
          <w:lang w:val="en-GB"/>
        </w:rPr>
        <w:t xml:space="preserve"> Corporate Social Responsibility and Environmental Management</w:t>
      </w:r>
      <w:r w:rsidRPr="00AE77D4">
        <w:rPr>
          <w:rFonts w:ascii="Times New Roman" w:hAnsi="Times New Roman" w:cs="Times New Roman"/>
          <w:sz w:val="24"/>
          <w:szCs w:val="24"/>
          <w:shd w:val="clear" w:color="auto" w:fill="FFFFFF"/>
          <w:lang w:val="en-GB"/>
        </w:rPr>
        <w:t>, </w:t>
      </w:r>
      <w:r w:rsidRPr="00AE77D4">
        <w:rPr>
          <w:rFonts w:ascii="Times New Roman" w:hAnsi="Times New Roman" w:cs="Times New Roman"/>
          <w:i/>
          <w:iCs/>
          <w:sz w:val="24"/>
          <w:szCs w:val="24"/>
          <w:shd w:val="clear" w:color="auto" w:fill="FFFFFF"/>
          <w:lang w:val="en-GB"/>
        </w:rPr>
        <w:t>25</w:t>
      </w:r>
      <w:r w:rsidRPr="00AE77D4">
        <w:rPr>
          <w:rFonts w:ascii="Times New Roman" w:hAnsi="Times New Roman" w:cs="Times New Roman"/>
          <w:sz w:val="24"/>
          <w:szCs w:val="24"/>
          <w:shd w:val="clear" w:color="auto" w:fill="FFFFFF"/>
          <w:lang w:val="en-GB"/>
        </w:rPr>
        <w:t>(4), 609-627.</w:t>
      </w:r>
    </w:p>
    <w:p w14:paraId="57679F79"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García-Sánchez, I. M., Rodriguez-Dominguez, L. &amp; Frías-Aceituno, J. V. (2015). Board of Directors and ethics codes in different corporate governance systems. </w:t>
      </w:r>
      <w:r w:rsidRPr="00AE77D4">
        <w:rPr>
          <w:rFonts w:ascii="Times New Roman" w:hAnsi="Times New Roman" w:cs="Times New Roman"/>
          <w:i/>
          <w:iCs/>
          <w:sz w:val="24"/>
          <w:szCs w:val="24"/>
          <w:lang w:val="en-GB"/>
        </w:rPr>
        <w:t>Journal of Business Ethics</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131</w:t>
      </w:r>
      <w:r w:rsidRPr="00AE77D4">
        <w:rPr>
          <w:rFonts w:ascii="Times New Roman" w:hAnsi="Times New Roman" w:cs="Times New Roman"/>
          <w:sz w:val="24"/>
          <w:szCs w:val="24"/>
          <w:lang w:val="en-GB"/>
        </w:rPr>
        <w:t>(3), 681–698.</w:t>
      </w:r>
    </w:p>
    <w:p w14:paraId="3D5DD952"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Goworek, H., Land, C., Burt, G., Zundel, M., Saren, M., Parker, M., &amp; Lambe, B. (2018). Scaling Sustainability: Regulation and Resilience in Managerial Responses to Climate Change. </w:t>
      </w:r>
      <w:r w:rsidRPr="00AE77D4">
        <w:rPr>
          <w:rFonts w:ascii="Times New Roman" w:hAnsi="Times New Roman" w:cs="Times New Roman"/>
          <w:i/>
          <w:iCs/>
          <w:sz w:val="24"/>
          <w:szCs w:val="24"/>
          <w:lang w:val="en-GB"/>
        </w:rPr>
        <w:t>British Journal of Management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29</w:t>
      </w:r>
      <w:r w:rsidRPr="00AE77D4">
        <w:rPr>
          <w:rFonts w:ascii="Times New Roman" w:hAnsi="Times New Roman" w:cs="Times New Roman"/>
          <w:sz w:val="24"/>
          <w:szCs w:val="24"/>
          <w:lang w:val="en-GB"/>
        </w:rPr>
        <w:t>(2), 209–219</w:t>
      </w:r>
    </w:p>
    <w:p w14:paraId="5466FC00"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Grecco, M. C. P., Milani Filho, M. A. F., Segura, L. C., Sanchez, I. M. G., &amp; Dominguez, L. R. (2013). The Voluntary Disclosure of Sustainable Information: A Comparative Analysis of Spanish and Brazilian Companies. </w:t>
      </w:r>
      <w:r w:rsidRPr="00AE77D4">
        <w:rPr>
          <w:rFonts w:ascii="Times New Roman" w:hAnsi="Times New Roman" w:cs="Times New Roman"/>
          <w:i/>
          <w:sz w:val="24"/>
          <w:szCs w:val="24"/>
          <w:lang w:val="en-GB"/>
        </w:rPr>
        <w:t>Journal of Accounting and Organisations</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7</w:t>
      </w:r>
      <w:r w:rsidRPr="00AE77D4">
        <w:rPr>
          <w:rFonts w:ascii="Times New Roman" w:hAnsi="Times New Roman" w:cs="Times New Roman"/>
          <w:sz w:val="24"/>
          <w:szCs w:val="24"/>
          <w:lang w:val="en-GB"/>
        </w:rPr>
        <w:t>(17), 45-55.</w:t>
      </w:r>
    </w:p>
    <w:p w14:paraId="0DDE6458"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Greenwood, R., Oliver, C., Suddaby, R., &amp; Sahlin, K. (2013). </w:t>
      </w:r>
      <w:r w:rsidRPr="00AE77D4">
        <w:rPr>
          <w:rFonts w:ascii="Times New Roman" w:hAnsi="Times New Roman" w:cs="Times New Roman"/>
          <w:i/>
          <w:iCs/>
          <w:sz w:val="24"/>
          <w:szCs w:val="24"/>
          <w:lang w:val="en-GB"/>
        </w:rPr>
        <w:t>The Sage Handbook of Organizational Institutionalism</w:t>
      </w:r>
      <w:r w:rsidRPr="00AE77D4">
        <w:rPr>
          <w:rFonts w:ascii="Times New Roman" w:hAnsi="Times New Roman" w:cs="Times New Roman"/>
          <w:sz w:val="24"/>
          <w:szCs w:val="24"/>
          <w:lang w:val="en-GB"/>
        </w:rPr>
        <w:t xml:space="preserve">. SAGE. </w:t>
      </w:r>
    </w:p>
    <w:p w14:paraId="27BC3D5E" w14:textId="77777777" w:rsidR="007F0276"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GRI (2021).GRI Standards</w:t>
      </w:r>
      <w:r w:rsidRPr="00AE77D4">
        <w:rPr>
          <w:rFonts w:ascii="Times New Roman" w:hAnsi="Times New Roman" w:cs="Times New Roman"/>
          <w:i/>
          <w:iCs/>
          <w:sz w:val="24"/>
          <w:szCs w:val="24"/>
          <w:lang w:val="en-GB"/>
        </w:rPr>
        <w:t>.</w:t>
      </w:r>
      <w:r w:rsidRPr="00AE77D4">
        <w:rPr>
          <w:rFonts w:ascii="Times New Roman" w:hAnsi="Times New Roman" w:cs="Times New Roman"/>
          <w:sz w:val="24"/>
          <w:szCs w:val="24"/>
          <w:lang w:val="en-GB"/>
        </w:rPr>
        <w:t xml:space="preserve"> </w:t>
      </w:r>
      <w:hyperlink r:id="rId12" w:history="1">
        <w:r w:rsidRPr="00AE77D4">
          <w:rPr>
            <w:rStyle w:val="Hyperlink"/>
            <w:rFonts w:ascii="Times New Roman" w:hAnsi="Times New Roman" w:cs="Times New Roman"/>
            <w:color w:val="auto"/>
            <w:sz w:val="24"/>
            <w:szCs w:val="24"/>
            <w:u w:val="none"/>
            <w:lang w:val="en-GB"/>
          </w:rPr>
          <w:t>https://www.globalreporting.org/ (accessed</w:t>
        </w:r>
      </w:hyperlink>
      <w:r w:rsidRPr="00AE77D4">
        <w:rPr>
          <w:rFonts w:ascii="Times New Roman" w:hAnsi="Times New Roman" w:cs="Times New Roman"/>
          <w:sz w:val="24"/>
          <w:szCs w:val="24"/>
          <w:lang w:val="en-GB"/>
        </w:rPr>
        <w:t xml:space="preserve"> 15 March 2023)</w:t>
      </w:r>
    </w:p>
    <w:p w14:paraId="7B8AF7DE"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Hafsi, T., &amp; Turgut, G. (2013). Boardroom diversity and its effect on social performance: Conceptualisation and empirical evidence. </w:t>
      </w:r>
      <w:r w:rsidRPr="00AE77D4">
        <w:rPr>
          <w:rFonts w:ascii="Times New Roman" w:hAnsi="Times New Roman" w:cs="Times New Roman"/>
          <w:i/>
          <w:iCs/>
          <w:sz w:val="24"/>
          <w:szCs w:val="24"/>
          <w:lang w:val="en-GB"/>
        </w:rPr>
        <w:t>Journal of Business Ethics</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112</w:t>
      </w:r>
      <w:r w:rsidRPr="00AE77D4">
        <w:rPr>
          <w:rFonts w:ascii="Times New Roman" w:hAnsi="Times New Roman" w:cs="Times New Roman"/>
          <w:sz w:val="24"/>
          <w:szCs w:val="24"/>
          <w:lang w:val="en-GB"/>
        </w:rPr>
        <w:t>(3), 463-479.</w:t>
      </w:r>
    </w:p>
    <w:p w14:paraId="1D53ECBF"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Hahn, P. D., &amp; Lasfer, M. (2016). Impact of foreign directors on board meeting frequency. </w:t>
      </w:r>
      <w:r w:rsidRPr="00AE77D4">
        <w:rPr>
          <w:rFonts w:ascii="Times New Roman" w:hAnsi="Times New Roman" w:cs="Times New Roman"/>
          <w:i/>
          <w:sz w:val="24"/>
          <w:szCs w:val="24"/>
          <w:lang w:val="en-GB"/>
        </w:rPr>
        <w:t>International Review of Financial Analysis</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46</w:t>
      </w:r>
      <w:r w:rsidRPr="00AE77D4">
        <w:rPr>
          <w:rFonts w:ascii="Times New Roman" w:hAnsi="Times New Roman" w:cs="Times New Roman"/>
          <w:sz w:val="24"/>
          <w:szCs w:val="24"/>
          <w:lang w:val="en-GB"/>
        </w:rPr>
        <w:t>, 295–308.</w:t>
      </w:r>
    </w:p>
    <w:p w14:paraId="37AE20D9"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rPr>
        <w:t xml:space="preserve">Hamman, J. R., Loewenstein, G., &amp; Weber, R. A. (2010). Self-interest through delegation: An additional rationale for the principal-agent relationship. </w:t>
      </w:r>
      <w:r w:rsidRPr="00AE77D4">
        <w:rPr>
          <w:rFonts w:ascii="Times New Roman" w:hAnsi="Times New Roman" w:cs="Times New Roman"/>
          <w:i/>
          <w:sz w:val="24"/>
          <w:szCs w:val="24"/>
        </w:rPr>
        <w:t>American Economic Review, 100</w:t>
      </w:r>
      <w:r w:rsidRPr="00AE77D4">
        <w:rPr>
          <w:rFonts w:ascii="Times New Roman" w:hAnsi="Times New Roman" w:cs="Times New Roman"/>
          <w:sz w:val="24"/>
          <w:szCs w:val="24"/>
        </w:rPr>
        <w:t>(4), 1826-46.</w:t>
      </w:r>
    </w:p>
    <w:p w14:paraId="2E2EE6EC"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Haque, F. (2017). The effects of board characteristics and sustainable compensation policy on carbon performance of UK firms.</w:t>
      </w:r>
      <w:r w:rsidRPr="00AE77D4">
        <w:rPr>
          <w:rFonts w:ascii="Times New Roman" w:hAnsi="Times New Roman" w:cs="Times New Roman"/>
          <w:i/>
          <w:iCs/>
          <w:sz w:val="24"/>
          <w:szCs w:val="24"/>
          <w:lang w:val="en-GB"/>
        </w:rPr>
        <w:t xml:space="preserve"> The British Accounting Review</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49</w:t>
      </w:r>
      <w:r w:rsidRPr="00AE77D4">
        <w:rPr>
          <w:rFonts w:ascii="Times New Roman" w:hAnsi="Times New Roman" w:cs="Times New Roman"/>
          <w:sz w:val="24"/>
          <w:szCs w:val="24"/>
          <w:lang w:val="en-GB"/>
        </w:rPr>
        <w:t>(3), 347–364.</w:t>
      </w:r>
    </w:p>
    <w:p w14:paraId="585DA727"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Haque, F.,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Ntim, C. G. (2018). Environmental Policy, Sustainable Development, Governance Mechanisms and Environmental Performance. </w:t>
      </w:r>
      <w:r w:rsidRPr="00AE77D4">
        <w:rPr>
          <w:rFonts w:ascii="Times New Roman" w:hAnsi="Times New Roman" w:cs="Times New Roman"/>
          <w:i/>
          <w:iCs/>
          <w:noProof/>
          <w:sz w:val="24"/>
          <w:szCs w:val="24"/>
          <w:lang w:val="en-GB"/>
        </w:rPr>
        <w:t>Business Strategy and the Environment</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27</w:t>
      </w:r>
      <w:r w:rsidRPr="00AE77D4">
        <w:rPr>
          <w:rFonts w:ascii="Times New Roman" w:hAnsi="Times New Roman" w:cs="Times New Roman"/>
          <w:noProof/>
          <w:sz w:val="24"/>
          <w:szCs w:val="24"/>
          <w:lang w:val="en-GB"/>
        </w:rPr>
        <w:t>(3), 415–435.</w:t>
      </w:r>
    </w:p>
    <w:p w14:paraId="1BE25E95"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Harjoto, M., Laksmana, I., &amp; Lee, R. (2015). Board diversity and corporate social responsibility. </w:t>
      </w:r>
      <w:r w:rsidRPr="00AE77D4">
        <w:rPr>
          <w:rFonts w:ascii="Times New Roman" w:hAnsi="Times New Roman" w:cs="Times New Roman"/>
          <w:i/>
          <w:iCs/>
          <w:sz w:val="24"/>
          <w:szCs w:val="24"/>
          <w:lang w:val="en-GB"/>
        </w:rPr>
        <w:t>Journal of Business Ethics</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132</w:t>
      </w:r>
      <w:r w:rsidRPr="00AE77D4">
        <w:rPr>
          <w:rFonts w:ascii="Times New Roman" w:hAnsi="Times New Roman" w:cs="Times New Roman"/>
          <w:sz w:val="24"/>
          <w:szCs w:val="24"/>
          <w:lang w:val="en-GB"/>
        </w:rPr>
        <w:t>, 641-660.</w:t>
      </w:r>
    </w:p>
    <w:p w14:paraId="565344AE"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Helfaya, A., Whittington, M.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Alawattage, C. (2019). Exploring the quality of corporate environmental reporting: Surveying preparers' and users' perceptions. </w:t>
      </w:r>
      <w:r w:rsidRPr="00AE77D4">
        <w:rPr>
          <w:rFonts w:ascii="Times New Roman" w:hAnsi="Times New Roman" w:cs="Times New Roman"/>
          <w:i/>
          <w:iCs/>
          <w:noProof/>
          <w:sz w:val="24"/>
          <w:szCs w:val="24"/>
          <w:lang w:val="en-GB"/>
        </w:rPr>
        <w:t>Accounting, Auditing and Accountability Journal</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32</w:t>
      </w:r>
      <w:r w:rsidRPr="00AE77D4">
        <w:rPr>
          <w:rFonts w:ascii="Times New Roman" w:hAnsi="Times New Roman" w:cs="Times New Roman"/>
          <w:noProof/>
          <w:sz w:val="24"/>
          <w:szCs w:val="24"/>
          <w:lang w:val="en-GB"/>
        </w:rPr>
        <w:t>(1), 163–193.</w:t>
      </w:r>
    </w:p>
    <w:p w14:paraId="537EBD26"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rPr>
        <w:t>Hoang, T. C., Abeysekera, I., &amp; Ma, S. (2018). Board diversity and corporate social disclosure: Evidence from Vietnam. </w:t>
      </w:r>
      <w:r w:rsidRPr="00AE77D4">
        <w:rPr>
          <w:rFonts w:ascii="Times New Roman" w:hAnsi="Times New Roman" w:cs="Times New Roman"/>
          <w:i/>
          <w:iCs/>
          <w:sz w:val="24"/>
          <w:szCs w:val="24"/>
        </w:rPr>
        <w:t>Journal of Business Ethics</w:t>
      </w:r>
      <w:r w:rsidRPr="00AE77D4">
        <w:rPr>
          <w:rFonts w:ascii="Times New Roman" w:hAnsi="Times New Roman" w:cs="Times New Roman"/>
          <w:sz w:val="24"/>
          <w:szCs w:val="24"/>
        </w:rPr>
        <w:t>, </w:t>
      </w:r>
      <w:r w:rsidRPr="00AE77D4">
        <w:rPr>
          <w:rFonts w:ascii="Times New Roman" w:hAnsi="Times New Roman" w:cs="Times New Roman"/>
          <w:i/>
          <w:iCs/>
          <w:sz w:val="24"/>
          <w:szCs w:val="24"/>
        </w:rPr>
        <w:t>151</w:t>
      </w:r>
      <w:r w:rsidRPr="00AE77D4">
        <w:rPr>
          <w:rFonts w:ascii="Times New Roman" w:hAnsi="Times New Roman" w:cs="Times New Roman"/>
          <w:sz w:val="24"/>
          <w:szCs w:val="24"/>
        </w:rPr>
        <w:t>, 833-852.</w:t>
      </w:r>
      <w:r w:rsidRPr="00AE77D4">
        <w:rPr>
          <w:rFonts w:ascii="Times New Roman" w:hAnsi="Times New Roman" w:cs="Times New Roman"/>
          <w:sz w:val="24"/>
          <w:szCs w:val="24"/>
          <w:lang w:val="en-GB"/>
        </w:rPr>
        <w:t xml:space="preserve"> </w:t>
      </w:r>
    </w:p>
    <w:p w14:paraId="402B30E6"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Hollindale, J., Kent, P., Routledge, J., &amp; Chapple, L. (2019). Women on boards and greenhouse gas emission disclosures. </w:t>
      </w:r>
      <w:r w:rsidRPr="00AE77D4">
        <w:rPr>
          <w:rFonts w:ascii="Times New Roman" w:hAnsi="Times New Roman" w:cs="Times New Roman"/>
          <w:i/>
          <w:iCs/>
          <w:sz w:val="24"/>
          <w:szCs w:val="24"/>
          <w:lang w:val="en-GB"/>
        </w:rPr>
        <w:t>Accounting &amp; Finance</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59</w:t>
      </w:r>
      <w:r w:rsidRPr="00AE77D4">
        <w:rPr>
          <w:rFonts w:ascii="Times New Roman" w:hAnsi="Times New Roman" w:cs="Times New Roman"/>
          <w:sz w:val="24"/>
          <w:szCs w:val="24"/>
          <w:lang w:val="en-GB"/>
        </w:rPr>
        <w:t>(1), 277–308.</w:t>
      </w:r>
    </w:p>
    <w:p w14:paraId="53FFB614"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Hussain, N., Rigoni, U.,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Orij, R. P. (2018). Corporate Governance and Sustainability Performance: Analysis of Triple Bottom Line Performance. </w:t>
      </w:r>
      <w:r w:rsidRPr="00AE77D4">
        <w:rPr>
          <w:rFonts w:ascii="Times New Roman" w:hAnsi="Times New Roman" w:cs="Times New Roman"/>
          <w:i/>
          <w:iCs/>
          <w:noProof/>
          <w:sz w:val="24"/>
          <w:szCs w:val="24"/>
          <w:lang w:val="en-GB"/>
        </w:rPr>
        <w:t xml:space="preserve">Journal of Business </w:t>
      </w:r>
      <w:r w:rsidRPr="00AE77D4">
        <w:rPr>
          <w:rFonts w:ascii="Times New Roman" w:hAnsi="Times New Roman" w:cs="Times New Roman"/>
          <w:i/>
          <w:iCs/>
          <w:noProof/>
          <w:sz w:val="24"/>
          <w:szCs w:val="24"/>
          <w:lang w:val="en-GB"/>
        </w:rPr>
        <w:lastRenderedPageBreak/>
        <w:t>Ethics</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149</w:t>
      </w:r>
      <w:r w:rsidRPr="00AE77D4">
        <w:rPr>
          <w:rFonts w:ascii="Times New Roman" w:hAnsi="Times New Roman" w:cs="Times New Roman"/>
          <w:noProof/>
          <w:sz w:val="24"/>
          <w:szCs w:val="24"/>
          <w:lang w:val="en-GB"/>
        </w:rPr>
        <w:t>(2), 411–432.</w:t>
      </w:r>
    </w:p>
    <w:p w14:paraId="13F904E5"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Ibrahim, A. H., &amp; Hanefah, M. M. (2016). Board diversity and corporate social responsibility in Jordan.</w:t>
      </w:r>
      <w:r w:rsidRPr="00AE77D4">
        <w:rPr>
          <w:rFonts w:ascii="Times New Roman" w:hAnsi="Times New Roman" w:cs="Times New Roman"/>
          <w:i/>
          <w:iCs/>
          <w:sz w:val="24"/>
          <w:szCs w:val="24"/>
          <w:lang w:val="en-GB"/>
        </w:rPr>
        <w:t xml:space="preserve"> Journal of Financial Reporting and Accounting</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14</w:t>
      </w:r>
      <w:r w:rsidRPr="00AE77D4">
        <w:rPr>
          <w:rFonts w:ascii="Times New Roman" w:hAnsi="Times New Roman" w:cs="Times New Roman"/>
          <w:sz w:val="24"/>
          <w:szCs w:val="24"/>
          <w:lang w:val="en-GB"/>
        </w:rPr>
        <w:t>(2), 279–298.</w:t>
      </w:r>
    </w:p>
    <w:p w14:paraId="533D80AF"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Isidro, H., &amp; Sobral, M. (2014). The effects of women on corporate boards on firm value, financial performance, and ethical and social compliance. </w:t>
      </w:r>
      <w:r w:rsidRPr="00AE77D4">
        <w:rPr>
          <w:rFonts w:ascii="Times New Roman" w:hAnsi="Times New Roman" w:cs="Times New Roman"/>
          <w:i/>
          <w:iCs/>
          <w:sz w:val="24"/>
          <w:szCs w:val="24"/>
          <w:lang w:val="en-GB"/>
        </w:rPr>
        <w:t>Journal of Business Ethics</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132,</w:t>
      </w:r>
      <w:r w:rsidRPr="00AE77D4">
        <w:rPr>
          <w:rFonts w:ascii="Times New Roman" w:hAnsi="Times New Roman" w:cs="Times New Roman"/>
          <w:sz w:val="24"/>
          <w:szCs w:val="24"/>
          <w:lang w:val="en-GB"/>
        </w:rPr>
        <w:t xml:space="preserve"> 1-19.</w:t>
      </w:r>
    </w:p>
    <w:p w14:paraId="797E9BF4"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Jensen, M. C. (1993). The modern industrial revolution, exit, and the failure of internal control systems. </w:t>
      </w:r>
      <w:r w:rsidRPr="00AE77D4">
        <w:rPr>
          <w:rFonts w:ascii="Times New Roman" w:hAnsi="Times New Roman" w:cs="Times New Roman"/>
          <w:i/>
          <w:iCs/>
          <w:sz w:val="24"/>
          <w:szCs w:val="24"/>
          <w:lang w:val="en-GB"/>
        </w:rPr>
        <w:t>the Journal of Finance</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48</w:t>
      </w:r>
      <w:r w:rsidRPr="00AE77D4">
        <w:rPr>
          <w:rFonts w:ascii="Times New Roman" w:hAnsi="Times New Roman" w:cs="Times New Roman"/>
          <w:sz w:val="24"/>
          <w:szCs w:val="24"/>
          <w:lang w:val="en-GB"/>
        </w:rPr>
        <w:t>(3), 831-880.</w:t>
      </w:r>
    </w:p>
    <w:p w14:paraId="0931CC71" w14:textId="77777777" w:rsidR="007F0276" w:rsidRPr="00AE77D4" w:rsidRDefault="00661A05" w:rsidP="00AE77D4">
      <w:pPr>
        <w:spacing w:after="0" w:line="276" w:lineRule="auto"/>
        <w:ind w:left="720" w:hanging="720"/>
        <w:jc w:val="both"/>
        <w:rPr>
          <w:rFonts w:ascii="Times New Roman" w:hAnsi="Times New Roman" w:cs="Times New Roman"/>
          <w:sz w:val="24"/>
          <w:szCs w:val="24"/>
        </w:rPr>
      </w:pPr>
      <w:r w:rsidRPr="00AE77D4">
        <w:rPr>
          <w:rFonts w:ascii="Times New Roman" w:hAnsi="Times New Roman" w:cs="Times New Roman"/>
          <w:sz w:val="24"/>
          <w:szCs w:val="24"/>
          <w:lang w:val="de-DE"/>
        </w:rPr>
        <w:t xml:space="preserve">Jensen, M. C., &amp; Meckling, W. H. (2019). </w:t>
      </w:r>
      <w:r w:rsidRPr="00AE77D4">
        <w:rPr>
          <w:rFonts w:ascii="Times New Roman" w:hAnsi="Times New Roman" w:cs="Times New Roman"/>
          <w:sz w:val="24"/>
          <w:szCs w:val="24"/>
        </w:rPr>
        <w:t>Theory of the firm: Managerial behavior, agency costs and ownership structure. In </w:t>
      </w:r>
      <w:r w:rsidRPr="00AE77D4">
        <w:rPr>
          <w:rFonts w:ascii="Times New Roman" w:hAnsi="Times New Roman" w:cs="Times New Roman"/>
          <w:i/>
          <w:iCs/>
          <w:sz w:val="24"/>
          <w:szCs w:val="24"/>
        </w:rPr>
        <w:t>Corporate governance</w:t>
      </w:r>
      <w:r w:rsidRPr="00AE77D4">
        <w:rPr>
          <w:rFonts w:ascii="Times New Roman" w:hAnsi="Times New Roman" w:cs="Times New Roman"/>
          <w:sz w:val="24"/>
          <w:szCs w:val="24"/>
        </w:rPr>
        <w:t> (pp. 77-132). Gower.</w:t>
      </w:r>
    </w:p>
    <w:p w14:paraId="567CB4A3"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Jiang, Y., Luo, L., Xu, J., &amp; Shao, X. (2021). The value relevance of corporate voluntary carbon disclosure: Evidence from the United States and BRIC countries. </w:t>
      </w:r>
      <w:r w:rsidRPr="00AE77D4">
        <w:rPr>
          <w:rFonts w:ascii="Times New Roman" w:hAnsi="Times New Roman" w:cs="Times New Roman"/>
          <w:i/>
          <w:iCs/>
          <w:sz w:val="24"/>
          <w:szCs w:val="24"/>
          <w:lang w:val="en-GB"/>
        </w:rPr>
        <w:t>Journal of Contemporary Accounting &amp; Economics</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17</w:t>
      </w:r>
      <w:r w:rsidRPr="00AE77D4">
        <w:rPr>
          <w:rFonts w:ascii="Times New Roman" w:hAnsi="Times New Roman" w:cs="Times New Roman"/>
          <w:sz w:val="24"/>
          <w:szCs w:val="24"/>
          <w:lang w:val="en-GB"/>
        </w:rPr>
        <w:t>(3), 100279.</w:t>
      </w:r>
    </w:p>
    <w:p w14:paraId="092AA3CA"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Jizi, M. (2017). The influence of board composition on sustainable development disclosure. </w:t>
      </w:r>
      <w:r w:rsidRPr="00AE77D4">
        <w:rPr>
          <w:rFonts w:ascii="Times New Roman" w:hAnsi="Times New Roman" w:cs="Times New Roman"/>
          <w:i/>
          <w:sz w:val="24"/>
          <w:szCs w:val="24"/>
          <w:lang w:val="en-GB"/>
        </w:rPr>
        <w:t>Business Strategy and the Environment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26</w:t>
      </w:r>
      <w:r w:rsidRPr="00AE77D4">
        <w:rPr>
          <w:rFonts w:ascii="Times New Roman" w:hAnsi="Times New Roman" w:cs="Times New Roman"/>
          <w:sz w:val="24"/>
          <w:szCs w:val="24"/>
          <w:lang w:val="en-GB"/>
        </w:rPr>
        <w:t>(5), 640–655.</w:t>
      </w:r>
    </w:p>
    <w:p w14:paraId="43DA364D"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Judge, W., Li, S., &amp; Pinsker, R. (2010). National adoption of international accounting standards: An institutional perspective. </w:t>
      </w:r>
      <w:r w:rsidRPr="00AE77D4">
        <w:rPr>
          <w:rFonts w:ascii="Times New Roman" w:hAnsi="Times New Roman" w:cs="Times New Roman"/>
          <w:i/>
          <w:iCs/>
          <w:sz w:val="24"/>
          <w:szCs w:val="24"/>
          <w:lang w:val="en-GB"/>
        </w:rPr>
        <w:t>Corporate Governance: An International Review</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18</w:t>
      </w:r>
      <w:r w:rsidRPr="00AE77D4">
        <w:rPr>
          <w:rFonts w:ascii="Times New Roman" w:hAnsi="Times New Roman" w:cs="Times New Roman"/>
          <w:sz w:val="24"/>
          <w:szCs w:val="24"/>
          <w:lang w:val="en-GB"/>
        </w:rPr>
        <w:t>(3), 161-174.</w:t>
      </w:r>
    </w:p>
    <w:p w14:paraId="25621179"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lang w:val="en-GB" w:bidi="bn-BD"/>
        </w:rPr>
      </w:pPr>
      <w:r w:rsidRPr="00AE77D4">
        <w:rPr>
          <w:rFonts w:ascii="Times New Roman" w:hAnsi="Times New Roman" w:cs="Times New Roman"/>
          <w:sz w:val="24"/>
          <w:szCs w:val="24"/>
          <w:lang w:val="en-GB" w:bidi="bn-BD"/>
        </w:rPr>
        <w:t xml:space="preserve">Kanter, R. M. (2008). </w:t>
      </w:r>
      <w:r w:rsidRPr="00AE77D4">
        <w:rPr>
          <w:rFonts w:ascii="Times New Roman" w:hAnsi="Times New Roman" w:cs="Times New Roman"/>
          <w:i/>
          <w:iCs/>
          <w:sz w:val="24"/>
          <w:szCs w:val="24"/>
          <w:lang w:val="en-GB" w:bidi="bn-BD"/>
        </w:rPr>
        <w:t xml:space="preserve">Men and women of the corporation. </w:t>
      </w:r>
      <w:r w:rsidRPr="00AE77D4">
        <w:rPr>
          <w:rFonts w:ascii="Times New Roman" w:hAnsi="Times New Roman" w:cs="Times New Roman"/>
          <w:sz w:val="24"/>
          <w:szCs w:val="24"/>
          <w:lang w:val="en-GB" w:bidi="bn-BD"/>
        </w:rPr>
        <w:t>Basic books.</w:t>
      </w:r>
    </w:p>
    <w:p w14:paraId="3E451F35"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shd w:val="clear" w:color="auto" w:fill="FFFFFF"/>
          <w:lang w:val="en-GB"/>
        </w:rPr>
        <w:t>Karim, A. E., Albitar, K., &amp; Elmarzouky, M. (2021). A novel measure of corporate carbon emission disclosure, the effect of capital expenditures and corporate governance. </w:t>
      </w:r>
      <w:r w:rsidRPr="00AE77D4">
        <w:rPr>
          <w:rFonts w:ascii="Times New Roman" w:hAnsi="Times New Roman" w:cs="Times New Roman"/>
          <w:i/>
          <w:iCs/>
          <w:sz w:val="24"/>
          <w:szCs w:val="24"/>
          <w:shd w:val="clear" w:color="auto" w:fill="FFFFFF"/>
          <w:lang w:val="en-GB"/>
        </w:rPr>
        <w:t>Journal of Environmental Management</w:t>
      </w:r>
      <w:r w:rsidRPr="00AE77D4">
        <w:rPr>
          <w:rFonts w:ascii="Times New Roman" w:hAnsi="Times New Roman" w:cs="Times New Roman"/>
          <w:sz w:val="24"/>
          <w:szCs w:val="24"/>
          <w:shd w:val="clear" w:color="auto" w:fill="FFFFFF"/>
          <w:lang w:val="en-GB"/>
        </w:rPr>
        <w:t>, </w:t>
      </w:r>
      <w:r w:rsidRPr="00AE77D4">
        <w:rPr>
          <w:rFonts w:ascii="Times New Roman" w:hAnsi="Times New Roman" w:cs="Times New Roman"/>
          <w:i/>
          <w:iCs/>
          <w:sz w:val="24"/>
          <w:szCs w:val="24"/>
          <w:shd w:val="clear" w:color="auto" w:fill="FFFFFF"/>
          <w:lang w:val="en-GB"/>
        </w:rPr>
        <w:t>290</w:t>
      </w:r>
      <w:r w:rsidRPr="00AE77D4">
        <w:rPr>
          <w:rFonts w:ascii="Times New Roman" w:hAnsi="Times New Roman" w:cs="Times New Roman"/>
          <w:sz w:val="24"/>
          <w:szCs w:val="24"/>
          <w:shd w:val="clear" w:color="auto" w:fill="FFFFFF"/>
          <w:lang w:val="en-GB"/>
        </w:rPr>
        <w:t>, 112581.</w:t>
      </w:r>
    </w:p>
    <w:p w14:paraId="7CCAFC55"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shd w:val="clear" w:color="auto" w:fill="FFFFFF"/>
          <w:lang w:val="en-GB"/>
        </w:rPr>
        <w:t>Katmon, N., Mohamad, Z. Z., Norwani, N. M., &amp; Farooque, O. A. (2019). Comprehensive board diversity and quality of corporate social responsibility disclosure: Evidence from an emerging market. </w:t>
      </w:r>
      <w:r w:rsidRPr="00AE77D4">
        <w:rPr>
          <w:rFonts w:ascii="Times New Roman" w:hAnsi="Times New Roman" w:cs="Times New Roman"/>
          <w:i/>
          <w:iCs/>
          <w:sz w:val="24"/>
          <w:szCs w:val="24"/>
          <w:shd w:val="clear" w:color="auto" w:fill="FFFFFF"/>
          <w:lang w:val="en-GB"/>
        </w:rPr>
        <w:t>Journal of business ethics</w:t>
      </w:r>
      <w:r w:rsidRPr="00AE77D4">
        <w:rPr>
          <w:rFonts w:ascii="Times New Roman" w:hAnsi="Times New Roman" w:cs="Times New Roman"/>
          <w:sz w:val="24"/>
          <w:szCs w:val="24"/>
          <w:shd w:val="clear" w:color="auto" w:fill="FFFFFF"/>
          <w:lang w:val="en-GB"/>
        </w:rPr>
        <w:t>, </w:t>
      </w:r>
      <w:r w:rsidRPr="00AE77D4">
        <w:rPr>
          <w:rFonts w:ascii="Times New Roman" w:hAnsi="Times New Roman" w:cs="Times New Roman"/>
          <w:i/>
          <w:iCs/>
          <w:sz w:val="24"/>
          <w:szCs w:val="24"/>
          <w:shd w:val="clear" w:color="auto" w:fill="FFFFFF"/>
          <w:lang w:val="en-GB"/>
        </w:rPr>
        <w:t>157</w:t>
      </w:r>
      <w:r w:rsidRPr="00AE77D4">
        <w:rPr>
          <w:rFonts w:ascii="Times New Roman" w:hAnsi="Times New Roman" w:cs="Times New Roman"/>
          <w:sz w:val="24"/>
          <w:szCs w:val="24"/>
          <w:shd w:val="clear" w:color="auto" w:fill="FFFFFF"/>
          <w:lang w:val="en-GB"/>
        </w:rPr>
        <w:t>, 447-481.</w:t>
      </w:r>
    </w:p>
    <w:p w14:paraId="123F3F0B"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Khan, A., Muttakin, M. B., &amp; Siddiqui, J. (2013). Corporate governance and corporate social responsibility disclosures: evidence from an emerging economy. </w:t>
      </w:r>
      <w:r w:rsidRPr="00AE77D4">
        <w:rPr>
          <w:rFonts w:ascii="Times New Roman" w:hAnsi="Times New Roman" w:cs="Times New Roman"/>
          <w:i/>
          <w:iCs/>
          <w:sz w:val="24"/>
          <w:szCs w:val="24"/>
          <w:lang w:val="en-GB"/>
        </w:rPr>
        <w:t>Journal of Business Ethics</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114</w:t>
      </w:r>
      <w:r w:rsidRPr="00AE77D4">
        <w:rPr>
          <w:rFonts w:ascii="Times New Roman" w:hAnsi="Times New Roman" w:cs="Times New Roman"/>
          <w:sz w:val="24"/>
          <w:szCs w:val="24"/>
          <w:lang w:val="en-GB"/>
        </w:rPr>
        <w:t>(2), 207-223.</w:t>
      </w:r>
    </w:p>
    <w:p w14:paraId="1F624DB5"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shd w:val="clear" w:color="auto" w:fill="FFFFFF"/>
          <w:lang w:val="en-GB"/>
        </w:rPr>
        <w:t>Khan, I., Khan, I., &amp; Saeed, B. B. (2019). Does board diversity affect quality of corporate social responsibility disclosure? Evidence from Pakistan. </w:t>
      </w:r>
      <w:r w:rsidRPr="00AE77D4">
        <w:rPr>
          <w:rFonts w:ascii="Times New Roman" w:hAnsi="Times New Roman" w:cs="Times New Roman"/>
          <w:i/>
          <w:iCs/>
          <w:sz w:val="24"/>
          <w:szCs w:val="24"/>
          <w:shd w:val="clear" w:color="auto" w:fill="FFFFFF"/>
          <w:lang w:val="en-GB"/>
        </w:rPr>
        <w:t>Corporate social responsibility and environmental management</w:t>
      </w:r>
      <w:r w:rsidRPr="00AE77D4">
        <w:rPr>
          <w:rFonts w:ascii="Times New Roman" w:hAnsi="Times New Roman" w:cs="Times New Roman"/>
          <w:sz w:val="24"/>
          <w:szCs w:val="24"/>
          <w:shd w:val="clear" w:color="auto" w:fill="FFFFFF"/>
          <w:lang w:val="en-GB"/>
        </w:rPr>
        <w:t>, </w:t>
      </w:r>
      <w:r w:rsidRPr="00AE77D4">
        <w:rPr>
          <w:rFonts w:ascii="Times New Roman" w:hAnsi="Times New Roman" w:cs="Times New Roman"/>
          <w:i/>
          <w:iCs/>
          <w:sz w:val="24"/>
          <w:szCs w:val="24"/>
          <w:shd w:val="clear" w:color="auto" w:fill="FFFFFF"/>
          <w:lang w:val="en-GB"/>
        </w:rPr>
        <w:t>26</w:t>
      </w:r>
      <w:r w:rsidRPr="00AE77D4">
        <w:rPr>
          <w:rFonts w:ascii="Times New Roman" w:hAnsi="Times New Roman" w:cs="Times New Roman"/>
          <w:sz w:val="24"/>
          <w:szCs w:val="24"/>
          <w:shd w:val="clear" w:color="auto" w:fill="FFFFFF"/>
          <w:lang w:val="en-GB"/>
        </w:rPr>
        <w:t>(6), 1371-1381.</w:t>
      </w:r>
    </w:p>
    <w:p w14:paraId="194BE1E3"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lang w:val="en-GB" w:bidi="bn-BD"/>
        </w:rPr>
      </w:pPr>
      <w:r w:rsidRPr="00AE77D4">
        <w:rPr>
          <w:rFonts w:ascii="Times New Roman" w:hAnsi="Times New Roman" w:cs="Times New Roman"/>
          <w:sz w:val="24"/>
          <w:szCs w:val="24"/>
          <w:lang w:val="en-GB"/>
        </w:rPr>
        <w:t xml:space="preserve">Kim, C. H., Amaeshi, K., Harris, S., &amp; Suh, C.J. (2013). CSR and the National Institutional Context: The Case of South Korea. </w:t>
      </w:r>
      <w:r w:rsidRPr="00AE77D4">
        <w:rPr>
          <w:rFonts w:ascii="Times New Roman" w:hAnsi="Times New Roman" w:cs="Times New Roman"/>
          <w:i/>
          <w:iCs/>
          <w:sz w:val="24"/>
          <w:szCs w:val="24"/>
          <w:lang w:val="en-GB"/>
        </w:rPr>
        <w:t>Journal of Business Research</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66</w:t>
      </w:r>
      <w:r w:rsidRPr="00AE77D4">
        <w:rPr>
          <w:rFonts w:ascii="Times New Roman" w:hAnsi="Times New Roman" w:cs="Times New Roman"/>
          <w:sz w:val="24"/>
          <w:szCs w:val="24"/>
          <w:lang w:val="en-GB"/>
        </w:rPr>
        <w:t>(12), 2581-2591.</w:t>
      </w:r>
    </w:p>
    <w:p w14:paraId="0F257FBC"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Kostova, T., &amp; Roth, K. (2002). Adoption of an Organisational Practice by Subsidiaries of Multinational Corporations: Institutional and Relational Effects. </w:t>
      </w:r>
      <w:r w:rsidRPr="00AE77D4">
        <w:rPr>
          <w:rFonts w:ascii="Times New Roman" w:hAnsi="Times New Roman" w:cs="Times New Roman"/>
          <w:i/>
          <w:iCs/>
          <w:sz w:val="24"/>
          <w:szCs w:val="24"/>
          <w:lang w:val="en-GB"/>
        </w:rPr>
        <w:t>Academy of Management Journal</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45</w:t>
      </w:r>
      <w:r w:rsidRPr="00AE77D4">
        <w:rPr>
          <w:rFonts w:ascii="Times New Roman" w:hAnsi="Times New Roman" w:cs="Times New Roman"/>
          <w:sz w:val="24"/>
          <w:szCs w:val="24"/>
          <w:lang w:val="en-GB"/>
        </w:rPr>
        <w:t>(1), 215-233.</w:t>
      </w:r>
    </w:p>
    <w:p w14:paraId="2CA2009A"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Larcker, D. F., &amp; Rusticus, T. O. (2010). On the use of instrumental variables in accounting research. </w:t>
      </w:r>
      <w:r w:rsidRPr="00AE77D4">
        <w:rPr>
          <w:rFonts w:ascii="Times New Roman" w:hAnsi="Times New Roman" w:cs="Times New Roman"/>
          <w:i/>
          <w:iCs/>
          <w:sz w:val="24"/>
          <w:szCs w:val="24"/>
          <w:lang w:val="en-GB"/>
        </w:rPr>
        <w:t>Journal of accounting and economics</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49</w:t>
      </w:r>
      <w:r w:rsidRPr="00AE77D4">
        <w:rPr>
          <w:rFonts w:ascii="Times New Roman" w:hAnsi="Times New Roman" w:cs="Times New Roman"/>
          <w:sz w:val="24"/>
          <w:szCs w:val="24"/>
          <w:lang w:val="en-GB"/>
        </w:rPr>
        <w:t>(3), 186-205.</w:t>
      </w:r>
    </w:p>
    <w:p w14:paraId="5DFDDB5A"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Larrán Jorge, M., Andrades Peña, F. J., </w:t>
      </w:r>
      <w:r w:rsidRPr="00AE77D4">
        <w:rPr>
          <w:rFonts w:ascii="Times New Roman" w:hAnsi="Times New Roman" w:cs="Times New Roman"/>
          <w:sz w:val="24"/>
          <w:szCs w:val="24"/>
          <w:lang w:val="en-GB"/>
        </w:rPr>
        <w:t>&amp;</w:t>
      </w:r>
      <w:r w:rsidRPr="00AE77D4">
        <w:rPr>
          <w:rFonts w:ascii="Times New Roman" w:hAnsi="Times New Roman" w:cs="Times New Roman"/>
          <w:noProof/>
          <w:sz w:val="24"/>
          <w:szCs w:val="24"/>
          <w:lang w:val="en-GB"/>
        </w:rPr>
        <w:t xml:space="preserve"> Herrera Madueño, J. (2018). An analysis of university sustainability reports from the GRI database: an examination of influential variables. </w:t>
      </w:r>
      <w:r w:rsidRPr="00AE77D4">
        <w:rPr>
          <w:rFonts w:ascii="Times New Roman" w:hAnsi="Times New Roman" w:cs="Times New Roman"/>
          <w:i/>
          <w:iCs/>
          <w:noProof/>
          <w:sz w:val="24"/>
          <w:szCs w:val="24"/>
          <w:lang w:val="en-GB"/>
        </w:rPr>
        <w:t>Journal of Environmental Planning and Management</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62</w:t>
      </w:r>
      <w:r w:rsidRPr="00AE77D4">
        <w:rPr>
          <w:rFonts w:ascii="Times New Roman" w:hAnsi="Times New Roman" w:cs="Times New Roman"/>
          <w:noProof/>
          <w:sz w:val="24"/>
          <w:szCs w:val="24"/>
          <w:lang w:val="en-GB"/>
        </w:rPr>
        <w:t>(6), 1019–1044.</w:t>
      </w:r>
    </w:p>
    <w:p w14:paraId="6ED4E981"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Lattemann, C., Fetscherin, M., Alon, I., Li, S., &amp; Schneider, A. M. (2009). CSR communication intensity in Chinese and Indian multinational companies. </w:t>
      </w:r>
      <w:r w:rsidRPr="00AE77D4">
        <w:rPr>
          <w:rFonts w:ascii="Times New Roman" w:hAnsi="Times New Roman" w:cs="Times New Roman"/>
          <w:i/>
          <w:iCs/>
          <w:noProof/>
          <w:sz w:val="24"/>
          <w:szCs w:val="24"/>
          <w:lang w:val="en-GB"/>
        </w:rPr>
        <w:t>Corporate Governance: An International Review</w:t>
      </w:r>
      <w:r w:rsidRPr="00AE77D4">
        <w:rPr>
          <w:rFonts w:ascii="Times New Roman" w:hAnsi="Times New Roman" w:cs="Times New Roman"/>
          <w:noProof/>
          <w:sz w:val="24"/>
          <w:szCs w:val="24"/>
          <w:lang w:val="en-GB"/>
        </w:rPr>
        <w:t>, </w:t>
      </w:r>
      <w:r w:rsidRPr="00AE77D4">
        <w:rPr>
          <w:rFonts w:ascii="Times New Roman" w:hAnsi="Times New Roman" w:cs="Times New Roman"/>
          <w:i/>
          <w:iCs/>
          <w:noProof/>
          <w:sz w:val="24"/>
          <w:szCs w:val="24"/>
          <w:lang w:val="en-GB"/>
        </w:rPr>
        <w:t>17</w:t>
      </w:r>
      <w:r w:rsidRPr="00AE77D4">
        <w:rPr>
          <w:rFonts w:ascii="Times New Roman" w:hAnsi="Times New Roman" w:cs="Times New Roman"/>
          <w:noProof/>
          <w:sz w:val="24"/>
          <w:szCs w:val="24"/>
          <w:lang w:val="en-GB"/>
        </w:rPr>
        <w:t>(4), 426-442.</w:t>
      </w:r>
    </w:p>
    <w:p w14:paraId="790EE395"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shd w:val="clear" w:color="auto" w:fill="FFFFFF"/>
          <w:lang w:val="en-GB"/>
        </w:rPr>
      </w:pPr>
      <w:r w:rsidRPr="00AE77D4">
        <w:rPr>
          <w:rFonts w:ascii="Times New Roman" w:hAnsi="Times New Roman" w:cs="Times New Roman"/>
          <w:sz w:val="24"/>
          <w:szCs w:val="24"/>
          <w:shd w:val="clear" w:color="auto" w:fill="FFFFFF"/>
          <w:lang w:val="en-GB"/>
        </w:rPr>
        <w:lastRenderedPageBreak/>
        <w:t xml:space="preserve">Lewandowski, S. (2017). Corporate Carbon and Financial Performance: The Role of Emission Reductions. </w:t>
      </w:r>
      <w:r w:rsidRPr="00AE77D4">
        <w:rPr>
          <w:rFonts w:ascii="Times New Roman" w:hAnsi="Times New Roman" w:cs="Times New Roman"/>
          <w:i/>
          <w:iCs/>
          <w:sz w:val="24"/>
          <w:szCs w:val="24"/>
          <w:shd w:val="clear" w:color="auto" w:fill="FFFFFF"/>
          <w:lang w:val="en-GB"/>
        </w:rPr>
        <w:t>Business Strategy and the Environment</w:t>
      </w:r>
      <w:r w:rsidRPr="00AE77D4">
        <w:rPr>
          <w:rFonts w:ascii="Times New Roman" w:hAnsi="Times New Roman" w:cs="Times New Roman"/>
          <w:sz w:val="24"/>
          <w:szCs w:val="24"/>
          <w:shd w:val="clear" w:color="auto" w:fill="FFFFFF"/>
          <w:lang w:val="en-GB"/>
        </w:rPr>
        <w:t xml:space="preserve">, </w:t>
      </w:r>
      <w:r w:rsidRPr="00AE77D4">
        <w:rPr>
          <w:rFonts w:ascii="Times New Roman" w:hAnsi="Times New Roman" w:cs="Times New Roman"/>
          <w:i/>
          <w:iCs/>
          <w:sz w:val="24"/>
          <w:szCs w:val="24"/>
          <w:shd w:val="clear" w:color="auto" w:fill="FFFFFF"/>
          <w:lang w:val="en-GB"/>
        </w:rPr>
        <w:t>26</w:t>
      </w:r>
      <w:r w:rsidRPr="00AE77D4">
        <w:rPr>
          <w:rFonts w:ascii="Times New Roman" w:hAnsi="Times New Roman" w:cs="Times New Roman"/>
          <w:sz w:val="24"/>
          <w:szCs w:val="24"/>
          <w:shd w:val="clear" w:color="auto" w:fill="FFFFFF"/>
          <w:lang w:val="en-GB"/>
        </w:rPr>
        <w:t>(8), 1196–1211.</w:t>
      </w:r>
    </w:p>
    <w:p w14:paraId="4B3DD6B8"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noProof/>
          <w:sz w:val="24"/>
          <w:szCs w:val="24"/>
          <w:lang w:val="en-GB"/>
        </w:rPr>
        <w:t xml:space="preserve">Liao, L., Luo, L.,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Tang, Q. (2015). Gender diversity, board independence, environmental committee and greenhouse gas disclosure. </w:t>
      </w:r>
      <w:r w:rsidRPr="00AE77D4">
        <w:rPr>
          <w:rFonts w:ascii="Times New Roman" w:hAnsi="Times New Roman" w:cs="Times New Roman"/>
          <w:i/>
          <w:iCs/>
          <w:noProof/>
          <w:sz w:val="24"/>
          <w:szCs w:val="24"/>
          <w:lang w:val="en-GB"/>
        </w:rPr>
        <w:t>British Accounting Review</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47</w:t>
      </w:r>
      <w:r w:rsidRPr="00AE77D4">
        <w:rPr>
          <w:rFonts w:ascii="Times New Roman" w:hAnsi="Times New Roman" w:cs="Times New Roman"/>
          <w:noProof/>
          <w:sz w:val="24"/>
          <w:szCs w:val="24"/>
          <w:lang w:val="en-GB"/>
        </w:rPr>
        <w:t>(4), 409–424.</w:t>
      </w:r>
    </w:p>
    <w:p w14:paraId="1E6339F8"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Lu, J., &amp; Herremans, I., M. (2019). Board gender diversity and environmental performance: An industries perspective. </w:t>
      </w:r>
      <w:r w:rsidRPr="00AE77D4">
        <w:rPr>
          <w:rFonts w:ascii="Times New Roman" w:hAnsi="Times New Roman" w:cs="Times New Roman"/>
          <w:i/>
          <w:iCs/>
          <w:sz w:val="24"/>
          <w:szCs w:val="24"/>
          <w:lang w:val="en-GB"/>
        </w:rPr>
        <w:t>Business Strategy and the Environment</w:t>
      </w:r>
      <w:r w:rsidRPr="00AE77D4">
        <w:rPr>
          <w:rFonts w:ascii="Times New Roman" w:hAnsi="Times New Roman" w:cs="Times New Roman"/>
          <w:noProof/>
          <w:sz w:val="24"/>
          <w:szCs w:val="24"/>
          <w:lang w:val="en-GB"/>
        </w:rPr>
        <w: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28</w:t>
      </w:r>
      <w:r w:rsidRPr="00AE77D4">
        <w:rPr>
          <w:rFonts w:ascii="Times New Roman" w:hAnsi="Times New Roman" w:cs="Times New Roman"/>
          <w:sz w:val="24"/>
          <w:szCs w:val="24"/>
          <w:lang w:val="en-GB"/>
        </w:rPr>
        <w:t xml:space="preserve">(7), 1449–1464. </w:t>
      </w:r>
    </w:p>
    <w:p w14:paraId="5FB3B2DD"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Luo, L., &amp; Tang, Q. (2021). Corporate governance and carbon performance: Role of carbon strategy and awareness of climate risk. Accounting &amp; Finance, 61(2), 2891-2934.</w:t>
      </w:r>
    </w:p>
    <w:p w14:paraId="0BE1A4FA"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Mahadeo, J. D., Oogarah-Hanuman, V., &amp; Soobaroyen, T. (2011). Changes in social and environmental reporting practices in an emerging economy (2004–2007): Exploring the relevance of stakeholder and legitimacy theories. </w:t>
      </w:r>
      <w:r w:rsidRPr="00AE77D4">
        <w:rPr>
          <w:rFonts w:ascii="Times New Roman" w:hAnsi="Times New Roman" w:cs="Times New Roman"/>
          <w:i/>
          <w:iCs/>
          <w:sz w:val="24"/>
          <w:szCs w:val="24"/>
          <w:lang w:val="en-GB"/>
        </w:rPr>
        <w:t>Accounting Forum</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35</w:t>
      </w:r>
      <w:r w:rsidRPr="00AE77D4">
        <w:rPr>
          <w:rFonts w:ascii="Times New Roman" w:hAnsi="Times New Roman" w:cs="Times New Roman"/>
          <w:sz w:val="24"/>
          <w:szCs w:val="24"/>
          <w:lang w:val="en-GB"/>
        </w:rPr>
        <w:t>(3), 158–175.</w:t>
      </w:r>
    </w:p>
    <w:p w14:paraId="6A82B261"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Muttakin, M. B., Khan, A.,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Subramaniam, N. (2015). Firm , board diversity and corporate social responsibility: Evidance from Bangladesh. </w:t>
      </w:r>
      <w:r w:rsidRPr="00AE77D4">
        <w:rPr>
          <w:rFonts w:ascii="Times New Roman" w:hAnsi="Times New Roman" w:cs="Times New Roman"/>
          <w:i/>
          <w:iCs/>
          <w:noProof/>
          <w:sz w:val="24"/>
          <w:szCs w:val="24"/>
          <w:lang w:val="en-GB"/>
        </w:rPr>
        <w:t>Pacific Accounting Review</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27</w:t>
      </w:r>
      <w:r w:rsidRPr="00AE77D4">
        <w:rPr>
          <w:rFonts w:ascii="Times New Roman" w:hAnsi="Times New Roman" w:cs="Times New Roman"/>
          <w:iCs/>
          <w:noProof/>
          <w:sz w:val="24"/>
          <w:szCs w:val="24"/>
          <w:lang w:val="en-GB"/>
        </w:rPr>
        <w:t>(3)</w:t>
      </w:r>
      <w:r w:rsidRPr="00AE77D4">
        <w:rPr>
          <w:rFonts w:ascii="Times New Roman" w:hAnsi="Times New Roman" w:cs="Times New Roman"/>
          <w:noProof/>
          <w:sz w:val="24"/>
          <w:szCs w:val="24"/>
          <w:lang w:val="en-GB"/>
        </w:rPr>
        <w:t>, 353–372.</w:t>
      </w:r>
    </w:p>
    <w:p w14:paraId="33022FD8"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noProof/>
          <w:sz w:val="24"/>
          <w:szCs w:val="24"/>
          <w:lang w:val="en-GB"/>
        </w:rPr>
        <w:t xml:space="preserve">Nekhili, M., Chakroun, H.,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Chtioui, T. (2018). Women's Leadership and Firm Performance: Family Versus Nonfamily Firms. </w:t>
      </w:r>
      <w:r w:rsidRPr="00AE77D4">
        <w:rPr>
          <w:rFonts w:ascii="Times New Roman" w:hAnsi="Times New Roman" w:cs="Times New Roman"/>
          <w:i/>
          <w:iCs/>
          <w:noProof/>
          <w:sz w:val="24"/>
          <w:szCs w:val="24"/>
          <w:lang w:val="en-GB"/>
        </w:rPr>
        <w:t>Journal of Business Ethics</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153</w:t>
      </w:r>
      <w:r w:rsidRPr="00AE77D4">
        <w:rPr>
          <w:rFonts w:ascii="Times New Roman" w:hAnsi="Times New Roman" w:cs="Times New Roman"/>
          <w:noProof/>
          <w:sz w:val="24"/>
          <w:szCs w:val="24"/>
          <w:lang w:val="en-GB"/>
        </w:rPr>
        <w:t>(2), 291–316.</w:t>
      </w:r>
    </w:p>
    <w:p w14:paraId="75F24DED"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bidi="bn-BD"/>
        </w:rPr>
      </w:pPr>
      <w:r w:rsidRPr="00AE77D4">
        <w:rPr>
          <w:rFonts w:ascii="Times New Roman" w:hAnsi="Times New Roman" w:cs="Times New Roman"/>
          <w:sz w:val="24"/>
          <w:szCs w:val="24"/>
          <w:lang w:val="en-GB" w:bidi="bn-BD"/>
        </w:rPr>
        <w:t xml:space="preserve">Neter, J., Wasserman, W. </w:t>
      </w:r>
      <w:r w:rsidRPr="00AE77D4">
        <w:rPr>
          <w:rFonts w:ascii="Times New Roman" w:hAnsi="Times New Roman" w:cs="Times New Roman"/>
          <w:sz w:val="24"/>
          <w:szCs w:val="24"/>
          <w:lang w:val="en-GB"/>
        </w:rPr>
        <w:t xml:space="preserve">&amp; </w:t>
      </w:r>
      <w:r w:rsidRPr="00AE77D4">
        <w:rPr>
          <w:rFonts w:ascii="Times New Roman" w:hAnsi="Times New Roman" w:cs="Times New Roman"/>
          <w:sz w:val="24"/>
          <w:szCs w:val="24"/>
          <w:lang w:val="en-GB" w:bidi="bn-BD"/>
        </w:rPr>
        <w:t xml:space="preserve">Kutner, M. H. (1985). </w:t>
      </w:r>
      <w:r w:rsidRPr="00AE77D4">
        <w:rPr>
          <w:rFonts w:ascii="Times New Roman" w:hAnsi="Times New Roman" w:cs="Times New Roman"/>
          <w:i/>
          <w:iCs/>
          <w:sz w:val="24"/>
          <w:szCs w:val="24"/>
          <w:lang w:val="en-GB" w:bidi="bn-BD"/>
        </w:rPr>
        <w:t>Applied Linear Statistical Models</w:t>
      </w:r>
      <w:r w:rsidRPr="00AE77D4">
        <w:rPr>
          <w:rFonts w:ascii="Times New Roman" w:hAnsi="Times New Roman" w:cs="Times New Roman"/>
          <w:sz w:val="24"/>
          <w:szCs w:val="24"/>
          <w:lang w:val="en-GB" w:bidi="bn-BD"/>
        </w:rPr>
        <w:t>. Mc-Graw-Hill.</w:t>
      </w:r>
    </w:p>
    <w:p w14:paraId="6BA482D8" w14:textId="77777777" w:rsidR="007F0276" w:rsidRPr="00AE77D4" w:rsidRDefault="00661A05" w:rsidP="00AE77D4">
      <w:pPr>
        <w:spacing w:after="0" w:line="276" w:lineRule="auto"/>
        <w:ind w:left="720" w:hanging="720"/>
        <w:jc w:val="both"/>
        <w:rPr>
          <w:rStyle w:val="Emphasis"/>
          <w:rFonts w:ascii="Times New Roman" w:hAnsi="Times New Roman" w:cs="Times New Roman"/>
          <w:i w:val="0"/>
          <w:iCs w:val="0"/>
          <w:spacing w:val="-2"/>
          <w:sz w:val="24"/>
          <w:szCs w:val="24"/>
          <w:shd w:val="clear" w:color="auto" w:fill="FFFFFF"/>
          <w:lang w:val="en-GB"/>
        </w:rPr>
      </w:pPr>
      <w:r w:rsidRPr="00AE77D4">
        <w:rPr>
          <w:rStyle w:val="personname"/>
          <w:rFonts w:ascii="Times New Roman" w:hAnsi="Times New Roman" w:cs="Times New Roman"/>
          <w:spacing w:val="-2"/>
          <w:sz w:val="24"/>
          <w:szCs w:val="24"/>
          <w:shd w:val="clear" w:color="auto" w:fill="FFFFFF"/>
          <w:lang w:val="de-DE"/>
        </w:rPr>
        <w:t>Nguyen, T. H. H.,</w:t>
      </w:r>
      <w:r w:rsidRPr="00AE77D4">
        <w:rPr>
          <w:rStyle w:val="creators"/>
          <w:rFonts w:ascii="Times New Roman" w:hAnsi="Times New Roman" w:cs="Times New Roman"/>
          <w:spacing w:val="-2"/>
          <w:sz w:val="24"/>
          <w:szCs w:val="24"/>
          <w:shd w:val="clear" w:color="auto" w:fill="FFFFFF"/>
          <w:lang w:val="de-DE"/>
        </w:rPr>
        <w:t> </w:t>
      </w:r>
      <w:r w:rsidRPr="00AE77D4">
        <w:rPr>
          <w:rStyle w:val="personname"/>
          <w:rFonts w:ascii="Times New Roman" w:hAnsi="Times New Roman" w:cs="Times New Roman"/>
          <w:spacing w:val="-2"/>
          <w:sz w:val="24"/>
          <w:szCs w:val="24"/>
          <w:shd w:val="clear" w:color="auto" w:fill="FFFFFF"/>
          <w:lang w:val="de-DE"/>
        </w:rPr>
        <w:t>Elmagrhi, M. H.</w:t>
      </w:r>
      <w:r w:rsidRPr="00AE77D4">
        <w:rPr>
          <w:rStyle w:val="creators"/>
          <w:rFonts w:ascii="Times New Roman" w:hAnsi="Times New Roman" w:cs="Times New Roman"/>
          <w:spacing w:val="-2"/>
          <w:sz w:val="24"/>
          <w:szCs w:val="24"/>
          <w:shd w:val="clear" w:color="auto" w:fill="FFFFFF"/>
          <w:lang w:val="de-DE"/>
        </w:rPr>
        <w:t>, </w:t>
      </w:r>
      <w:r w:rsidRPr="00AE77D4">
        <w:rPr>
          <w:rStyle w:val="personname"/>
          <w:rFonts w:ascii="Times New Roman" w:hAnsi="Times New Roman" w:cs="Times New Roman"/>
          <w:spacing w:val="-2"/>
          <w:sz w:val="24"/>
          <w:szCs w:val="24"/>
          <w:shd w:val="clear" w:color="auto" w:fill="FFFFFF"/>
          <w:lang w:val="de-DE"/>
        </w:rPr>
        <w:t>Ntim, C.,</w:t>
      </w:r>
      <w:r w:rsidRPr="00AE77D4">
        <w:rPr>
          <w:rStyle w:val="creators"/>
          <w:rFonts w:ascii="Times New Roman" w:hAnsi="Times New Roman" w:cs="Times New Roman"/>
          <w:spacing w:val="-2"/>
          <w:sz w:val="24"/>
          <w:szCs w:val="24"/>
          <w:shd w:val="clear" w:color="auto" w:fill="FFFFFF"/>
          <w:lang w:val="de-DE"/>
        </w:rPr>
        <w:t> </w:t>
      </w:r>
      <w:r w:rsidRPr="00AE77D4">
        <w:rPr>
          <w:rFonts w:ascii="Times New Roman" w:hAnsi="Times New Roman" w:cs="Times New Roman"/>
          <w:sz w:val="24"/>
          <w:szCs w:val="24"/>
          <w:lang w:val="de-DE"/>
        </w:rPr>
        <w:t>&amp;</w:t>
      </w:r>
      <w:r w:rsidRPr="00AE77D4">
        <w:rPr>
          <w:rStyle w:val="creators"/>
          <w:rFonts w:ascii="Times New Roman" w:hAnsi="Times New Roman" w:cs="Times New Roman"/>
          <w:spacing w:val="-2"/>
          <w:sz w:val="24"/>
          <w:szCs w:val="24"/>
          <w:shd w:val="clear" w:color="auto" w:fill="FFFFFF"/>
          <w:lang w:val="de-DE"/>
        </w:rPr>
        <w:t xml:space="preserve"> Wu, Y. </w:t>
      </w:r>
      <w:r w:rsidRPr="00AE77D4">
        <w:rPr>
          <w:rStyle w:val="Date1"/>
          <w:rFonts w:ascii="Times New Roman" w:hAnsi="Times New Roman" w:cs="Times New Roman"/>
          <w:spacing w:val="-2"/>
          <w:sz w:val="24"/>
          <w:szCs w:val="24"/>
          <w:shd w:val="clear" w:color="auto" w:fill="FFFFFF"/>
          <w:lang w:val="de-DE"/>
        </w:rPr>
        <w:t xml:space="preserve">(2021). </w:t>
      </w:r>
      <w:r w:rsidRPr="00AE77D4">
        <w:rPr>
          <w:rStyle w:val="Title1"/>
          <w:rFonts w:ascii="Times New Roman" w:hAnsi="Times New Roman" w:cs="Times New Roman"/>
          <w:spacing w:val="-2"/>
          <w:sz w:val="24"/>
          <w:szCs w:val="24"/>
          <w:shd w:val="clear" w:color="auto" w:fill="FFFFFF"/>
          <w:lang w:val="en-GB"/>
        </w:rPr>
        <w:t>Environmental performance, sustainability, governance and financial performance: evidence from heavily-polluting industries in China</w:t>
      </w:r>
      <w:r w:rsidRPr="00AE77D4">
        <w:rPr>
          <w:rFonts w:ascii="Times New Roman" w:hAnsi="Times New Roman" w:cs="Times New Roman"/>
          <w:noProof/>
          <w:sz w:val="24"/>
          <w:szCs w:val="24"/>
          <w:lang w:val="en-GB"/>
        </w:rPr>
        <w:t xml:space="preserve">. </w:t>
      </w:r>
      <w:r w:rsidRPr="00AE77D4">
        <w:rPr>
          <w:rStyle w:val="Emphasis"/>
          <w:rFonts w:ascii="Times New Roman" w:hAnsi="Times New Roman" w:cs="Times New Roman"/>
          <w:spacing w:val="-2"/>
          <w:sz w:val="24"/>
          <w:szCs w:val="24"/>
          <w:shd w:val="clear" w:color="auto" w:fill="FFFFFF"/>
          <w:lang w:val="en-GB"/>
        </w:rPr>
        <w:t>Business Strategy and the Environment, 30</w:t>
      </w:r>
      <w:r w:rsidRPr="00AE77D4">
        <w:rPr>
          <w:rStyle w:val="Emphasis"/>
          <w:rFonts w:ascii="Times New Roman" w:hAnsi="Times New Roman" w:cs="Times New Roman"/>
          <w:i w:val="0"/>
          <w:iCs w:val="0"/>
          <w:spacing w:val="-2"/>
          <w:sz w:val="24"/>
          <w:szCs w:val="24"/>
          <w:shd w:val="clear" w:color="auto" w:fill="FFFFFF"/>
          <w:lang w:val="en-GB"/>
        </w:rPr>
        <w:t>(5), 2313-2331.</w:t>
      </w:r>
    </w:p>
    <w:p w14:paraId="213C7B27"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Ntim, C. G., &amp; Soobaroyen, T. (2013). Corporate Governance and Performance in Socially Responsible Corporations: New Empirical Insights from a Neo‐Institutional Framework. </w:t>
      </w:r>
      <w:r w:rsidRPr="00AE77D4">
        <w:rPr>
          <w:rFonts w:ascii="Times New Roman" w:hAnsi="Times New Roman" w:cs="Times New Roman"/>
          <w:i/>
          <w:iCs/>
          <w:sz w:val="24"/>
          <w:szCs w:val="24"/>
          <w:lang w:val="en-GB"/>
        </w:rPr>
        <w:t>Corporate Governance: An International Review</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21</w:t>
      </w:r>
      <w:r w:rsidRPr="00AE77D4">
        <w:rPr>
          <w:rFonts w:ascii="Times New Roman" w:hAnsi="Times New Roman" w:cs="Times New Roman"/>
          <w:sz w:val="24"/>
          <w:szCs w:val="24"/>
          <w:lang w:val="en-GB"/>
        </w:rPr>
        <w:t>(5), 468–494.</w:t>
      </w:r>
    </w:p>
    <w:p w14:paraId="284D4330" w14:textId="77777777" w:rsidR="007F0276" w:rsidRPr="00AE77D4" w:rsidRDefault="00661A05" w:rsidP="00AE77D4">
      <w:pPr>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Ntim, C. G., Lindop, S., </w:t>
      </w:r>
      <w:r w:rsidRPr="00AE77D4">
        <w:rPr>
          <w:rFonts w:ascii="Times New Roman" w:hAnsi="Times New Roman" w:cs="Times New Roman"/>
          <w:sz w:val="24"/>
          <w:szCs w:val="24"/>
          <w:lang w:val="en-GB"/>
        </w:rPr>
        <w:t>&amp;</w:t>
      </w:r>
      <w:r w:rsidRPr="00AE77D4">
        <w:rPr>
          <w:rFonts w:ascii="Times New Roman" w:hAnsi="Times New Roman" w:cs="Times New Roman"/>
          <w:noProof/>
          <w:sz w:val="24"/>
          <w:szCs w:val="24"/>
          <w:lang w:val="en-GB"/>
        </w:rPr>
        <w:t xml:space="preserve"> Thomas, D. A. (2013). Corporate governance and risk reporting in South Africa: A study of corporate risk disclosures in the pre- and post-2007/2008 global financial crisis periods. </w:t>
      </w:r>
      <w:r w:rsidRPr="00AE77D4">
        <w:rPr>
          <w:rFonts w:ascii="Times New Roman" w:hAnsi="Times New Roman" w:cs="Times New Roman"/>
          <w:i/>
          <w:iCs/>
          <w:noProof/>
          <w:sz w:val="24"/>
          <w:szCs w:val="24"/>
          <w:lang w:val="en-GB"/>
        </w:rPr>
        <w:t>International Review of Financial Analysis</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30</w:t>
      </w:r>
      <w:r w:rsidRPr="00AE77D4">
        <w:rPr>
          <w:rFonts w:ascii="Times New Roman" w:hAnsi="Times New Roman" w:cs="Times New Roman"/>
          <w:noProof/>
          <w:sz w:val="24"/>
          <w:szCs w:val="24"/>
          <w:lang w:val="en-GB"/>
        </w:rPr>
        <w:t>, 363–383.</w:t>
      </w:r>
    </w:p>
    <w:p w14:paraId="37174EDF" w14:textId="77777777" w:rsidR="007F0276" w:rsidRPr="00AE77D4" w:rsidRDefault="00661A05" w:rsidP="00AE77D4">
      <w:pPr>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Oh, W. Y., Chang, Y. K., &amp; Martynov, A. (2011). The effect of ownership structure on corporate social responsibility: Empirical evidence from Korea. </w:t>
      </w:r>
      <w:r w:rsidRPr="00AE77D4">
        <w:rPr>
          <w:rFonts w:ascii="Times New Roman" w:hAnsi="Times New Roman" w:cs="Times New Roman"/>
          <w:i/>
          <w:iCs/>
          <w:noProof/>
          <w:sz w:val="24"/>
          <w:szCs w:val="24"/>
          <w:lang w:val="en-GB"/>
        </w:rPr>
        <w:t>Journal of business ethics</w:t>
      </w:r>
      <w:r w:rsidRPr="00AE77D4">
        <w:rPr>
          <w:rFonts w:ascii="Times New Roman" w:hAnsi="Times New Roman" w:cs="Times New Roman"/>
          <w:noProof/>
          <w:sz w:val="24"/>
          <w:szCs w:val="24"/>
          <w:lang w:val="en-GB"/>
        </w:rPr>
        <w:t>, </w:t>
      </w:r>
      <w:r w:rsidRPr="00AE77D4">
        <w:rPr>
          <w:rFonts w:ascii="Times New Roman" w:hAnsi="Times New Roman" w:cs="Times New Roman"/>
          <w:i/>
          <w:iCs/>
          <w:noProof/>
          <w:sz w:val="24"/>
          <w:szCs w:val="24"/>
          <w:lang w:val="en-GB"/>
        </w:rPr>
        <w:t>104</w:t>
      </w:r>
      <w:r w:rsidRPr="00AE77D4">
        <w:rPr>
          <w:rFonts w:ascii="Times New Roman" w:hAnsi="Times New Roman" w:cs="Times New Roman"/>
          <w:noProof/>
          <w:sz w:val="24"/>
          <w:szCs w:val="24"/>
          <w:lang w:val="en-GB"/>
        </w:rPr>
        <w:t>, 283-297.</w:t>
      </w:r>
    </w:p>
    <w:p w14:paraId="143990F7" w14:textId="77777777" w:rsidR="007F0276" w:rsidRPr="00AE77D4" w:rsidRDefault="00661A05" w:rsidP="00AE77D4">
      <w:pPr>
        <w:spacing w:after="0" w:line="276" w:lineRule="auto"/>
        <w:ind w:left="720" w:hanging="720"/>
        <w:jc w:val="both"/>
        <w:rPr>
          <w:rFonts w:ascii="Times New Roman" w:hAnsi="Times New Roman" w:cs="Times New Roman"/>
          <w:bCs/>
          <w:sz w:val="24"/>
          <w:szCs w:val="24"/>
          <w:lang w:val="en-GB"/>
        </w:rPr>
      </w:pPr>
      <w:r w:rsidRPr="00AE77D4">
        <w:rPr>
          <w:rFonts w:ascii="Times New Roman" w:hAnsi="Times New Roman" w:cs="Times New Roman"/>
          <w:bCs/>
          <w:sz w:val="24"/>
          <w:szCs w:val="24"/>
          <w:lang w:val="en-GB"/>
        </w:rPr>
        <w:t xml:space="preserve">Orazalin, N. (2020). Do board sustainability committees contribute to corporate environmental and social performance? The mediating role of corporate social responsibility strategy. </w:t>
      </w:r>
      <w:r w:rsidRPr="00AE77D4">
        <w:rPr>
          <w:rFonts w:ascii="Times New Roman" w:hAnsi="Times New Roman" w:cs="Times New Roman"/>
          <w:bCs/>
          <w:i/>
          <w:sz w:val="24"/>
          <w:szCs w:val="24"/>
          <w:lang w:val="en-GB"/>
        </w:rPr>
        <w:t>Business Strategy and the Environment, 29</w:t>
      </w:r>
      <w:r w:rsidRPr="00AE77D4">
        <w:rPr>
          <w:rFonts w:ascii="Times New Roman" w:hAnsi="Times New Roman" w:cs="Times New Roman"/>
          <w:bCs/>
          <w:sz w:val="24"/>
          <w:szCs w:val="24"/>
          <w:lang w:val="en-GB"/>
        </w:rPr>
        <w:t>(1), 140-153.</w:t>
      </w:r>
    </w:p>
    <w:p w14:paraId="7F7AFFEF" w14:textId="77777777" w:rsidR="007F0276" w:rsidRPr="00AE77D4" w:rsidRDefault="00661A05" w:rsidP="00AE77D4">
      <w:pPr>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Orazalin, N. S., Ntim, C. G., &amp; Malagila, J. K. (2023). Board Sustainability Committees, Climate Change Initiatives, Carbon Performance, and Market Value. </w:t>
      </w:r>
      <w:r w:rsidRPr="00AE77D4">
        <w:rPr>
          <w:rFonts w:ascii="Times New Roman" w:hAnsi="Times New Roman" w:cs="Times New Roman"/>
          <w:i/>
          <w:iCs/>
          <w:noProof/>
          <w:sz w:val="24"/>
          <w:szCs w:val="24"/>
          <w:lang w:val="en-GB"/>
        </w:rPr>
        <w:t>British Journal of Management</w:t>
      </w:r>
      <w:r w:rsidRPr="00AE77D4">
        <w:rPr>
          <w:rFonts w:ascii="Times New Roman" w:hAnsi="Times New Roman" w:cs="Times New Roman"/>
          <w:noProof/>
          <w:sz w:val="24"/>
          <w:szCs w:val="24"/>
          <w:lang w:val="en-GB"/>
        </w:rPr>
        <w:t>, 1467-8551.12715.</w:t>
      </w:r>
    </w:p>
    <w:p w14:paraId="2CB97A79"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Post, C., Rahman, N., &amp; McQuillen, C. (2015). From board composition to corporate environmental performance through sustainability-themed alliances. </w:t>
      </w:r>
      <w:r w:rsidRPr="00AE77D4">
        <w:rPr>
          <w:rFonts w:ascii="Times New Roman" w:hAnsi="Times New Roman" w:cs="Times New Roman"/>
          <w:i/>
          <w:iCs/>
          <w:sz w:val="24"/>
          <w:szCs w:val="24"/>
          <w:lang w:val="en-GB"/>
        </w:rPr>
        <w:t>Journal of Business Ethics</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130</w:t>
      </w:r>
      <w:r w:rsidRPr="00AE77D4">
        <w:rPr>
          <w:rFonts w:ascii="Times New Roman" w:hAnsi="Times New Roman" w:cs="Times New Roman"/>
          <w:sz w:val="24"/>
          <w:szCs w:val="24"/>
          <w:lang w:val="en-GB"/>
        </w:rPr>
        <w:t>(2), 423–435.</w:t>
      </w:r>
    </w:p>
    <w:p w14:paraId="629C372A"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shd w:val="clear" w:color="auto" w:fill="FFFFFF"/>
          <w:lang w:val="en-GB"/>
        </w:rPr>
        <w:lastRenderedPageBreak/>
        <w:t>Qa’dan, M. B. A., &amp; Suwaidan, M. S. (2019). Board composition, ownership structure and corporate social responsibility disclosure: the case of Jordan. </w:t>
      </w:r>
      <w:r w:rsidRPr="00AE77D4">
        <w:rPr>
          <w:rFonts w:ascii="Times New Roman" w:hAnsi="Times New Roman" w:cs="Times New Roman"/>
          <w:i/>
          <w:iCs/>
          <w:sz w:val="24"/>
          <w:szCs w:val="24"/>
          <w:shd w:val="clear" w:color="auto" w:fill="FFFFFF"/>
          <w:lang w:val="en-GB"/>
        </w:rPr>
        <w:t>Social Responsibility Journal</w:t>
      </w:r>
      <w:r w:rsidRPr="00AE77D4">
        <w:rPr>
          <w:rFonts w:ascii="Times New Roman" w:hAnsi="Times New Roman" w:cs="Times New Roman"/>
          <w:sz w:val="24"/>
          <w:szCs w:val="24"/>
          <w:shd w:val="clear" w:color="auto" w:fill="FFFFFF"/>
          <w:lang w:val="en-GB"/>
        </w:rPr>
        <w:t xml:space="preserve">, </w:t>
      </w:r>
      <w:r w:rsidRPr="00AE77D4">
        <w:rPr>
          <w:rFonts w:ascii="Times New Roman" w:hAnsi="Times New Roman" w:cs="Times New Roman"/>
          <w:i/>
          <w:iCs/>
          <w:sz w:val="24"/>
          <w:szCs w:val="24"/>
          <w:shd w:val="clear" w:color="auto" w:fill="FFFFFF"/>
          <w:lang w:val="en-GB"/>
        </w:rPr>
        <w:t>15</w:t>
      </w:r>
      <w:r w:rsidRPr="00AE77D4">
        <w:rPr>
          <w:rFonts w:ascii="Times New Roman" w:hAnsi="Times New Roman" w:cs="Times New Roman"/>
          <w:sz w:val="24"/>
          <w:szCs w:val="24"/>
          <w:shd w:val="clear" w:color="auto" w:fill="FFFFFF"/>
          <w:lang w:val="en-GB"/>
        </w:rPr>
        <w:t>(1), 28-46.</w:t>
      </w:r>
    </w:p>
    <w:p w14:paraId="1DFD43D7"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Renders, A., Gaeremynck, A., &amp; Sercu, P. (2010). Corporate-governance ratings and company performance: A cross-European study. </w:t>
      </w:r>
      <w:r w:rsidRPr="00AE77D4">
        <w:rPr>
          <w:rFonts w:ascii="Times New Roman" w:hAnsi="Times New Roman" w:cs="Times New Roman"/>
          <w:i/>
          <w:iCs/>
          <w:sz w:val="24"/>
          <w:szCs w:val="24"/>
          <w:lang w:val="en-GB"/>
        </w:rPr>
        <w:t>Corporate Governance</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18</w:t>
      </w:r>
      <w:r w:rsidRPr="00AE77D4">
        <w:rPr>
          <w:rFonts w:ascii="Times New Roman" w:hAnsi="Times New Roman" w:cs="Times New Roman"/>
          <w:sz w:val="24"/>
          <w:szCs w:val="24"/>
          <w:lang w:val="en-GB"/>
        </w:rPr>
        <w:t>(2), 87-106.</w:t>
      </w:r>
    </w:p>
    <w:p w14:paraId="18205311"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Rhodes, M. J. (2010). Information asymmetry and socially responsible investment. </w:t>
      </w:r>
      <w:r w:rsidRPr="00AE77D4">
        <w:rPr>
          <w:rFonts w:ascii="Times New Roman" w:hAnsi="Times New Roman" w:cs="Times New Roman"/>
          <w:i/>
          <w:iCs/>
          <w:sz w:val="24"/>
          <w:szCs w:val="24"/>
          <w:lang w:val="en-GB"/>
        </w:rPr>
        <w:t>Journal of Business Ethics</w:t>
      </w:r>
      <w:r w:rsidRPr="00AE77D4">
        <w:rPr>
          <w:rFonts w:ascii="Times New Roman" w:hAnsi="Times New Roman" w:cs="Times New Roman"/>
          <w:sz w:val="24"/>
          <w:szCs w:val="24"/>
          <w:lang w:val="en-GB"/>
        </w:rPr>
        <w:t>, </w:t>
      </w:r>
      <w:r w:rsidRPr="00AE77D4">
        <w:rPr>
          <w:rFonts w:ascii="Times New Roman" w:hAnsi="Times New Roman" w:cs="Times New Roman"/>
          <w:i/>
          <w:iCs/>
          <w:sz w:val="24"/>
          <w:szCs w:val="24"/>
          <w:lang w:val="en-GB"/>
        </w:rPr>
        <w:t>95</w:t>
      </w:r>
      <w:r w:rsidRPr="00AE77D4">
        <w:rPr>
          <w:rFonts w:ascii="Times New Roman" w:hAnsi="Times New Roman" w:cs="Times New Roman"/>
          <w:sz w:val="24"/>
          <w:szCs w:val="24"/>
          <w:lang w:val="en-GB"/>
        </w:rPr>
        <w:t>, 145-150.</w:t>
      </w:r>
    </w:p>
    <w:p w14:paraId="2B1F835A"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Saha, A. K. (2019). Relationship between corporate social responsibility performance and disclosures: commercial banks of Bangladesh</w:t>
      </w:r>
      <w:r w:rsidRPr="00AE77D4">
        <w:rPr>
          <w:rFonts w:ascii="Times New Roman" w:hAnsi="Times New Roman" w:cs="Times New Roman"/>
          <w:sz w:val="24"/>
          <w:szCs w:val="24"/>
          <w:lang w:val="en-GB" w:bidi="bn-BD"/>
        </w:rPr>
        <w:t>.</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Social Responsibility Journal</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15</w:t>
      </w:r>
      <w:r w:rsidRPr="00AE77D4">
        <w:rPr>
          <w:rFonts w:ascii="Times New Roman" w:hAnsi="Times New Roman" w:cs="Times New Roman"/>
          <w:noProof/>
          <w:sz w:val="24"/>
          <w:szCs w:val="24"/>
          <w:lang w:val="en-GB"/>
        </w:rPr>
        <w:t>(4), 451-468.</w:t>
      </w:r>
    </w:p>
    <w:p w14:paraId="72FED4CE"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bidi="bn-BD"/>
        </w:rPr>
      </w:pPr>
      <w:r w:rsidRPr="00AE77D4">
        <w:rPr>
          <w:rFonts w:ascii="Times New Roman" w:hAnsi="Times New Roman" w:cs="Times New Roman"/>
          <w:sz w:val="24"/>
          <w:szCs w:val="24"/>
          <w:lang w:val="en-GB"/>
        </w:rPr>
        <w:t xml:space="preserve">Saha, A. K., &amp; Akter, S. </w:t>
      </w:r>
      <w:r w:rsidRPr="00AE77D4">
        <w:rPr>
          <w:rFonts w:ascii="Times New Roman" w:hAnsi="Times New Roman" w:cs="Times New Roman"/>
          <w:noProof/>
          <w:sz w:val="24"/>
          <w:szCs w:val="24"/>
          <w:lang w:val="en-GB"/>
        </w:rPr>
        <w:t xml:space="preserve">(2013). </w:t>
      </w:r>
      <w:r w:rsidRPr="00AE77D4">
        <w:rPr>
          <w:rFonts w:ascii="Times New Roman" w:hAnsi="Times New Roman" w:cs="Times New Roman"/>
          <w:sz w:val="24"/>
          <w:szCs w:val="24"/>
          <w:lang w:val="en-GB" w:bidi="bn-BD"/>
        </w:rPr>
        <w:t>Corporate Governance and Voluntary Disclosure Practices of Financial and Non-Financial Sector Companies in Bangladesh</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sz w:val="24"/>
          <w:szCs w:val="24"/>
          <w:lang w:val="en-GB" w:bidi="bn-BD"/>
        </w:rPr>
        <w:t>Journal of Applied Management Accounting Research</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11</w:t>
      </w:r>
      <w:r w:rsidRPr="00AE77D4">
        <w:rPr>
          <w:rFonts w:ascii="Times New Roman" w:hAnsi="Times New Roman" w:cs="Times New Roman"/>
          <w:noProof/>
          <w:sz w:val="24"/>
          <w:szCs w:val="24"/>
          <w:lang w:val="en-GB"/>
        </w:rPr>
        <w:t>(2), 45–61.</w:t>
      </w:r>
    </w:p>
    <w:p w14:paraId="3536DD1F"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rPr>
        <w:t>Saha, A. K., &amp; Khan, I. (2024). Sustainable prosperity: unravelling the Nordic nexus of ESG, financial performance, and corporate governance. </w:t>
      </w:r>
      <w:r w:rsidRPr="00AE77D4">
        <w:rPr>
          <w:rFonts w:ascii="Times New Roman" w:hAnsi="Times New Roman" w:cs="Times New Roman"/>
          <w:i/>
          <w:iCs/>
          <w:sz w:val="24"/>
          <w:szCs w:val="24"/>
        </w:rPr>
        <w:t>European Business Review</w:t>
      </w:r>
      <w:r w:rsidRPr="00AE77D4">
        <w:rPr>
          <w:rFonts w:ascii="Times New Roman" w:hAnsi="Times New Roman" w:cs="Times New Roman"/>
          <w:sz w:val="24"/>
          <w:szCs w:val="24"/>
        </w:rPr>
        <w: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ahead-of-print</w:t>
      </w:r>
      <w:r w:rsidRPr="00AE77D4">
        <w:rPr>
          <w:rFonts w:ascii="Times New Roman" w:hAnsi="Times New Roman" w:cs="Times New Roman"/>
          <w:sz w:val="24"/>
          <w:szCs w:val="24"/>
          <w:lang w:val="en-GB"/>
        </w:rPr>
        <w:t>.</w:t>
      </w:r>
      <w:r w:rsidRPr="00AE77D4">
        <w:t xml:space="preserve"> </w:t>
      </w:r>
    </w:p>
    <w:p w14:paraId="14CDB286" w14:textId="77777777" w:rsidR="007F0276" w:rsidRPr="00AE77D4" w:rsidRDefault="00661A05" w:rsidP="00AE77D4">
      <w:pPr>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sz w:val="24"/>
          <w:szCs w:val="24"/>
          <w:lang w:val="en-GB"/>
        </w:rPr>
        <w:t xml:space="preserve">Saha, A. K., Saha, B., Choudhury, T., &amp; Jie, F. </w:t>
      </w:r>
      <w:r w:rsidRPr="00AE77D4">
        <w:rPr>
          <w:rFonts w:ascii="Times New Roman" w:hAnsi="Times New Roman" w:cs="Times New Roman"/>
          <w:noProof/>
          <w:sz w:val="24"/>
          <w:szCs w:val="24"/>
          <w:lang w:val="en-GB"/>
        </w:rPr>
        <w:t xml:space="preserve">(2019). Quality versus volume of carbon disclosures and carbon reduction targets: Evidence from UK higher education institutions. </w:t>
      </w:r>
      <w:r w:rsidRPr="00AE77D4">
        <w:rPr>
          <w:rFonts w:ascii="Times New Roman" w:hAnsi="Times New Roman" w:cs="Times New Roman"/>
          <w:i/>
          <w:iCs/>
          <w:noProof/>
          <w:sz w:val="24"/>
          <w:szCs w:val="24"/>
          <w:lang w:val="en-GB"/>
        </w:rPr>
        <w:t>Pacific Accounting Review</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31</w:t>
      </w:r>
      <w:r w:rsidRPr="00AE77D4">
        <w:rPr>
          <w:rFonts w:ascii="Times New Roman" w:hAnsi="Times New Roman" w:cs="Times New Roman"/>
          <w:noProof/>
          <w:sz w:val="24"/>
          <w:szCs w:val="24"/>
          <w:lang w:val="en-GB"/>
        </w:rPr>
        <w:t>(3), 413–437.</w:t>
      </w:r>
    </w:p>
    <w:p w14:paraId="3246845D"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Saha, A.K., Al-Shaer, H., Dixon, R., &amp; Demirag. I. (2020). Determinants of Carbon Emission Disclosures and UN Sustainable Development Goals: The Case of UK Higher Education Institutions. </w:t>
      </w:r>
      <w:r w:rsidRPr="00AE77D4">
        <w:rPr>
          <w:rFonts w:ascii="Times New Roman" w:hAnsi="Times New Roman" w:cs="Times New Roman"/>
          <w:i/>
          <w:iCs/>
          <w:sz w:val="24"/>
          <w:szCs w:val="24"/>
          <w:lang w:val="en-GB"/>
        </w:rPr>
        <w:t>Australian Accounting Review, 31</w:t>
      </w:r>
      <w:r w:rsidRPr="00AE77D4">
        <w:rPr>
          <w:rFonts w:ascii="Times New Roman" w:hAnsi="Times New Roman" w:cs="Times New Roman"/>
          <w:sz w:val="24"/>
          <w:szCs w:val="24"/>
          <w:lang w:val="en-GB"/>
        </w:rPr>
        <w:t xml:space="preserve">(2), </w:t>
      </w:r>
      <w:r w:rsidRPr="00AE77D4">
        <w:rPr>
          <w:rFonts w:ascii="Times New Roman" w:hAnsi="Times New Roman" w:cs="Times New Roman"/>
          <w:sz w:val="24"/>
          <w:szCs w:val="24"/>
          <w:shd w:val="clear" w:color="auto" w:fill="FFFFFF"/>
        </w:rPr>
        <w:t>79-107.</w:t>
      </w:r>
    </w:p>
    <w:p w14:paraId="5650BAC7"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Scott, W. R. (2013). </w:t>
      </w:r>
      <w:r w:rsidRPr="00AE77D4">
        <w:rPr>
          <w:rFonts w:ascii="Times New Roman" w:hAnsi="Times New Roman" w:cs="Times New Roman"/>
          <w:i/>
          <w:iCs/>
          <w:sz w:val="24"/>
          <w:szCs w:val="24"/>
          <w:lang w:val="en-GB"/>
        </w:rPr>
        <w:t>Institutions and organizations: Ideas, interests, and identities</w:t>
      </w:r>
      <w:r w:rsidRPr="00AE77D4">
        <w:rPr>
          <w:rFonts w:ascii="Times New Roman" w:hAnsi="Times New Roman" w:cs="Times New Roman"/>
          <w:sz w:val="24"/>
          <w:szCs w:val="24"/>
          <w:lang w:val="en-GB"/>
        </w:rPr>
        <w:t>. Sage publications.</w:t>
      </w:r>
    </w:p>
    <w:p w14:paraId="721A39B5"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Securities and Exchange Commission. (2012). Notification. </w:t>
      </w:r>
      <w:hyperlink r:id="rId13" w:history="1">
        <w:r w:rsidRPr="00AE77D4">
          <w:rPr>
            <w:rStyle w:val="Hyperlink"/>
            <w:rFonts w:ascii="Times New Roman" w:hAnsi="Times New Roman" w:cs="Times New Roman"/>
            <w:color w:val="auto"/>
            <w:sz w:val="24"/>
            <w:szCs w:val="24"/>
            <w:u w:val="none"/>
            <w:lang w:val="en-GB" w:bidi="bn-BD"/>
          </w:rPr>
          <w:t>https://www.sec.gov.bd/slaws/</w:t>
        </w:r>
      </w:hyperlink>
      <w:r w:rsidRPr="00AE77D4">
        <w:rPr>
          <w:rFonts w:ascii="Times New Roman" w:hAnsi="Times New Roman" w:cs="Times New Roman"/>
          <w:sz w:val="24"/>
          <w:szCs w:val="24"/>
          <w:lang w:val="en-GB"/>
        </w:rPr>
        <w:t xml:space="preserve"> </w:t>
      </w:r>
      <w:r w:rsidRPr="00AE77D4">
        <w:rPr>
          <w:rStyle w:val="Hyperlink"/>
          <w:rFonts w:ascii="Times New Roman" w:hAnsi="Times New Roman" w:cs="Times New Roman"/>
          <w:color w:val="auto"/>
          <w:sz w:val="24"/>
          <w:szCs w:val="24"/>
          <w:u w:val="none"/>
          <w:lang w:val="en-GB" w:bidi="bn-BD"/>
        </w:rPr>
        <w:t xml:space="preserve">Notification_on_CG-07.8.12-Amended.pdf </w:t>
      </w:r>
      <w:r w:rsidRPr="00AE77D4">
        <w:rPr>
          <w:rFonts w:ascii="Times New Roman" w:hAnsi="Times New Roman" w:cs="Times New Roman"/>
          <w:sz w:val="24"/>
          <w:szCs w:val="24"/>
          <w:lang w:val="en-GB"/>
        </w:rPr>
        <w:t>(accessed 15 March 2023).</w:t>
      </w:r>
    </w:p>
    <w:p w14:paraId="7324D7A7"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lang w:val="en-GB" w:bidi="bn-BD"/>
        </w:rPr>
      </w:pPr>
      <w:r w:rsidRPr="00AE77D4">
        <w:rPr>
          <w:rFonts w:ascii="Times New Roman" w:hAnsi="Times New Roman" w:cs="Times New Roman"/>
          <w:sz w:val="24"/>
          <w:szCs w:val="24"/>
          <w:lang w:val="en-GB" w:bidi="bn-BD"/>
        </w:rPr>
        <w:t>Shahab, Y., Wang, P., Gull, A. A., Chen, Y., &amp; Ntim, C. G. (2023). Social trust and environmental performance in China: Does state ownership matter?. </w:t>
      </w:r>
      <w:r w:rsidRPr="00AE77D4">
        <w:rPr>
          <w:rFonts w:ascii="Times New Roman" w:hAnsi="Times New Roman" w:cs="Times New Roman"/>
          <w:i/>
          <w:iCs/>
          <w:sz w:val="24"/>
          <w:szCs w:val="24"/>
          <w:lang w:val="en-GB" w:bidi="bn-BD"/>
        </w:rPr>
        <w:t>Economic Modelling</w:t>
      </w:r>
      <w:r w:rsidRPr="00AE77D4">
        <w:rPr>
          <w:rFonts w:ascii="Times New Roman" w:hAnsi="Times New Roman" w:cs="Times New Roman"/>
          <w:sz w:val="24"/>
          <w:szCs w:val="24"/>
          <w:lang w:val="en-GB" w:bidi="bn-BD"/>
        </w:rPr>
        <w:t>, </w:t>
      </w:r>
      <w:r w:rsidRPr="00AE77D4">
        <w:rPr>
          <w:rFonts w:ascii="Times New Roman" w:hAnsi="Times New Roman" w:cs="Times New Roman"/>
          <w:i/>
          <w:iCs/>
          <w:sz w:val="24"/>
          <w:szCs w:val="24"/>
          <w:lang w:val="en-GB" w:bidi="bn-BD"/>
        </w:rPr>
        <w:t>124</w:t>
      </w:r>
      <w:r w:rsidRPr="00AE77D4">
        <w:rPr>
          <w:rFonts w:ascii="Times New Roman" w:hAnsi="Times New Roman" w:cs="Times New Roman"/>
          <w:sz w:val="24"/>
          <w:szCs w:val="24"/>
          <w:lang w:val="en-GB" w:bidi="bn-BD"/>
        </w:rPr>
        <w:t>, 106328.</w:t>
      </w:r>
    </w:p>
    <w:p w14:paraId="67720818"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Siddiqui, J.,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Uddin, S. (2016). Human rights disasters, corporate accountability and the state: Lessons learned from Rana Plaza. </w:t>
      </w:r>
      <w:r w:rsidRPr="00AE77D4">
        <w:rPr>
          <w:rFonts w:ascii="Times New Roman" w:hAnsi="Times New Roman" w:cs="Times New Roman"/>
          <w:i/>
          <w:iCs/>
          <w:noProof/>
          <w:sz w:val="24"/>
          <w:szCs w:val="24"/>
          <w:lang w:val="en-GB"/>
        </w:rPr>
        <w:t>Accounting, Auditing and Accountability Journal</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29</w:t>
      </w:r>
      <w:r w:rsidRPr="00AE77D4">
        <w:rPr>
          <w:rFonts w:ascii="Times New Roman" w:hAnsi="Times New Roman" w:cs="Times New Roman"/>
          <w:noProof/>
          <w:sz w:val="24"/>
          <w:szCs w:val="24"/>
          <w:lang w:val="en-GB"/>
        </w:rPr>
        <w:t>(4), 679–704.</w:t>
      </w:r>
    </w:p>
    <w:p w14:paraId="1CAD6640" w14:textId="77777777" w:rsidR="007F0276" w:rsidRPr="00AE77D4" w:rsidRDefault="00661A05" w:rsidP="00AE77D4">
      <w:pPr>
        <w:autoSpaceDE w:val="0"/>
        <w:autoSpaceDN w:val="0"/>
        <w:adjustRightInd w:val="0"/>
        <w:spacing w:after="0" w:line="276" w:lineRule="auto"/>
        <w:ind w:left="720" w:hanging="720"/>
        <w:jc w:val="both"/>
        <w:rPr>
          <w:rFonts w:ascii="Times New Roman" w:hAnsi="Times New Roman" w:cs="Times New Roman"/>
          <w:sz w:val="24"/>
          <w:szCs w:val="24"/>
          <w:lang w:val="en-GB" w:bidi="bn-BD"/>
        </w:rPr>
      </w:pPr>
      <w:r w:rsidRPr="00AE77D4">
        <w:rPr>
          <w:rFonts w:ascii="Times New Roman" w:hAnsi="Times New Roman" w:cs="Times New Roman"/>
          <w:sz w:val="24"/>
          <w:szCs w:val="24"/>
        </w:rPr>
        <w:t>Simnett, R., Nugent, M., &amp; Huggins, A. L. (2009). Developing an international assurance standard on greenhouse gas statements. </w:t>
      </w:r>
      <w:r w:rsidRPr="00AE77D4">
        <w:rPr>
          <w:rFonts w:ascii="Times New Roman" w:hAnsi="Times New Roman" w:cs="Times New Roman"/>
          <w:i/>
          <w:iCs/>
          <w:sz w:val="24"/>
          <w:szCs w:val="24"/>
        </w:rPr>
        <w:t>Accounting Horizons</w:t>
      </w:r>
      <w:r w:rsidRPr="00AE77D4">
        <w:rPr>
          <w:rFonts w:ascii="Times New Roman" w:hAnsi="Times New Roman" w:cs="Times New Roman"/>
          <w:sz w:val="24"/>
          <w:szCs w:val="24"/>
        </w:rPr>
        <w:t>, </w:t>
      </w:r>
      <w:r w:rsidRPr="00AE77D4">
        <w:rPr>
          <w:rFonts w:ascii="Times New Roman" w:hAnsi="Times New Roman" w:cs="Times New Roman"/>
          <w:i/>
          <w:iCs/>
          <w:sz w:val="24"/>
          <w:szCs w:val="24"/>
        </w:rPr>
        <w:t>23</w:t>
      </w:r>
      <w:r w:rsidRPr="00AE77D4">
        <w:rPr>
          <w:rFonts w:ascii="Times New Roman" w:hAnsi="Times New Roman" w:cs="Times New Roman"/>
          <w:sz w:val="24"/>
          <w:szCs w:val="24"/>
        </w:rPr>
        <w:t>(4), 347-363.</w:t>
      </w:r>
      <w:r w:rsidRPr="00AE77D4">
        <w:rPr>
          <w:rFonts w:ascii="Times New Roman" w:hAnsi="Times New Roman" w:cs="Times New Roman"/>
          <w:sz w:val="24"/>
          <w:szCs w:val="24"/>
          <w:lang w:val="en-GB"/>
        </w:rPr>
        <w:t xml:space="preserve"> </w:t>
      </w:r>
    </w:p>
    <w:p w14:paraId="43385D72" w14:textId="77777777" w:rsidR="007F0276" w:rsidRPr="00AE77D4" w:rsidRDefault="00661A05" w:rsidP="00AE77D4">
      <w:pPr>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sz w:val="24"/>
          <w:szCs w:val="24"/>
          <w:lang w:val="en-GB"/>
        </w:rPr>
        <w:t>Simpson, N. Y., Aboagye-Otchere, F., &amp; Ahadzie, R. (2021). Assurance of environmental, social and governance disclosures in a developing country: perspectives of regulators and quasi-regulators.</w:t>
      </w:r>
      <w:r w:rsidRPr="00AE77D4">
        <w:rPr>
          <w:rFonts w:ascii="Times New Roman" w:hAnsi="Times New Roman" w:cs="Times New Roman"/>
          <w:i/>
          <w:iCs/>
          <w:sz w:val="24"/>
          <w:szCs w:val="24"/>
          <w:lang w:val="en-GB"/>
        </w:rPr>
        <w:t xml:space="preserve"> Accounting Forum</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46</w:t>
      </w:r>
      <w:r w:rsidRPr="00AE77D4">
        <w:rPr>
          <w:rFonts w:ascii="Times New Roman" w:hAnsi="Times New Roman" w:cs="Times New Roman"/>
          <w:noProof/>
          <w:sz w:val="24"/>
          <w:szCs w:val="24"/>
          <w:lang w:val="en-GB"/>
        </w:rPr>
        <w:t>(2), 109-133.</w:t>
      </w:r>
    </w:p>
    <w:p w14:paraId="6465C118" w14:textId="77777777" w:rsidR="007F0276" w:rsidRPr="00AE77D4" w:rsidRDefault="00661A05" w:rsidP="00AE77D4">
      <w:pPr>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Suchman, M. C. (1995). Managing legitimacy: Strategic and institutional approaches. </w:t>
      </w:r>
      <w:r w:rsidRPr="00AE77D4">
        <w:rPr>
          <w:rFonts w:ascii="Times New Roman" w:hAnsi="Times New Roman" w:cs="Times New Roman"/>
          <w:i/>
          <w:iCs/>
          <w:noProof/>
          <w:sz w:val="24"/>
          <w:szCs w:val="24"/>
          <w:lang w:val="en-GB"/>
        </w:rPr>
        <w:t>Academy of management review</w:t>
      </w:r>
      <w:r w:rsidRPr="00AE77D4">
        <w:rPr>
          <w:rFonts w:ascii="Times New Roman" w:hAnsi="Times New Roman" w:cs="Times New Roman"/>
          <w:noProof/>
          <w:sz w:val="24"/>
          <w:szCs w:val="24"/>
          <w:lang w:val="en-GB"/>
        </w:rPr>
        <w:t>, </w:t>
      </w:r>
      <w:r w:rsidRPr="00AE77D4">
        <w:rPr>
          <w:rFonts w:ascii="Times New Roman" w:hAnsi="Times New Roman" w:cs="Times New Roman"/>
          <w:i/>
          <w:iCs/>
          <w:noProof/>
          <w:sz w:val="24"/>
          <w:szCs w:val="24"/>
          <w:lang w:val="en-GB"/>
        </w:rPr>
        <w:t>20</w:t>
      </w:r>
      <w:r w:rsidRPr="00AE77D4">
        <w:rPr>
          <w:rFonts w:ascii="Times New Roman" w:hAnsi="Times New Roman" w:cs="Times New Roman"/>
          <w:noProof/>
          <w:sz w:val="24"/>
          <w:szCs w:val="24"/>
          <w:lang w:val="en-GB"/>
        </w:rPr>
        <w:t>(3), 571-610.</w:t>
      </w:r>
    </w:p>
    <w:p w14:paraId="2EAD9807" w14:textId="77777777" w:rsidR="007F0276" w:rsidRPr="00AE77D4" w:rsidRDefault="00661A05" w:rsidP="00AE77D4">
      <w:pPr>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Sullivan, R., &amp; Gouldson, A. (2017). The governance of corporate responses to climate change: An international comparison. </w:t>
      </w:r>
      <w:r w:rsidRPr="00AE77D4">
        <w:rPr>
          <w:rFonts w:ascii="Times New Roman" w:hAnsi="Times New Roman" w:cs="Times New Roman"/>
          <w:i/>
          <w:iCs/>
          <w:noProof/>
          <w:sz w:val="24"/>
          <w:szCs w:val="24"/>
          <w:lang w:val="en-GB"/>
        </w:rPr>
        <w:t>Business Strategy and the Environment</w:t>
      </w:r>
      <w:r w:rsidRPr="00AE77D4">
        <w:rPr>
          <w:rFonts w:ascii="Times New Roman" w:hAnsi="Times New Roman" w:cs="Times New Roman"/>
          <w:noProof/>
          <w:sz w:val="24"/>
          <w:szCs w:val="24"/>
          <w:lang w:val="en-GB"/>
        </w:rPr>
        <w:t>, </w:t>
      </w:r>
      <w:r w:rsidRPr="00AE77D4">
        <w:rPr>
          <w:rFonts w:ascii="Times New Roman" w:hAnsi="Times New Roman" w:cs="Times New Roman"/>
          <w:i/>
          <w:iCs/>
          <w:noProof/>
          <w:sz w:val="24"/>
          <w:szCs w:val="24"/>
          <w:lang w:val="en-GB"/>
        </w:rPr>
        <w:t>26</w:t>
      </w:r>
      <w:r w:rsidRPr="00AE77D4">
        <w:rPr>
          <w:rFonts w:ascii="Times New Roman" w:hAnsi="Times New Roman" w:cs="Times New Roman"/>
          <w:noProof/>
          <w:sz w:val="24"/>
          <w:szCs w:val="24"/>
          <w:lang w:val="en-GB"/>
        </w:rPr>
        <w:t>(4), 413-425.</w:t>
      </w:r>
    </w:p>
    <w:p w14:paraId="54AE0402"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lastRenderedPageBreak/>
        <w:t xml:space="preserve">Sun, Y., Yang, Y., Huang, N., &amp; Zou, X. (2020). The impacts of climate change risks on financial performance of mining industry: Evidence from listed companies in China. </w:t>
      </w:r>
      <w:r w:rsidRPr="00AE77D4">
        <w:rPr>
          <w:rFonts w:ascii="Times New Roman" w:hAnsi="Times New Roman" w:cs="Times New Roman"/>
          <w:i/>
          <w:iCs/>
          <w:sz w:val="24"/>
          <w:szCs w:val="24"/>
          <w:lang w:val="en-GB"/>
        </w:rPr>
        <w:t>Resources Policy</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69</w:t>
      </w:r>
      <w:r w:rsidRPr="00AE77D4">
        <w:rPr>
          <w:rFonts w:ascii="Times New Roman" w:hAnsi="Times New Roman" w:cs="Times New Roman"/>
          <w:sz w:val="24"/>
          <w:szCs w:val="24"/>
          <w:lang w:val="en-GB"/>
        </w:rPr>
        <w:t>, 101828.</w:t>
      </w:r>
    </w:p>
    <w:p w14:paraId="32DC94CC"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bidi="bn-BD"/>
        </w:rPr>
        <w:t xml:space="preserve">Tabachnick, B. G., </w:t>
      </w:r>
      <w:r w:rsidRPr="00AE77D4">
        <w:rPr>
          <w:rFonts w:ascii="Times New Roman" w:hAnsi="Times New Roman" w:cs="Times New Roman"/>
          <w:sz w:val="24"/>
          <w:szCs w:val="24"/>
          <w:lang w:val="en-GB"/>
        </w:rPr>
        <w:t>&amp;</w:t>
      </w:r>
      <w:r w:rsidRPr="00AE77D4">
        <w:rPr>
          <w:rFonts w:ascii="Times New Roman" w:hAnsi="Times New Roman" w:cs="Times New Roman"/>
          <w:sz w:val="24"/>
          <w:szCs w:val="24"/>
          <w:lang w:val="en-GB" w:bidi="bn-BD"/>
        </w:rPr>
        <w:t xml:space="preserve"> Fidell, L. S. (2001). </w:t>
      </w:r>
      <w:r w:rsidRPr="00AE77D4">
        <w:rPr>
          <w:rFonts w:ascii="Times New Roman" w:hAnsi="Times New Roman" w:cs="Times New Roman"/>
          <w:i/>
          <w:iCs/>
          <w:sz w:val="24"/>
          <w:szCs w:val="24"/>
          <w:lang w:val="en-GB" w:bidi="bn-BD"/>
        </w:rPr>
        <w:t>Using Multivariate Statistics</w:t>
      </w:r>
      <w:r w:rsidRPr="00AE77D4">
        <w:rPr>
          <w:rFonts w:ascii="Times New Roman" w:hAnsi="Times New Roman" w:cs="Times New Roman"/>
          <w:sz w:val="24"/>
          <w:szCs w:val="24"/>
          <w:lang w:val="en-GB" w:bidi="bn-BD"/>
        </w:rPr>
        <w:t xml:space="preserve">, </w:t>
      </w:r>
      <w:r w:rsidRPr="00AE77D4">
        <w:rPr>
          <w:rFonts w:ascii="Times New Roman" w:hAnsi="Times New Roman" w:cs="Times New Roman"/>
          <w:sz w:val="24"/>
          <w:szCs w:val="24"/>
          <w:shd w:val="clear" w:color="auto" w:fill="FFFFFF"/>
          <w:lang w:val="en-GB"/>
        </w:rPr>
        <w:t>Allyn and Bacon</w:t>
      </w:r>
      <w:r w:rsidRPr="00AE77D4">
        <w:rPr>
          <w:rFonts w:ascii="Times New Roman" w:hAnsi="Times New Roman" w:cs="Times New Roman"/>
          <w:sz w:val="24"/>
          <w:szCs w:val="24"/>
          <w:lang w:val="en-GB" w:bidi="bn-BD"/>
        </w:rPr>
        <w:t>.</w:t>
      </w:r>
    </w:p>
    <w:p w14:paraId="5345284E"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noProof/>
          <w:sz w:val="24"/>
          <w:szCs w:val="24"/>
          <w:lang w:val="en-GB"/>
        </w:rPr>
        <w:t xml:space="preserve">Terjesen, S., Sealy, R.,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Singh, V. (2009). Women directors on corporate boards: A review and research agenda. </w:t>
      </w:r>
      <w:r w:rsidRPr="00AE77D4">
        <w:rPr>
          <w:rFonts w:ascii="Times New Roman" w:hAnsi="Times New Roman" w:cs="Times New Roman"/>
          <w:i/>
          <w:iCs/>
          <w:noProof/>
          <w:sz w:val="24"/>
          <w:szCs w:val="24"/>
          <w:lang w:val="en-GB"/>
        </w:rPr>
        <w:t>Corporate Governance: An International Review</w:t>
      </w:r>
      <w:r w:rsidRPr="00AE77D4">
        <w:rPr>
          <w:rFonts w:ascii="Times New Roman" w:hAnsi="Times New Roman" w:cs="Times New Roman"/>
          <w:noProof/>
          <w:sz w:val="24"/>
          <w:szCs w:val="24"/>
          <w:lang w:val="en-GB"/>
        </w:rPr>
        <w:t>,</w:t>
      </w:r>
      <w:r w:rsidRPr="00AE77D4">
        <w:rPr>
          <w:rFonts w:ascii="Times New Roman" w:hAnsi="Times New Roman" w:cs="Times New Roman"/>
          <w:i/>
          <w:iCs/>
          <w:noProof/>
          <w:sz w:val="24"/>
          <w:szCs w:val="24"/>
          <w:lang w:val="en-GB"/>
        </w:rPr>
        <w:t xml:space="preserve"> 17</w:t>
      </w:r>
      <w:r w:rsidRPr="00AE77D4">
        <w:rPr>
          <w:rFonts w:ascii="Times New Roman" w:hAnsi="Times New Roman" w:cs="Times New Roman"/>
          <w:noProof/>
          <w:sz w:val="24"/>
          <w:szCs w:val="24"/>
          <w:lang w:val="en-GB"/>
        </w:rPr>
        <w:t>(3), 320–337.</w:t>
      </w:r>
    </w:p>
    <w:p w14:paraId="1F281C25"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Ullah, S., Akhtar, P., &amp; Zaefarian, G. (2018). Dealing with endogeneity bias: The generalized method of moments (GMM) for panel data. </w:t>
      </w:r>
      <w:r w:rsidRPr="00AE77D4">
        <w:rPr>
          <w:rFonts w:ascii="Times New Roman" w:hAnsi="Times New Roman" w:cs="Times New Roman"/>
          <w:i/>
          <w:iCs/>
          <w:sz w:val="24"/>
          <w:szCs w:val="24"/>
          <w:lang w:val="en-GB"/>
        </w:rPr>
        <w:t>Industrial Marketing Management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71</w:t>
      </w:r>
      <w:r w:rsidRPr="00AE77D4">
        <w:rPr>
          <w:rFonts w:ascii="Times New Roman" w:hAnsi="Times New Roman" w:cs="Times New Roman"/>
          <w:sz w:val="24"/>
          <w:szCs w:val="24"/>
          <w:lang w:val="en-GB"/>
        </w:rPr>
        <w:t>, 69–78.</w:t>
      </w:r>
    </w:p>
    <w:p w14:paraId="60CC68D1"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shd w:val="clear" w:color="auto" w:fill="FFFFFF"/>
          <w:lang w:val="en-GB"/>
        </w:rPr>
        <w:t>Wang, Y., Yekini, K., Babajide, B., &amp; Kessy, M. (2022). Antecedents of corporate social responsibility disclosure: evidence from the UK extractive and retail sector. </w:t>
      </w:r>
      <w:r w:rsidRPr="00AE77D4">
        <w:rPr>
          <w:rFonts w:ascii="Times New Roman" w:hAnsi="Times New Roman" w:cs="Times New Roman"/>
          <w:i/>
          <w:iCs/>
          <w:sz w:val="24"/>
          <w:szCs w:val="24"/>
          <w:shd w:val="clear" w:color="auto" w:fill="FFFFFF"/>
          <w:lang w:val="en-GB"/>
        </w:rPr>
        <w:t>International Journal of Accounting &amp; Information Management</w:t>
      </w:r>
      <w:r w:rsidRPr="00AE77D4">
        <w:rPr>
          <w:rFonts w:ascii="Times New Roman" w:hAnsi="Times New Roman" w:cs="Times New Roman"/>
          <w:sz w:val="24"/>
          <w:szCs w:val="24"/>
          <w:shd w:val="clear" w:color="auto" w:fill="FFFFFF"/>
          <w:lang w:val="en-GB"/>
        </w:rPr>
        <w:t xml:space="preserve">, </w:t>
      </w:r>
      <w:r w:rsidRPr="00AE77D4">
        <w:rPr>
          <w:rFonts w:ascii="Times New Roman" w:hAnsi="Times New Roman" w:cs="Times New Roman"/>
          <w:i/>
          <w:iCs/>
          <w:sz w:val="24"/>
          <w:szCs w:val="24"/>
          <w:lang w:val="en-GB"/>
        </w:rPr>
        <w:t>30</w:t>
      </w:r>
      <w:r w:rsidRPr="00AE77D4">
        <w:rPr>
          <w:rFonts w:ascii="Times New Roman" w:hAnsi="Times New Roman" w:cs="Times New Roman"/>
          <w:sz w:val="24"/>
          <w:szCs w:val="24"/>
          <w:lang w:val="en-GB"/>
        </w:rPr>
        <w:t xml:space="preserve">(2), </w:t>
      </w:r>
      <w:r w:rsidRPr="00AE77D4">
        <w:rPr>
          <w:rFonts w:ascii="Times New Roman" w:hAnsi="Times New Roman" w:cs="Times New Roman"/>
          <w:noProof/>
          <w:sz w:val="24"/>
          <w:szCs w:val="24"/>
          <w:lang w:val="en-GB"/>
        </w:rPr>
        <w:t>161–188.</w:t>
      </w:r>
    </w:p>
    <w:p w14:paraId="1CDE0EAB"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shd w:val="clear" w:color="auto" w:fill="FFFFFF"/>
          <w:lang w:val="en-GB"/>
        </w:rPr>
        <w:t>Wendling, Z. A., Emerson, J. W., de Sherbinin, A., &amp; Esty, D. C. (2020). Environmental Performance Index (Yale Center for Environmental Law &amp; Policy).</w:t>
      </w:r>
    </w:p>
    <w:p w14:paraId="0DE56973"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sz w:val="24"/>
          <w:szCs w:val="24"/>
          <w:shd w:val="clear" w:color="auto" w:fill="FFFFFF"/>
          <w:lang w:val="en-GB"/>
        </w:rPr>
      </w:pPr>
      <w:r w:rsidRPr="00AE77D4">
        <w:rPr>
          <w:rFonts w:ascii="Times New Roman" w:hAnsi="Times New Roman" w:cs="Times New Roman"/>
          <w:sz w:val="24"/>
          <w:szCs w:val="24"/>
          <w:shd w:val="clear" w:color="auto" w:fill="FFFFFF"/>
          <w:lang w:val="en-GB"/>
        </w:rPr>
        <w:t>World Bank. (2012). Bangladesh: Towards accelerated, inclusive and sustainable growth–opportunities and challenges. </w:t>
      </w:r>
      <w:r w:rsidRPr="00AE77D4">
        <w:rPr>
          <w:rFonts w:ascii="Times New Roman" w:hAnsi="Times New Roman" w:cs="Times New Roman"/>
          <w:i/>
          <w:iCs/>
          <w:sz w:val="24"/>
          <w:szCs w:val="24"/>
          <w:shd w:val="clear" w:color="auto" w:fill="FFFFFF"/>
          <w:lang w:val="en-GB"/>
        </w:rPr>
        <w:t>Report 67991. Poverty Reduction and Economic Management Unit, South Asia Region</w:t>
      </w:r>
      <w:r w:rsidRPr="00AE77D4">
        <w:rPr>
          <w:rFonts w:ascii="Times New Roman" w:hAnsi="Times New Roman" w:cs="Times New Roman"/>
          <w:sz w:val="24"/>
          <w:szCs w:val="24"/>
          <w:shd w:val="clear" w:color="auto" w:fill="FFFFFF"/>
          <w:lang w:val="en-GB"/>
        </w:rPr>
        <w:t>.</w:t>
      </w:r>
    </w:p>
    <w:p w14:paraId="350B2483"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sz w:val="24"/>
          <w:szCs w:val="24"/>
          <w:shd w:val="clear" w:color="auto" w:fill="FFFFFF"/>
          <w:lang w:val="en-GB"/>
        </w:rPr>
      </w:pPr>
      <w:r w:rsidRPr="00AE77D4">
        <w:rPr>
          <w:rFonts w:ascii="Times New Roman" w:hAnsi="Times New Roman" w:cs="Times New Roman"/>
          <w:sz w:val="24"/>
          <w:szCs w:val="24"/>
          <w:shd w:val="clear" w:color="auto" w:fill="FFFFFF"/>
          <w:lang w:val="en-GB"/>
        </w:rPr>
        <w:t>Young, S., &amp; Marais, M. (2012). A multi‐level perspective of CSR reporting: The implications of national institutions and industry risk characteristics. </w:t>
      </w:r>
      <w:r w:rsidRPr="00AE77D4">
        <w:rPr>
          <w:rFonts w:ascii="Times New Roman" w:hAnsi="Times New Roman" w:cs="Times New Roman"/>
          <w:i/>
          <w:iCs/>
          <w:sz w:val="24"/>
          <w:szCs w:val="24"/>
          <w:shd w:val="clear" w:color="auto" w:fill="FFFFFF"/>
          <w:lang w:val="en-GB"/>
        </w:rPr>
        <w:t>Corporate governance: an international review</w:t>
      </w:r>
      <w:r w:rsidRPr="00AE77D4">
        <w:rPr>
          <w:rFonts w:ascii="Times New Roman" w:hAnsi="Times New Roman" w:cs="Times New Roman"/>
          <w:sz w:val="24"/>
          <w:szCs w:val="24"/>
          <w:shd w:val="clear" w:color="auto" w:fill="FFFFFF"/>
          <w:lang w:val="en-GB"/>
        </w:rPr>
        <w:t>, </w:t>
      </w:r>
      <w:r w:rsidRPr="00AE77D4">
        <w:rPr>
          <w:rFonts w:ascii="Times New Roman" w:hAnsi="Times New Roman" w:cs="Times New Roman"/>
          <w:i/>
          <w:iCs/>
          <w:sz w:val="24"/>
          <w:szCs w:val="24"/>
          <w:shd w:val="clear" w:color="auto" w:fill="FFFFFF"/>
          <w:lang w:val="en-GB"/>
        </w:rPr>
        <w:t>20</w:t>
      </w:r>
      <w:r w:rsidRPr="00AE77D4">
        <w:rPr>
          <w:rFonts w:ascii="Times New Roman" w:hAnsi="Times New Roman" w:cs="Times New Roman"/>
          <w:sz w:val="24"/>
          <w:szCs w:val="24"/>
          <w:shd w:val="clear" w:color="auto" w:fill="FFFFFF"/>
          <w:lang w:val="en-GB"/>
        </w:rPr>
        <w:t>(5), 432-450.</w:t>
      </w:r>
    </w:p>
    <w:p w14:paraId="0784973A" w14:textId="77777777" w:rsidR="007F0276" w:rsidRPr="00AE77D4" w:rsidRDefault="00661A05" w:rsidP="00AE77D4">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GB"/>
        </w:rPr>
      </w:pPr>
      <w:r w:rsidRPr="00AE77D4">
        <w:rPr>
          <w:rFonts w:ascii="Times New Roman" w:hAnsi="Times New Roman" w:cs="Times New Roman"/>
          <w:noProof/>
          <w:sz w:val="24"/>
          <w:szCs w:val="24"/>
          <w:lang w:val="en-GB"/>
        </w:rPr>
        <w:t xml:space="preserve">Yusoff, H., Ahman, Z.,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Darus, F. (2019). The influence of Corporate Governance on corporate social responsibility disclosure: A focus on accountability. </w:t>
      </w:r>
      <w:r w:rsidRPr="00AE77D4">
        <w:rPr>
          <w:rFonts w:ascii="Times New Roman" w:hAnsi="Times New Roman" w:cs="Times New Roman"/>
          <w:i/>
          <w:iCs/>
          <w:noProof/>
          <w:sz w:val="24"/>
          <w:szCs w:val="24"/>
          <w:lang w:val="en-GB"/>
        </w:rPr>
        <w:t>Academy of Accounting and Financial Studies Journal</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23</w:t>
      </w:r>
      <w:r w:rsidRPr="00AE77D4">
        <w:rPr>
          <w:rFonts w:ascii="Times New Roman" w:hAnsi="Times New Roman" w:cs="Times New Roman"/>
          <w:noProof/>
          <w:sz w:val="24"/>
          <w:szCs w:val="24"/>
          <w:lang w:val="en-GB"/>
        </w:rPr>
        <w:t>(1), 1–16.</w:t>
      </w:r>
    </w:p>
    <w:p w14:paraId="04AA3330"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noProof/>
          <w:sz w:val="24"/>
          <w:szCs w:val="24"/>
          <w:lang w:val="en-GB"/>
        </w:rPr>
        <w:t xml:space="preserve">Zaman, M., Hudaib, M., </w:t>
      </w:r>
      <w:r w:rsidRPr="00AE77D4">
        <w:rPr>
          <w:rFonts w:ascii="Times New Roman" w:hAnsi="Times New Roman" w:cs="Times New Roman"/>
          <w:sz w:val="24"/>
          <w:szCs w:val="24"/>
          <w:lang w:val="en-GB"/>
        </w:rPr>
        <w:t xml:space="preserve">&amp; </w:t>
      </w:r>
      <w:r w:rsidRPr="00AE77D4">
        <w:rPr>
          <w:rFonts w:ascii="Times New Roman" w:hAnsi="Times New Roman" w:cs="Times New Roman"/>
          <w:noProof/>
          <w:sz w:val="24"/>
          <w:szCs w:val="24"/>
          <w:lang w:val="en-GB"/>
        </w:rPr>
        <w:t xml:space="preserve">Haniffa, R. (2011). Corporate governance quality, audit fees and non-audit services fees. </w:t>
      </w:r>
      <w:r w:rsidRPr="00AE77D4">
        <w:rPr>
          <w:rFonts w:ascii="Times New Roman" w:hAnsi="Times New Roman" w:cs="Times New Roman"/>
          <w:i/>
          <w:iCs/>
          <w:noProof/>
          <w:sz w:val="24"/>
          <w:szCs w:val="24"/>
          <w:lang w:val="en-GB"/>
        </w:rPr>
        <w:t>Journal of Business Finance and Accounting</w:t>
      </w:r>
      <w:r w:rsidRPr="00AE77D4">
        <w:rPr>
          <w:rFonts w:ascii="Times New Roman" w:hAnsi="Times New Roman" w:cs="Times New Roman"/>
          <w:noProof/>
          <w:sz w:val="24"/>
          <w:szCs w:val="24"/>
          <w:lang w:val="en-GB"/>
        </w:rPr>
        <w:t xml:space="preserve">, </w:t>
      </w:r>
      <w:r w:rsidRPr="00AE77D4">
        <w:rPr>
          <w:rFonts w:ascii="Times New Roman" w:hAnsi="Times New Roman" w:cs="Times New Roman"/>
          <w:i/>
          <w:iCs/>
          <w:noProof/>
          <w:sz w:val="24"/>
          <w:szCs w:val="24"/>
          <w:lang w:val="en-GB"/>
        </w:rPr>
        <w:t>38</w:t>
      </w:r>
      <w:r w:rsidRPr="00AE77D4">
        <w:rPr>
          <w:rFonts w:ascii="Times New Roman" w:hAnsi="Times New Roman" w:cs="Times New Roman"/>
          <w:noProof/>
          <w:sz w:val="24"/>
          <w:szCs w:val="24"/>
          <w:lang w:val="en-GB"/>
        </w:rPr>
        <w:t>(1–2), 165–197.</w:t>
      </w:r>
      <w:r w:rsidRPr="00AE77D4">
        <w:rPr>
          <w:rFonts w:ascii="Times New Roman" w:hAnsi="Times New Roman" w:cs="Times New Roman"/>
          <w:sz w:val="24"/>
          <w:szCs w:val="24"/>
          <w:lang w:val="en-GB"/>
        </w:rPr>
        <w:t xml:space="preserve"> </w:t>
      </w:r>
    </w:p>
    <w:p w14:paraId="107A64E0"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Zattoni, A., &amp; Cuomo, F. (2008). Why Adopt Codes of Good Governance? A Comparison of Institutional and Efficiency Perspectives. </w:t>
      </w:r>
      <w:r w:rsidRPr="00AE77D4">
        <w:rPr>
          <w:rFonts w:ascii="Times New Roman" w:hAnsi="Times New Roman" w:cs="Times New Roman"/>
          <w:i/>
          <w:iCs/>
          <w:sz w:val="24"/>
          <w:szCs w:val="24"/>
          <w:lang w:val="en-GB"/>
        </w:rPr>
        <w:t>Corporate Governance: An International Review</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16</w:t>
      </w:r>
      <w:r w:rsidRPr="00AE77D4">
        <w:rPr>
          <w:rFonts w:ascii="Times New Roman" w:hAnsi="Times New Roman" w:cs="Times New Roman"/>
          <w:sz w:val="24"/>
          <w:szCs w:val="24"/>
          <w:lang w:val="en-GB"/>
        </w:rPr>
        <w:t>(1), 1–15.</w:t>
      </w:r>
    </w:p>
    <w:p w14:paraId="427C8DD6" w14:textId="77777777" w:rsidR="007F0276" w:rsidRPr="00AE77D4" w:rsidRDefault="00661A05" w:rsidP="00AE77D4">
      <w:pPr>
        <w:spacing w:after="0" w:line="276" w:lineRule="auto"/>
        <w:ind w:left="720" w:hanging="72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Zou, H., Xie, X., Qi, G., &amp; Yang, M. (2019). The heterogeneous relationship between board social ties and corporate environmental responsibility in an emerging economy</w:t>
      </w:r>
      <w:r w:rsidRPr="00AE77D4">
        <w:rPr>
          <w:rFonts w:ascii="Times New Roman" w:hAnsi="Times New Roman" w:cs="Times New Roman"/>
          <w:noProof/>
          <w:sz w:val="24"/>
          <w:szCs w:val="24"/>
          <w:lang w:val="en-GB"/>
        </w:rPr>
        <w:t>.</w:t>
      </w:r>
      <w:r w:rsidRPr="00AE77D4">
        <w:rPr>
          <w:rFonts w:ascii="Times New Roman" w:hAnsi="Times New Roman" w:cs="Times New Roman"/>
          <w:sz w:val="24"/>
          <w:szCs w:val="24"/>
          <w:lang w:val="en-GB"/>
        </w:rPr>
        <w:t xml:space="preserve"> </w:t>
      </w:r>
      <w:r w:rsidRPr="00AE77D4">
        <w:rPr>
          <w:rFonts w:ascii="Times New Roman" w:hAnsi="Times New Roman" w:cs="Times New Roman"/>
          <w:i/>
          <w:iCs/>
          <w:sz w:val="24"/>
          <w:szCs w:val="24"/>
          <w:lang w:val="en-GB"/>
        </w:rPr>
        <w:t>Business Strategy and the Environment, 28</w:t>
      </w:r>
      <w:r w:rsidRPr="00AE77D4">
        <w:rPr>
          <w:rFonts w:ascii="Times New Roman" w:hAnsi="Times New Roman" w:cs="Times New Roman"/>
          <w:sz w:val="24"/>
          <w:szCs w:val="24"/>
          <w:lang w:val="en-GB"/>
        </w:rPr>
        <w:t>(1), 40-52.</w:t>
      </w:r>
    </w:p>
    <w:p w14:paraId="1A17E0D9" w14:textId="77777777" w:rsidR="00786B06"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br w:type="page"/>
      </w:r>
    </w:p>
    <w:p w14:paraId="0FB371A8" w14:textId="208143EF" w:rsidR="00F84C03" w:rsidRPr="00AE77D4" w:rsidRDefault="00661A05" w:rsidP="00AE77D4">
      <w:pPr>
        <w:spacing w:line="276" w:lineRule="auto"/>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lastRenderedPageBreak/>
        <w:t>Appendix A</w:t>
      </w:r>
    </w:p>
    <w:tbl>
      <w:tblPr>
        <w:tblStyle w:val="TableGrid"/>
        <w:tblW w:w="9354" w:type="dxa"/>
        <w:tblInd w:w="110" w:type="dxa"/>
        <w:tblLook w:val="04A0" w:firstRow="1" w:lastRow="0" w:firstColumn="1" w:lastColumn="0" w:noHBand="0" w:noVBand="1"/>
      </w:tblPr>
      <w:tblGrid>
        <w:gridCol w:w="1163"/>
        <w:gridCol w:w="6348"/>
        <w:gridCol w:w="1843"/>
      </w:tblGrid>
      <w:tr w:rsidR="00AE77D4" w:rsidRPr="00AE77D4" w14:paraId="0208F146" w14:textId="77777777" w:rsidTr="00223D1D">
        <w:trPr>
          <w:gridAfter w:val="2"/>
          <w:wAfter w:w="8191" w:type="dxa"/>
          <w:trHeight w:val="378"/>
        </w:trPr>
        <w:tc>
          <w:tcPr>
            <w:tcW w:w="1163" w:type="dxa"/>
            <w:tcBorders>
              <w:top w:val="nil"/>
              <w:left w:val="nil"/>
              <w:right w:val="nil"/>
            </w:tcBorders>
          </w:tcPr>
          <w:p w14:paraId="2BFBCD2F" w14:textId="77777777" w:rsidR="00223D1D" w:rsidRPr="00AE77D4" w:rsidRDefault="00223D1D" w:rsidP="00AE77D4">
            <w:pPr>
              <w:spacing w:line="276" w:lineRule="auto"/>
              <w:rPr>
                <w:rFonts w:ascii="Times New Roman" w:hAnsi="Times New Roman" w:cs="Times New Roman"/>
                <w:sz w:val="24"/>
                <w:szCs w:val="24"/>
                <w:lang w:val="en-GB"/>
              </w:rPr>
            </w:pPr>
          </w:p>
        </w:tc>
      </w:tr>
      <w:tr w:rsidR="00AE77D4" w:rsidRPr="00AE77D4" w14:paraId="3CE52BE1" w14:textId="77777777" w:rsidTr="00DA2E53">
        <w:trPr>
          <w:trHeight w:val="159"/>
        </w:trPr>
        <w:tc>
          <w:tcPr>
            <w:tcW w:w="7511" w:type="dxa"/>
            <w:gridSpan w:val="2"/>
            <w:shd w:val="clear" w:color="auto" w:fill="E7E6E6" w:themeFill="background2"/>
            <w:hideMark/>
          </w:tcPr>
          <w:p w14:paraId="66B3D32F" w14:textId="11CB5318" w:rsidR="00223D1D" w:rsidRPr="00AE77D4" w:rsidRDefault="00223D1D" w:rsidP="00AE77D4">
            <w:pPr>
              <w:spacing w:line="276" w:lineRule="auto"/>
              <w:rPr>
                <w:rFonts w:ascii="Times New Roman" w:hAnsi="Times New Roman" w:cs="Times New Roman"/>
                <w:b/>
                <w:sz w:val="24"/>
                <w:szCs w:val="24"/>
                <w:lang w:val="en-GB"/>
              </w:rPr>
            </w:pPr>
            <w:r w:rsidRPr="00AE77D4">
              <w:rPr>
                <w:rFonts w:ascii="Times New Roman" w:hAnsi="Times New Roman" w:cs="Times New Roman"/>
                <w:b/>
                <w:sz w:val="24"/>
                <w:szCs w:val="24"/>
                <w:lang w:val="en-GB"/>
              </w:rPr>
              <w:t>Disclosure items</w:t>
            </w:r>
          </w:p>
        </w:tc>
        <w:tc>
          <w:tcPr>
            <w:tcW w:w="1843" w:type="dxa"/>
            <w:shd w:val="clear" w:color="auto" w:fill="E7E6E6" w:themeFill="background2"/>
          </w:tcPr>
          <w:p w14:paraId="46A23370" w14:textId="05B9F2FF" w:rsidR="00223D1D" w:rsidRPr="00AE77D4" w:rsidRDefault="00223D1D" w:rsidP="00AE77D4">
            <w:pPr>
              <w:spacing w:line="276" w:lineRule="auto"/>
              <w:rPr>
                <w:rFonts w:ascii="Times New Roman" w:hAnsi="Times New Roman" w:cs="Times New Roman"/>
                <w:b/>
                <w:sz w:val="24"/>
                <w:szCs w:val="24"/>
                <w:lang w:val="en-GB"/>
              </w:rPr>
            </w:pPr>
            <w:r w:rsidRPr="00AE77D4">
              <w:rPr>
                <w:rFonts w:ascii="Times New Roman" w:hAnsi="Times New Roman" w:cs="Times New Roman"/>
                <w:b/>
                <w:sz w:val="24"/>
                <w:szCs w:val="24"/>
                <w:lang w:val="en-GB"/>
              </w:rPr>
              <w:t>GRI Standards</w:t>
            </w:r>
          </w:p>
        </w:tc>
      </w:tr>
      <w:tr w:rsidR="00AE77D4" w:rsidRPr="00AE77D4" w14:paraId="741B0DCA" w14:textId="77777777" w:rsidTr="00DA2E53">
        <w:trPr>
          <w:trHeight w:val="56"/>
        </w:trPr>
        <w:tc>
          <w:tcPr>
            <w:tcW w:w="7511" w:type="dxa"/>
            <w:gridSpan w:val="2"/>
            <w:hideMark/>
          </w:tcPr>
          <w:p w14:paraId="7BFC1B85" w14:textId="275ADB20"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the level of air pollution and control.</w:t>
            </w:r>
          </w:p>
        </w:tc>
        <w:tc>
          <w:tcPr>
            <w:tcW w:w="1843" w:type="dxa"/>
          </w:tcPr>
          <w:p w14:paraId="1F75D4C0" w14:textId="19F06F40"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bCs/>
                <w:sz w:val="24"/>
                <w:szCs w:val="24"/>
                <w:lang w:val="en-GB"/>
              </w:rPr>
              <w:t>11, 12, 13, 305</w:t>
            </w:r>
          </w:p>
        </w:tc>
      </w:tr>
      <w:tr w:rsidR="00AE77D4" w:rsidRPr="00AE77D4" w14:paraId="17B286DC" w14:textId="77777777" w:rsidTr="00DA2E53">
        <w:trPr>
          <w:trHeight w:val="56"/>
        </w:trPr>
        <w:tc>
          <w:tcPr>
            <w:tcW w:w="7511" w:type="dxa"/>
            <w:gridSpan w:val="2"/>
            <w:shd w:val="clear" w:color="auto" w:fill="E7E6E6" w:themeFill="background2"/>
            <w:hideMark/>
          </w:tcPr>
          <w:p w14:paraId="391547A7" w14:textId="6933BB26"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the level of water pollution and control.</w:t>
            </w:r>
          </w:p>
        </w:tc>
        <w:tc>
          <w:tcPr>
            <w:tcW w:w="1843" w:type="dxa"/>
            <w:shd w:val="clear" w:color="auto" w:fill="E7E6E6" w:themeFill="background2"/>
          </w:tcPr>
          <w:p w14:paraId="7DB6B0A7" w14:textId="472CE66E"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3, 12, 13, 303</w:t>
            </w:r>
          </w:p>
        </w:tc>
      </w:tr>
      <w:tr w:rsidR="00AE77D4" w:rsidRPr="00AE77D4" w14:paraId="513A53DC" w14:textId="77777777" w:rsidTr="00DA2E53">
        <w:trPr>
          <w:trHeight w:val="56"/>
        </w:trPr>
        <w:tc>
          <w:tcPr>
            <w:tcW w:w="7511" w:type="dxa"/>
            <w:gridSpan w:val="2"/>
            <w:hideMark/>
          </w:tcPr>
          <w:p w14:paraId="2306688D" w14:textId="7301CDCE"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the level of waste management and investment.</w:t>
            </w:r>
          </w:p>
        </w:tc>
        <w:tc>
          <w:tcPr>
            <w:tcW w:w="1843" w:type="dxa"/>
          </w:tcPr>
          <w:p w14:paraId="01AA161B" w14:textId="4C7EDB1C"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11, 12, 306</w:t>
            </w:r>
          </w:p>
        </w:tc>
      </w:tr>
      <w:tr w:rsidR="00AE77D4" w:rsidRPr="00AE77D4" w14:paraId="11BFC2DC" w14:textId="77777777" w:rsidTr="00DA2E53">
        <w:trPr>
          <w:trHeight w:val="56"/>
        </w:trPr>
        <w:tc>
          <w:tcPr>
            <w:tcW w:w="7511" w:type="dxa"/>
            <w:gridSpan w:val="2"/>
            <w:shd w:val="clear" w:color="auto" w:fill="E7E6E6" w:themeFill="background2"/>
            <w:hideMark/>
          </w:tcPr>
          <w:p w14:paraId="0B180051" w14:textId="324CD9F6"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the level of energy savings and improvements.</w:t>
            </w:r>
          </w:p>
        </w:tc>
        <w:tc>
          <w:tcPr>
            <w:tcW w:w="1843" w:type="dxa"/>
            <w:shd w:val="clear" w:color="auto" w:fill="E7E6E6" w:themeFill="background2"/>
          </w:tcPr>
          <w:p w14:paraId="390DF726" w14:textId="09539104"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3, 302</w:t>
            </w:r>
          </w:p>
        </w:tc>
      </w:tr>
      <w:tr w:rsidR="00AE77D4" w:rsidRPr="00AE77D4" w14:paraId="77AE3E18" w14:textId="77777777" w:rsidTr="00DA2E53">
        <w:trPr>
          <w:trHeight w:val="149"/>
        </w:trPr>
        <w:tc>
          <w:tcPr>
            <w:tcW w:w="7511" w:type="dxa"/>
            <w:gridSpan w:val="2"/>
            <w:hideMark/>
          </w:tcPr>
          <w:p w14:paraId="0248E6F2" w14:textId="7DAEAC5F"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renewable energy and investment.</w:t>
            </w:r>
          </w:p>
        </w:tc>
        <w:tc>
          <w:tcPr>
            <w:tcW w:w="1843" w:type="dxa"/>
          </w:tcPr>
          <w:p w14:paraId="13C5116A" w14:textId="67408874"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3, 302</w:t>
            </w:r>
          </w:p>
        </w:tc>
      </w:tr>
      <w:tr w:rsidR="00AE77D4" w:rsidRPr="00AE77D4" w14:paraId="58EE2EF0" w14:textId="77777777" w:rsidTr="00DA2E53">
        <w:trPr>
          <w:trHeight w:val="139"/>
        </w:trPr>
        <w:tc>
          <w:tcPr>
            <w:tcW w:w="7511" w:type="dxa"/>
            <w:gridSpan w:val="2"/>
            <w:shd w:val="clear" w:color="auto" w:fill="E7E6E6" w:themeFill="background2"/>
            <w:hideMark/>
          </w:tcPr>
          <w:p w14:paraId="436AA058" w14:textId="5C0BAD01"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the implementation of environmental, ecological and carbon management policy and strategy.</w:t>
            </w:r>
          </w:p>
        </w:tc>
        <w:tc>
          <w:tcPr>
            <w:tcW w:w="1843" w:type="dxa"/>
            <w:shd w:val="clear" w:color="auto" w:fill="E7E6E6" w:themeFill="background2"/>
          </w:tcPr>
          <w:p w14:paraId="638FDF83" w14:textId="105EF4F2"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2,11</w:t>
            </w:r>
          </w:p>
        </w:tc>
      </w:tr>
      <w:tr w:rsidR="00AE77D4" w:rsidRPr="00AE77D4" w14:paraId="735170B0" w14:textId="77777777" w:rsidTr="00DA2E53">
        <w:trPr>
          <w:trHeight w:val="56"/>
        </w:trPr>
        <w:tc>
          <w:tcPr>
            <w:tcW w:w="7511" w:type="dxa"/>
            <w:gridSpan w:val="2"/>
            <w:hideMark/>
          </w:tcPr>
          <w:p w14:paraId="3937D8A9" w14:textId="7001DCD5"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gaining environmental certification, honour, award, or appreciation for environmental initiatives and protections.</w:t>
            </w:r>
          </w:p>
        </w:tc>
        <w:tc>
          <w:tcPr>
            <w:tcW w:w="1843" w:type="dxa"/>
          </w:tcPr>
          <w:p w14:paraId="0FC770FA" w14:textId="1AF7326C"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11</w:t>
            </w:r>
          </w:p>
        </w:tc>
      </w:tr>
      <w:tr w:rsidR="00AE77D4" w:rsidRPr="00AE77D4" w14:paraId="20AA4A08" w14:textId="77777777" w:rsidTr="00DA2E53">
        <w:trPr>
          <w:trHeight w:val="298"/>
        </w:trPr>
        <w:tc>
          <w:tcPr>
            <w:tcW w:w="7511" w:type="dxa"/>
            <w:gridSpan w:val="2"/>
            <w:shd w:val="clear" w:color="auto" w:fill="E7E6E6" w:themeFill="background2"/>
            <w:hideMark/>
          </w:tcPr>
          <w:p w14:paraId="0A948E97" w14:textId="56F5F2BA"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environmental committee, separate department of environment and CSR.</w:t>
            </w:r>
          </w:p>
        </w:tc>
        <w:tc>
          <w:tcPr>
            <w:tcW w:w="1843" w:type="dxa"/>
            <w:shd w:val="clear" w:color="auto" w:fill="E7E6E6" w:themeFill="background2"/>
          </w:tcPr>
          <w:p w14:paraId="20F99A18" w14:textId="5E69FDFA"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 3</w:t>
            </w:r>
          </w:p>
        </w:tc>
      </w:tr>
      <w:tr w:rsidR="00AE77D4" w:rsidRPr="00AE77D4" w14:paraId="55C54022" w14:textId="77777777" w:rsidTr="00DA2E53">
        <w:trPr>
          <w:trHeight w:val="179"/>
        </w:trPr>
        <w:tc>
          <w:tcPr>
            <w:tcW w:w="7511" w:type="dxa"/>
            <w:gridSpan w:val="2"/>
            <w:hideMark/>
          </w:tcPr>
          <w:p w14:paraId="147F8DB4" w14:textId="7FD67FA8"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important environmental initiatives and events, policy, strategy and implementation.</w:t>
            </w:r>
          </w:p>
        </w:tc>
        <w:tc>
          <w:tcPr>
            <w:tcW w:w="1843" w:type="dxa"/>
          </w:tcPr>
          <w:p w14:paraId="6C21D3C4" w14:textId="25E7B4DE"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2, 3</w:t>
            </w:r>
          </w:p>
        </w:tc>
      </w:tr>
      <w:tr w:rsidR="00AE77D4" w:rsidRPr="00AE77D4" w14:paraId="19484C63" w14:textId="77777777" w:rsidTr="00DA2E53">
        <w:trPr>
          <w:trHeight w:val="56"/>
        </w:trPr>
        <w:tc>
          <w:tcPr>
            <w:tcW w:w="7511" w:type="dxa"/>
            <w:gridSpan w:val="2"/>
            <w:shd w:val="clear" w:color="auto" w:fill="E7E6E6" w:themeFill="background2"/>
            <w:hideMark/>
          </w:tcPr>
          <w:p w14:paraId="552DF63E" w14:textId="476A707A"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community initiative including tree plantation and forestry.</w:t>
            </w:r>
          </w:p>
        </w:tc>
        <w:tc>
          <w:tcPr>
            <w:tcW w:w="1843" w:type="dxa"/>
            <w:shd w:val="clear" w:color="auto" w:fill="E7E6E6" w:themeFill="background2"/>
          </w:tcPr>
          <w:p w14:paraId="0BBD85E6" w14:textId="4EBFBEF9"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2,11</w:t>
            </w:r>
          </w:p>
        </w:tc>
      </w:tr>
      <w:tr w:rsidR="00AE77D4" w:rsidRPr="00AE77D4" w14:paraId="708A131E" w14:textId="77777777" w:rsidTr="00DA2E53">
        <w:trPr>
          <w:trHeight w:val="56"/>
        </w:trPr>
        <w:tc>
          <w:tcPr>
            <w:tcW w:w="7511" w:type="dxa"/>
            <w:gridSpan w:val="2"/>
            <w:hideMark/>
          </w:tcPr>
          <w:p w14:paraId="77AD7938" w14:textId="4F27C6D6"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important environmental events, training and awareness program.</w:t>
            </w:r>
          </w:p>
        </w:tc>
        <w:tc>
          <w:tcPr>
            <w:tcW w:w="1843" w:type="dxa"/>
          </w:tcPr>
          <w:p w14:paraId="5B8DD9B0" w14:textId="0408A985"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 3,13, 401,404</w:t>
            </w:r>
          </w:p>
        </w:tc>
      </w:tr>
      <w:tr w:rsidR="00AE77D4" w:rsidRPr="00AE77D4" w14:paraId="18577C29" w14:textId="77777777" w:rsidTr="00DA2E53">
        <w:trPr>
          <w:trHeight w:val="56"/>
        </w:trPr>
        <w:tc>
          <w:tcPr>
            <w:tcW w:w="7511" w:type="dxa"/>
            <w:gridSpan w:val="2"/>
            <w:shd w:val="clear" w:color="auto" w:fill="E7E6E6" w:themeFill="background2"/>
            <w:hideMark/>
          </w:tcPr>
          <w:p w14:paraId="0381DC17" w14:textId="77777777"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Disclosure related to climate change and global warming.</w:t>
            </w:r>
          </w:p>
        </w:tc>
        <w:tc>
          <w:tcPr>
            <w:tcW w:w="1843" w:type="dxa"/>
            <w:shd w:val="clear" w:color="auto" w:fill="E7E6E6" w:themeFill="background2"/>
          </w:tcPr>
          <w:p w14:paraId="4D4F671C" w14:textId="01915169" w:rsidR="00223D1D" w:rsidRPr="00AE77D4" w:rsidRDefault="00223D1D" w:rsidP="00AE77D4">
            <w:pPr>
              <w:spacing w:line="276" w:lineRule="auto"/>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 3,13</w:t>
            </w:r>
          </w:p>
        </w:tc>
      </w:tr>
    </w:tbl>
    <w:p w14:paraId="7DA2DAE3" w14:textId="14AA514B" w:rsidR="0063570C" w:rsidRDefault="00661A05" w:rsidP="00AE77D4">
      <w:pPr>
        <w:spacing w:after="0" w:line="276" w:lineRule="auto"/>
        <w:ind w:right="1440"/>
        <w:jc w:val="both"/>
        <w:rPr>
          <w:rFonts w:ascii="Times New Roman" w:hAnsi="Times New Roman" w:cs="Times New Roman"/>
          <w:sz w:val="24"/>
          <w:szCs w:val="24"/>
          <w:lang w:val="en-GB"/>
        </w:rPr>
      </w:pPr>
      <w:r w:rsidRPr="00AE77D4">
        <w:rPr>
          <w:rFonts w:ascii="Times New Roman" w:hAnsi="Times New Roman" w:cs="Times New Roman"/>
          <w:sz w:val="24"/>
          <w:szCs w:val="24"/>
          <w:lang w:val="en-GB"/>
        </w:rPr>
        <w:t xml:space="preserve"> </w:t>
      </w:r>
    </w:p>
    <w:p w14:paraId="70F286A7" w14:textId="77777777" w:rsidR="00C10308" w:rsidRDefault="00C10308" w:rsidP="00551B90">
      <w:pPr>
        <w:jc w:val="both"/>
        <w:rPr>
          <w:rFonts w:eastAsia="Times New Roman" w:cstheme="minorHAnsi"/>
          <w:b/>
          <w:bCs/>
          <w:i/>
          <w:iCs/>
          <w:lang w:bidi="bn-BD"/>
        </w:rPr>
      </w:pPr>
    </w:p>
    <w:p w14:paraId="3B661857" w14:textId="044F4ABA" w:rsidR="00551B90" w:rsidRPr="00C10308" w:rsidRDefault="00551B90" w:rsidP="00551B90">
      <w:pPr>
        <w:jc w:val="both"/>
        <w:rPr>
          <w:rFonts w:cstheme="minorHAnsi"/>
          <w:i/>
          <w:iCs/>
          <w:color w:val="000000" w:themeColor="text1"/>
        </w:rPr>
      </w:pPr>
      <w:r w:rsidRPr="00C10308">
        <w:rPr>
          <w:rFonts w:eastAsia="Times New Roman" w:cstheme="minorHAnsi"/>
          <w:b/>
          <w:bCs/>
          <w:i/>
          <w:iCs/>
          <w:lang w:bidi="bn-BD"/>
        </w:rPr>
        <w:t xml:space="preserve">Acknowledgement – </w:t>
      </w:r>
      <w:r w:rsidRPr="00C10308">
        <w:rPr>
          <w:rFonts w:eastAsia="Times New Roman" w:cstheme="minorHAnsi"/>
          <w:i/>
          <w:iCs/>
          <w:lang w:bidi="bn-BD"/>
        </w:rPr>
        <w:t>Authors</w:t>
      </w:r>
      <w:r w:rsidRPr="00C10308">
        <w:rPr>
          <w:rFonts w:cstheme="minorHAnsi"/>
          <w:i/>
          <w:iCs/>
          <w:color w:val="000000" w:themeColor="text1"/>
        </w:rPr>
        <w:t xml:space="preserve"> appreciate Stuart Cooper, Giovanna Michelon, Charles Cho and other participants of the 1st Accountability Sustainability and Governance Workshop for their helpful comments on an earlier version of this research paper. In addition, </w:t>
      </w:r>
      <w:r w:rsidRPr="00C10308">
        <w:rPr>
          <w:rFonts w:eastAsia="Calibri" w:cstheme="minorHAnsi"/>
          <w:i/>
          <w:iCs/>
        </w:rPr>
        <w:t xml:space="preserve">we acknowledge all comments received from colleagues, anonymous reviewers and the editor on earlier drafts of this paper to improve its quality. </w:t>
      </w:r>
    </w:p>
    <w:p w14:paraId="56C0A03D" w14:textId="77777777" w:rsidR="00551B90" w:rsidRPr="00C10308" w:rsidRDefault="00551B90" w:rsidP="00551B90">
      <w:pPr>
        <w:jc w:val="both"/>
        <w:rPr>
          <w:rFonts w:eastAsia="Calibri" w:cstheme="minorHAnsi"/>
          <w:i/>
          <w:iCs/>
        </w:rPr>
      </w:pPr>
      <w:r w:rsidRPr="00C10308">
        <w:rPr>
          <w:rFonts w:eastAsia="Times New Roman" w:cstheme="minorHAnsi"/>
          <w:b/>
          <w:bCs/>
          <w:i/>
          <w:iCs/>
          <w:lang w:bidi="bn-BD"/>
        </w:rPr>
        <w:t>Funding information –</w:t>
      </w:r>
      <w:r w:rsidRPr="00C10308">
        <w:rPr>
          <w:rFonts w:eastAsia="Calibri" w:cstheme="minorHAnsi"/>
          <w:i/>
          <w:iCs/>
        </w:rPr>
        <w:t xml:space="preserve"> Authors acknowledge the generous support from Keele Business School Faculty Research Fund 2022-23 for this research project.</w:t>
      </w:r>
    </w:p>
    <w:p w14:paraId="36D02DCF" w14:textId="77777777" w:rsidR="00551B90" w:rsidRPr="00C10308" w:rsidRDefault="00551B90" w:rsidP="00551B90">
      <w:pPr>
        <w:jc w:val="both"/>
        <w:rPr>
          <w:rFonts w:eastAsia="Times New Roman" w:cstheme="minorHAnsi"/>
          <w:i/>
          <w:iCs/>
          <w:lang w:bidi="bn-BD"/>
        </w:rPr>
      </w:pPr>
      <w:r w:rsidRPr="00C10308">
        <w:rPr>
          <w:rFonts w:eastAsia="Times New Roman" w:cstheme="minorHAnsi"/>
          <w:b/>
          <w:bCs/>
          <w:i/>
          <w:iCs/>
          <w:lang w:bidi="bn-BD"/>
        </w:rPr>
        <w:t>Conflicts of interest -</w:t>
      </w:r>
      <w:r w:rsidRPr="00C10308">
        <w:rPr>
          <w:rFonts w:eastAsia="Times New Roman" w:cstheme="minorHAnsi"/>
          <w:i/>
          <w:iCs/>
          <w:lang w:bidi="bn-BD"/>
        </w:rPr>
        <w:t xml:space="preserve"> The authors declare no conflict of interest.</w:t>
      </w:r>
    </w:p>
    <w:p w14:paraId="431FAE99" w14:textId="77777777" w:rsidR="00CC27C8" w:rsidRPr="00C10308" w:rsidRDefault="00CC27C8" w:rsidP="003C0752">
      <w:pPr>
        <w:spacing w:after="-1"/>
        <w:jc w:val="both"/>
        <w:rPr>
          <w:rFonts w:cstheme="minorHAnsi"/>
          <w:i/>
          <w:iCs/>
          <w:color w:val="000000" w:themeColor="text1"/>
        </w:rPr>
      </w:pPr>
    </w:p>
    <w:p w14:paraId="12F25B35" w14:textId="77777777" w:rsidR="003C0752" w:rsidRPr="00C10308" w:rsidRDefault="003C0752" w:rsidP="003C0752">
      <w:pPr>
        <w:jc w:val="both"/>
        <w:rPr>
          <w:rFonts w:cstheme="minorHAnsi"/>
          <w:b/>
          <w:bCs/>
          <w:i/>
          <w:iCs/>
          <w:lang w:val="en-GB"/>
        </w:rPr>
      </w:pPr>
    </w:p>
    <w:p w14:paraId="700669F6" w14:textId="77777777" w:rsidR="00C10308" w:rsidRPr="00C10308" w:rsidRDefault="00C10308" w:rsidP="003C0752">
      <w:pPr>
        <w:jc w:val="both"/>
        <w:rPr>
          <w:rFonts w:cstheme="minorHAnsi"/>
          <w:b/>
          <w:bCs/>
          <w:i/>
          <w:iCs/>
          <w:lang w:val="en-GB"/>
        </w:rPr>
      </w:pPr>
    </w:p>
    <w:p w14:paraId="046FD2A6" w14:textId="1A0D7FF3" w:rsidR="003C0752" w:rsidRPr="00C10308" w:rsidRDefault="003C0752" w:rsidP="003C0752">
      <w:pPr>
        <w:jc w:val="both"/>
        <w:rPr>
          <w:rFonts w:cstheme="minorHAnsi"/>
          <w:b/>
          <w:bCs/>
          <w:i/>
          <w:iCs/>
          <w:lang w:val="en-GB"/>
        </w:rPr>
      </w:pPr>
      <w:r w:rsidRPr="00C10308">
        <w:rPr>
          <w:rFonts w:cstheme="minorHAnsi"/>
          <w:b/>
          <w:bCs/>
          <w:i/>
          <w:iCs/>
          <w:lang w:val="en-GB"/>
        </w:rPr>
        <w:t>Deposit licences</w:t>
      </w:r>
    </w:p>
    <w:p w14:paraId="50F0DF5A" w14:textId="77777777" w:rsidR="003C0752" w:rsidRPr="00C10308" w:rsidRDefault="003C0752" w:rsidP="003C0752">
      <w:pPr>
        <w:jc w:val="both"/>
        <w:rPr>
          <w:rFonts w:cstheme="minorHAnsi"/>
          <w:i/>
          <w:iCs/>
          <w:lang w:val="en-GB"/>
        </w:rPr>
      </w:pPr>
      <w:r w:rsidRPr="00C10308">
        <w:rPr>
          <w:rFonts w:cstheme="minorHAnsi"/>
          <w:i/>
          <w:iCs/>
          <w:lang w:val="en-GB"/>
        </w:rPr>
        <w:t xml:space="preserve">Emerald allows authors to deposit their AAM under the Creative Commons Attribution Non-commercial International Licence 4.0 (CC BY-NC 4.0). To do this, the deposit must clearly state that the AAM is deposited under this licence and that any reuse is allowed in accordance with the terms outlined by the licence. To reuse the AAM for commercial purposes, permission should be sought by contacting </w:t>
      </w:r>
      <w:hyperlink r:id="rId14" w:history="1">
        <w:r w:rsidRPr="00C10308">
          <w:rPr>
            <w:rStyle w:val="Hyperlink"/>
            <w:rFonts w:cstheme="minorHAnsi"/>
            <w:i/>
            <w:iCs/>
            <w:lang w:val="en-GB"/>
          </w:rPr>
          <w:t>permissions@emerald.com</w:t>
        </w:r>
      </w:hyperlink>
      <w:r w:rsidRPr="00C10308">
        <w:rPr>
          <w:rFonts w:cstheme="minorHAnsi"/>
          <w:i/>
          <w:iCs/>
          <w:lang w:val="en-GB"/>
        </w:rPr>
        <w:t>.</w:t>
      </w:r>
    </w:p>
    <w:p w14:paraId="510313F8" w14:textId="77777777" w:rsidR="00CC27C8" w:rsidRPr="00AE77D4" w:rsidRDefault="00CC27C8" w:rsidP="00AE77D4">
      <w:pPr>
        <w:spacing w:after="0" w:line="276" w:lineRule="auto"/>
        <w:ind w:right="1440"/>
        <w:jc w:val="both"/>
        <w:rPr>
          <w:rFonts w:ascii="Times New Roman" w:hAnsi="Times New Roman" w:cs="Times New Roman"/>
          <w:sz w:val="24"/>
          <w:szCs w:val="24"/>
          <w:lang w:val="en-GB"/>
        </w:rPr>
      </w:pPr>
    </w:p>
    <w:sectPr w:rsidR="00CC27C8" w:rsidRPr="00AE77D4" w:rsidSect="00376D70">
      <w:footerReference w:type="default" r:id="rId15"/>
      <w:footnotePr>
        <w:numFmt w:val="chicago"/>
        <w:numStart w:val="2"/>
      </w:foot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642B" w14:textId="77777777" w:rsidR="00376D70" w:rsidRDefault="00376D70">
      <w:pPr>
        <w:spacing w:after="0"/>
      </w:pPr>
      <w:r>
        <w:separator/>
      </w:r>
    </w:p>
  </w:endnote>
  <w:endnote w:type="continuationSeparator" w:id="0">
    <w:p w14:paraId="4B05BBC7" w14:textId="77777777" w:rsidR="00376D70" w:rsidRDefault="00376D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361027"/>
      <w:docPartObj>
        <w:docPartGallery w:val="Page Numbers (Bottom of Page)"/>
        <w:docPartUnique/>
      </w:docPartObj>
    </w:sdtPr>
    <w:sdtContent>
      <w:sdt>
        <w:sdtPr>
          <w:id w:val="1728636285"/>
          <w:docPartObj>
            <w:docPartGallery w:val="Page Numbers (Top of Page)"/>
            <w:docPartUnique/>
          </w:docPartObj>
        </w:sdtPr>
        <w:sdtContent>
          <w:p w14:paraId="4CEB6922" w14:textId="40E07732" w:rsidR="0062671A" w:rsidRDefault="00661A0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64810">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810">
              <w:rPr>
                <w:b/>
                <w:bCs/>
                <w:noProof/>
              </w:rPr>
              <w:t>59</w:t>
            </w:r>
            <w:r>
              <w:rPr>
                <w:b/>
                <w:bCs/>
                <w:sz w:val="24"/>
                <w:szCs w:val="24"/>
              </w:rPr>
              <w:fldChar w:fldCharType="end"/>
            </w:r>
          </w:p>
        </w:sdtContent>
      </w:sdt>
    </w:sdtContent>
  </w:sdt>
  <w:p w14:paraId="7E2D1204" w14:textId="77777777" w:rsidR="0062671A" w:rsidRDefault="00626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02A8" w14:textId="77777777" w:rsidR="00376D70" w:rsidRDefault="00376D70">
      <w:pPr>
        <w:spacing w:after="0"/>
      </w:pPr>
      <w:r>
        <w:separator/>
      </w:r>
    </w:p>
  </w:footnote>
  <w:footnote w:type="continuationSeparator" w:id="0">
    <w:p w14:paraId="46332A52" w14:textId="77777777" w:rsidR="00376D70" w:rsidRDefault="00376D70">
      <w:pPr>
        <w:spacing w:after="0"/>
      </w:pPr>
      <w:r>
        <w:continuationSeparator/>
      </w:r>
    </w:p>
  </w:footnote>
  <w:footnote w:type="continuationNotice" w:id="1">
    <w:p w14:paraId="671FB4BF" w14:textId="77777777" w:rsidR="00376D70" w:rsidRDefault="00376D70">
      <w:pPr>
        <w:spacing w:after="0"/>
      </w:pPr>
    </w:p>
  </w:footnote>
  <w:footnote w:id="2">
    <w:p w14:paraId="7F43303E" w14:textId="77777777" w:rsidR="0062671A" w:rsidRPr="00AE77D4" w:rsidRDefault="00661A05" w:rsidP="00CC40EE">
      <w:pPr>
        <w:pStyle w:val="FootnoteText"/>
        <w:jc w:val="both"/>
        <w:rPr>
          <w:rFonts w:ascii="Times New Roman" w:hAnsi="Times New Roman" w:cs="Times New Roman"/>
          <w:lang w:val="en-GB"/>
        </w:rPr>
      </w:pPr>
      <w:r w:rsidRPr="00AE77D4">
        <w:rPr>
          <w:rStyle w:val="FootnoteReference"/>
          <w:rFonts w:ascii="Times New Roman" w:hAnsi="Times New Roman" w:cs="Times New Roman"/>
        </w:rPr>
        <w:footnoteRef/>
      </w:r>
      <w:r w:rsidRPr="00AE77D4">
        <w:rPr>
          <w:rFonts w:ascii="Times New Roman" w:hAnsi="Times New Roman" w:cs="Times New Roman"/>
        </w:rPr>
        <w:t xml:space="preserve"> </w:t>
      </w:r>
      <w:r w:rsidRPr="00AE77D4">
        <w:rPr>
          <w:rFonts w:ascii="Times New Roman" w:hAnsi="Times New Roman" w:cs="Times New Roman"/>
          <w:lang w:val="en-GB"/>
        </w:rPr>
        <w:t>Regulations refer to the promulgation of an authoritative set of rules, accompanied by some mechanism for monitoring and promoting compliance with these rules (Baldwin et al., 2011).</w:t>
      </w:r>
    </w:p>
    <w:p w14:paraId="4F9EB5B4" w14:textId="77777777" w:rsidR="0062671A" w:rsidRPr="00AE77D4" w:rsidRDefault="0062671A" w:rsidP="006F1CBA">
      <w:pPr>
        <w:pStyle w:val="FootnoteText"/>
        <w:rPr>
          <w:rFonts w:ascii="Times New Roman" w:hAnsi="Times New Roman" w:cs="Times New Roman"/>
          <w:lang w:val="en-GB"/>
        </w:rPr>
      </w:pPr>
    </w:p>
  </w:footnote>
  <w:footnote w:id="3">
    <w:p w14:paraId="0EC119DD" w14:textId="77777777" w:rsidR="0062671A" w:rsidRPr="00AE77D4" w:rsidRDefault="00661A05" w:rsidP="00F352C1">
      <w:pPr>
        <w:pStyle w:val="FootnoteText"/>
        <w:rPr>
          <w:rFonts w:ascii="Times New Roman" w:hAnsi="Times New Roman" w:cs="Times New Roman"/>
        </w:rPr>
      </w:pPr>
      <w:r w:rsidRPr="00AE77D4">
        <w:rPr>
          <w:rStyle w:val="FootnoteReference"/>
        </w:rPr>
        <w:footnoteRef/>
      </w:r>
      <w:r w:rsidRPr="00AE77D4">
        <w:t xml:space="preserve"> </w:t>
      </w:r>
      <w:r w:rsidRPr="00AE77D4">
        <w:rPr>
          <w:rFonts w:ascii="Times New Roman" w:hAnsi="Times New Roman" w:cs="Times New Roman"/>
        </w:rPr>
        <w:t>The</w:t>
      </w:r>
      <w:r w:rsidRPr="00AE77D4">
        <w:t xml:space="preserve"> </w:t>
      </w:r>
      <w:r w:rsidRPr="00AE77D4">
        <w:rPr>
          <w:rFonts w:ascii="Times New Roman" w:hAnsi="Times New Roman" w:cs="Times New Roman"/>
        </w:rPr>
        <w:t>Rana Plaza disaster, Savar, Bangladesh</w:t>
      </w:r>
    </w:p>
    <w:p w14:paraId="2109F3CD" w14:textId="77777777" w:rsidR="0062671A" w:rsidRPr="00AE77D4" w:rsidRDefault="0062671A" w:rsidP="00F352C1">
      <w:pPr>
        <w:pStyle w:val="FootnoteText"/>
        <w:rPr>
          <w:rFonts w:ascii="Times New Roman" w:hAnsi="Times New Roman" w:cs="Times New Roman"/>
          <w:sz w:val="24"/>
          <w:szCs w:val="24"/>
          <w:lang w:val="en-GB"/>
        </w:rPr>
      </w:pPr>
    </w:p>
  </w:footnote>
  <w:footnote w:id="4">
    <w:p w14:paraId="32F2600B" w14:textId="77777777" w:rsidR="0062671A" w:rsidRPr="00AE77D4" w:rsidRDefault="00661A05" w:rsidP="00AA1B8A">
      <w:pPr>
        <w:pStyle w:val="FootnoteText"/>
        <w:rPr>
          <w:rFonts w:ascii="Times New Roman" w:hAnsi="Times New Roman" w:cs="Times New Roman"/>
        </w:rPr>
      </w:pPr>
      <w:r w:rsidRPr="00AE77D4">
        <w:rPr>
          <w:rStyle w:val="FootnoteReference"/>
          <w:rFonts w:ascii="Times New Roman" w:hAnsi="Times New Roman" w:cs="Times New Roman"/>
        </w:rPr>
        <w:footnoteRef/>
      </w:r>
      <w:r w:rsidRPr="00AE77D4">
        <w:rPr>
          <w:rFonts w:ascii="Times New Roman" w:hAnsi="Times New Roman" w:cs="Times New Roman"/>
        </w:rPr>
        <w:t xml:space="preserve"> Available from </w:t>
      </w:r>
      <w:hyperlink r:id="rId1" w:history="1">
        <w:r w:rsidRPr="00AE77D4">
          <w:rPr>
            <w:rStyle w:val="Hyperlink"/>
            <w:rFonts w:ascii="Times New Roman" w:hAnsi="Times New Roman" w:cs="Times New Roman"/>
            <w:color w:val="auto"/>
          </w:rPr>
          <w:t>https://sec.gov.bd/slaws/</w:t>
        </w:r>
      </w:hyperlink>
      <w:r w:rsidRPr="00AE77D4">
        <w:rPr>
          <w:rStyle w:val="Hyperlink"/>
          <w:rFonts w:ascii="Times New Roman" w:hAnsi="Times New Roman" w:cs="Times New Roman"/>
          <w:color w:val="auto"/>
        </w:rPr>
        <w:t>Notification_on_CG-07.8.12-Amended.pdf</w:t>
      </w:r>
      <w:r w:rsidRPr="00AE77D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C9"/>
    <w:multiLevelType w:val="hybridMultilevel"/>
    <w:tmpl w:val="1158CC5E"/>
    <w:lvl w:ilvl="0" w:tplc="DC762D7C">
      <w:start w:val="1"/>
      <w:numFmt w:val="decimal"/>
      <w:lvlText w:val="%1."/>
      <w:lvlJc w:val="left"/>
      <w:pPr>
        <w:ind w:left="720" w:hanging="360"/>
      </w:pPr>
    </w:lvl>
    <w:lvl w:ilvl="1" w:tplc="7904FB96" w:tentative="1">
      <w:start w:val="1"/>
      <w:numFmt w:val="lowerLetter"/>
      <w:lvlText w:val="%2."/>
      <w:lvlJc w:val="left"/>
      <w:pPr>
        <w:ind w:left="1440" w:hanging="360"/>
      </w:pPr>
    </w:lvl>
    <w:lvl w:ilvl="2" w:tplc="5D3A101E" w:tentative="1">
      <w:start w:val="1"/>
      <w:numFmt w:val="lowerRoman"/>
      <w:lvlText w:val="%3."/>
      <w:lvlJc w:val="right"/>
      <w:pPr>
        <w:ind w:left="2160" w:hanging="180"/>
      </w:pPr>
    </w:lvl>
    <w:lvl w:ilvl="3" w:tplc="9630478E" w:tentative="1">
      <w:start w:val="1"/>
      <w:numFmt w:val="decimal"/>
      <w:lvlText w:val="%4."/>
      <w:lvlJc w:val="left"/>
      <w:pPr>
        <w:ind w:left="2880" w:hanging="360"/>
      </w:pPr>
    </w:lvl>
    <w:lvl w:ilvl="4" w:tplc="896089BC" w:tentative="1">
      <w:start w:val="1"/>
      <w:numFmt w:val="lowerLetter"/>
      <w:lvlText w:val="%5."/>
      <w:lvlJc w:val="left"/>
      <w:pPr>
        <w:ind w:left="3600" w:hanging="360"/>
      </w:pPr>
    </w:lvl>
    <w:lvl w:ilvl="5" w:tplc="61E02AA6" w:tentative="1">
      <w:start w:val="1"/>
      <w:numFmt w:val="lowerRoman"/>
      <w:lvlText w:val="%6."/>
      <w:lvlJc w:val="right"/>
      <w:pPr>
        <w:ind w:left="4320" w:hanging="180"/>
      </w:pPr>
    </w:lvl>
    <w:lvl w:ilvl="6" w:tplc="9618ADA2" w:tentative="1">
      <w:start w:val="1"/>
      <w:numFmt w:val="decimal"/>
      <w:lvlText w:val="%7."/>
      <w:lvlJc w:val="left"/>
      <w:pPr>
        <w:ind w:left="5040" w:hanging="360"/>
      </w:pPr>
    </w:lvl>
    <w:lvl w:ilvl="7" w:tplc="973C3DB8" w:tentative="1">
      <w:start w:val="1"/>
      <w:numFmt w:val="lowerLetter"/>
      <w:lvlText w:val="%8."/>
      <w:lvlJc w:val="left"/>
      <w:pPr>
        <w:ind w:left="5760" w:hanging="360"/>
      </w:pPr>
    </w:lvl>
    <w:lvl w:ilvl="8" w:tplc="2CD69BEA" w:tentative="1">
      <w:start w:val="1"/>
      <w:numFmt w:val="lowerRoman"/>
      <w:lvlText w:val="%9."/>
      <w:lvlJc w:val="right"/>
      <w:pPr>
        <w:ind w:left="6480" w:hanging="180"/>
      </w:pPr>
    </w:lvl>
  </w:abstractNum>
  <w:abstractNum w:abstractNumId="1" w15:restartNumberingAfterBreak="0">
    <w:nsid w:val="069D7407"/>
    <w:multiLevelType w:val="hybridMultilevel"/>
    <w:tmpl w:val="25326B1A"/>
    <w:lvl w:ilvl="0" w:tplc="933C02BE">
      <w:start w:val="1"/>
      <w:numFmt w:val="decimal"/>
      <w:lvlText w:val="%1."/>
      <w:lvlJc w:val="left"/>
      <w:pPr>
        <w:ind w:left="720" w:hanging="360"/>
      </w:pPr>
    </w:lvl>
    <w:lvl w:ilvl="1" w:tplc="B544723C" w:tentative="1">
      <w:start w:val="1"/>
      <w:numFmt w:val="lowerLetter"/>
      <w:lvlText w:val="%2."/>
      <w:lvlJc w:val="left"/>
      <w:pPr>
        <w:ind w:left="1440" w:hanging="360"/>
      </w:pPr>
    </w:lvl>
    <w:lvl w:ilvl="2" w:tplc="EB9E9708" w:tentative="1">
      <w:start w:val="1"/>
      <w:numFmt w:val="lowerRoman"/>
      <w:lvlText w:val="%3."/>
      <w:lvlJc w:val="right"/>
      <w:pPr>
        <w:ind w:left="2160" w:hanging="180"/>
      </w:pPr>
    </w:lvl>
    <w:lvl w:ilvl="3" w:tplc="7E4CA54E" w:tentative="1">
      <w:start w:val="1"/>
      <w:numFmt w:val="decimal"/>
      <w:lvlText w:val="%4."/>
      <w:lvlJc w:val="left"/>
      <w:pPr>
        <w:ind w:left="2880" w:hanging="360"/>
      </w:pPr>
    </w:lvl>
    <w:lvl w:ilvl="4" w:tplc="428C5DC0" w:tentative="1">
      <w:start w:val="1"/>
      <w:numFmt w:val="lowerLetter"/>
      <w:lvlText w:val="%5."/>
      <w:lvlJc w:val="left"/>
      <w:pPr>
        <w:ind w:left="3600" w:hanging="360"/>
      </w:pPr>
    </w:lvl>
    <w:lvl w:ilvl="5" w:tplc="041AD23E" w:tentative="1">
      <w:start w:val="1"/>
      <w:numFmt w:val="lowerRoman"/>
      <w:lvlText w:val="%6."/>
      <w:lvlJc w:val="right"/>
      <w:pPr>
        <w:ind w:left="4320" w:hanging="180"/>
      </w:pPr>
    </w:lvl>
    <w:lvl w:ilvl="6" w:tplc="13D8902E" w:tentative="1">
      <w:start w:val="1"/>
      <w:numFmt w:val="decimal"/>
      <w:lvlText w:val="%7."/>
      <w:lvlJc w:val="left"/>
      <w:pPr>
        <w:ind w:left="5040" w:hanging="360"/>
      </w:pPr>
    </w:lvl>
    <w:lvl w:ilvl="7" w:tplc="DAE2B2D6" w:tentative="1">
      <w:start w:val="1"/>
      <w:numFmt w:val="lowerLetter"/>
      <w:lvlText w:val="%8."/>
      <w:lvlJc w:val="left"/>
      <w:pPr>
        <w:ind w:left="5760" w:hanging="360"/>
      </w:pPr>
    </w:lvl>
    <w:lvl w:ilvl="8" w:tplc="36385412" w:tentative="1">
      <w:start w:val="1"/>
      <w:numFmt w:val="lowerRoman"/>
      <w:lvlText w:val="%9."/>
      <w:lvlJc w:val="right"/>
      <w:pPr>
        <w:ind w:left="6480" w:hanging="180"/>
      </w:pPr>
    </w:lvl>
  </w:abstractNum>
  <w:abstractNum w:abstractNumId="2" w15:restartNumberingAfterBreak="0">
    <w:nsid w:val="14A24918"/>
    <w:multiLevelType w:val="hybridMultilevel"/>
    <w:tmpl w:val="E4DED70A"/>
    <w:lvl w:ilvl="0" w:tplc="DC9835D2">
      <w:start w:val="1"/>
      <w:numFmt w:val="decimal"/>
      <w:lvlText w:val="%1."/>
      <w:lvlJc w:val="left"/>
      <w:pPr>
        <w:ind w:left="720" w:hanging="360"/>
      </w:pPr>
    </w:lvl>
    <w:lvl w:ilvl="1" w:tplc="0964B742" w:tentative="1">
      <w:start w:val="1"/>
      <w:numFmt w:val="lowerLetter"/>
      <w:lvlText w:val="%2."/>
      <w:lvlJc w:val="left"/>
      <w:pPr>
        <w:ind w:left="1440" w:hanging="360"/>
      </w:pPr>
    </w:lvl>
    <w:lvl w:ilvl="2" w:tplc="F9EA4916" w:tentative="1">
      <w:start w:val="1"/>
      <w:numFmt w:val="lowerRoman"/>
      <w:lvlText w:val="%3."/>
      <w:lvlJc w:val="right"/>
      <w:pPr>
        <w:ind w:left="2160" w:hanging="180"/>
      </w:pPr>
    </w:lvl>
    <w:lvl w:ilvl="3" w:tplc="55563ED6" w:tentative="1">
      <w:start w:val="1"/>
      <w:numFmt w:val="decimal"/>
      <w:lvlText w:val="%4."/>
      <w:lvlJc w:val="left"/>
      <w:pPr>
        <w:ind w:left="2880" w:hanging="360"/>
      </w:pPr>
    </w:lvl>
    <w:lvl w:ilvl="4" w:tplc="05C49A62" w:tentative="1">
      <w:start w:val="1"/>
      <w:numFmt w:val="lowerLetter"/>
      <w:lvlText w:val="%5."/>
      <w:lvlJc w:val="left"/>
      <w:pPr>
        <w:ind w:left="3600" w:hanging="360"/>
      </w:pPr>
    </w:lvl>
    <w:lvl w:ilvl="5" w:tplc="25B60044" w:tentative="1">
      <w:start w:val="1"/>
      <w:numFmt w:val="lowerRoman"/>
      <w:lvlText w:val="%6."/>
      <w:lvlJc w:val="right"/>
      <w:pPr>
        <w:ind w:left="4320" w:hanging="180"/>
      </w:pPr>
    </w:lvl>
    <w:lvl w:ilvl="6" w:tplc="76FE4C6E" w:tentative="1">
      <w:start w:val="1"/>
      <w:numFmt w:val="decimal"/>
      <w:lvlText w:val="%7."/>
      <w:lvlJc w:val="left"/>
      <w:pPr>
        <w:ind w:left="5040" w:hanging="360"/>
      </w:pPr>
    </w:lvl>
    <w:lvl w:ilvl="7" w:tplc="66F41C2C" w:tentative="1">
      <w:start w:val="1"/>
      <w:numFmt w:val="lowerLetter"/>
      <w:lvlText w:val="%8."/>
      <w:lvlJc w:val="left"/>
      <w:pPr>
        <w:ind w:left="5760" w:hanging="360"/>
      </w:pPr>
    </w:lvl>
    <w:lvl w:ilvl="8" w:tplc="28E07886" w:tentative="1">
      <w:start w:val="1"/>
      <w:numFmt w:val="lowerRoman"/>
      <w:lvlText w:val="%9."/>
      <w:lvlJc w:val="right"/>
      <w:pPr>
        <w:ind w:left="6480" w:hanging="180"/>
      </w:pPr>
    </w:lvl>
  </w:abstractNum>
  <w:abstractNum w:abstractNumId="3" w15:restartNumberingAfterBreak="0">
    <w:nsid w:val="2EAD4C4A"/>
    <w:multiLevelType w:val="hybridMultilevel"/>
    <w:tmpl w:val="FE32609C"/>
    <w:lvl w:ilvl="0" w:tplc="ADBC7E52">
      <w:start w:val="1"/>
      <w:numFmt w:val="decimal"/>
      <w:lvlText w:val="%1."/>
      <w:lvlJc w:val="left"/>
      <w:pPr>
        <w:ind w:left="720" w:hanging="360"/>
      </w:pPr>
    </w:lvl>
    <w:lvl w:ilvl="1" w:tplc="9B6632EA" w:tentative="1">
      <w:start w:val="1"/>
      <w:numFmt w:val="lowerLetter"/>
      <w:lvlText w:val="%2."/>
      <w:lvlJc w:val="left"/>
      <w:pPr>
        <w:ind w:left="1440" w:hanging="360"/>
      </w:pPr>
    </w:lvl>
    <w:lvl w:ilvl="2" w:tplc="93D25BFE" w:tentative="1">
      <w:start w:val="1"/>
      <w:numFmt w:val="lowerRoman"/>
      <w:lvlText w:val="%3."/>
      <w:lvlJc w:val="right"/>
      <w:pPr>
        <w:ind w:left="2160" w:hanging="180"/>
      </w:pPr>
    </w:lvl>
    <w:lvl w:ilvl="3" w:tplc="B948ABD4" w:tentative="1">
      <w:start w:val="1"/>
      <w:numFmt w:val="decimal"/>
      <w:lvlText w:val="%4."/>
      <w:lvlJc w:val="left"/>
      <w:pPr>
        <w:ind w:left="2880" w:hanging="360"/>
      </w:pPr>
    </w:lvl>
    <w:lvl w:ilvl="4" w:tplc="9070B03A" w:tentative="1">
      <w:start w:val="1"/>
      <w:numFmt w:val="lowerLetter"/>
      <w:lvlText w:val="%5."/>
      <w:lvlJc w:val="left"/>
      <w:pPr>
        <w:ind w:left="3600" w:hanging="360"/>
      </w:pPr>
    </w:lvl>
    <w:lvl w:ilvl="5" w:tplc="51ACA2A0" w:tentative="1">
      <w:start w:val="1"/>
      <w:numFmt w:val="lowerRoman"/>
      <w:lvlText w:val="%6."/>
      <w:lvlJc w:val="right"/>
      <w:pPr>
        <w:ind w:left="4320" w:hanging="180"/>
      </w:pPr>
    </w:lvl>
    <w:lvl w:ilvl="6" w:tplc="4B4AD198" w:tentative="1">
      <w:start w:val="1"/>
      <w:numFmt w:val="decimal"/>
      <w:lvlText w:val="%7."/>
      <w:lvlJc w:val="left"/>
      <w:pPr>
        <w:ind w:left="5040" w:hanging="360"/>
      </w:pPr>
    </w:lvl>
    <w:lvl w:ilvl="7" w:tplc="2A380730" w:tentative="1">
      <w:start w:val="1"/>
      <w:numFmt w:val="lowerLetter"/>
      <w:lvlText w:val="%8."/>
      <w:lvlJc w:val="left"/>
      <w:pPr>
        <w:ind w:left="5760" w:hanging="360"/>
      </w:pPr>
    </w:lvl>
    <w:lvl w:ilvl="8" w:tplc="0E3455E8" w:tentative="1">
      <w:start w:val="1"/>
      <w:numFmt w:val="lowerRoman"/>
      <w:lvlText w:val="%9."/>
      <w:lvlJc w:val="right"/>
      <w:pPr>
        <w:ind w:left="6480" w:hanging="180"/>
      </w:pPr>
    </w:lvl>
  </w:abstractNum>
  <w:abstractNum w:abstractNumId="4" w15:restartNumberingAfterBreak="0">
    <w:nsid w:val="3EA51315"/>
    <w:multiLevelType w:val="hybridMultilevel"/>
    <w:tmpl w:val="9B1ADB18"/>
    <w:lvl w:ilvl="0" w:tplc="B6FC7042">
      <w:start w:val="1"/>
      <w:numFmt w:val="decimal"/>
      <w:lvlText w:val="%1."/>
      <w:lvlJc w:val="left"/>
      <w:pPr>
        <w:ind w:left="720" w:hanging="360"/>
      </w:pPr>
    </w:lvl>
    <w:lvl w:ilvl="1" w:tplc="EC1A3FC4" w:tentative="1">
      <w:start w:val="1"/>
      <w:numFmt w:val="lowerLetter"/>
      <w:lvlText w:val="%2."/>
      <w:lvlJc w:val="left"/>
      <w:pPr>
        <w:ind w:left="1440" w:hanging="360"/>
      </w:pPr>
    </w:lvl>
    <w:lvl w:ilvl="2" w:tplc="BFEEC7D6" w:tentative="1">
      <w:start w:val="1"/>
      <w:numFmt w:val="lowerRoman"/>
      <w:lvlText w:val="%3."/>
      <w:lvlJc w:val="right"/>
      <w:pPr>
        <w:ind w:left="2160" w:hanging="180"/>
      </w:pPr>
    </w:lvl>
    <w:lvl w:ilvl="3" w:tplc="1632D544" w:tentative="1">
      <w:start w:val="1"/>
      <w:numFmt w:val="decimal"/>
      <w:lvlText w:val="%4."/>
      <w:lvlJc w:val="left"/>
      <w:pPr>
        <w:ind w:left="2880" w:hanging="360"/>
      </w:pPr>
    </w:lvl>
    <w:lvl w:ilvl="4" w:tplc="347282BE" w:tentative="1">
      <w:start w:val="1"/>
      <w:numFmt w:val="lowerLetter"/>
      <w:lvlText w:val="%5."/>
      <w:lvlJc w:val="left"/>
      <w:pPr>
        <w:ind w:left="3600" w:hanging="360"/>
      </w:pPr>
    </w:lvl>
    <w:lvl w:ilvl="5" w:tplc="134CBB16" w:tentative="1">
      <w:start w:val="1"/>
      <w:numFmt w:val="lowerRoman"/>
      <w:lvlText w:val="%6."/>
      <w:lvlJc w:val="right"/>
      <w:pPr>
        <w:ind w:left="4320" w:hanging="180"/>
      </w:pPr>
    </w:lvl>
    <w:lvl w:ilvl="6" w:tplc="EDE616B0" w:tentative="1">
      <w:start w:val="1"/>
      <w:numFmt w:val="decimal"/>
      <w:lvlText w:val="%7."/>
      <w:lvlJc w:val="left"/>
      <w:pPr>
        <w:ind w:left="5040" w:hanging="360"/>
      </w:pPr>
    </w:lvl>
    <w:lvl w:ilvl="7" w:tplc="E39C7586" w:tentative="1">
      <w:start w:val="1"/>
      <w:numFmt w:val="lowerLetter"/>
      <w:lvlText w:val="%8."/>
      <w:lvlJc w:val="left"/>
      <w:pPr>
        <w:ind w:left="5760" w:hanging="360"/>
      </w:pPr>
    </w:lvl>
    <w:lvl w:ilvl="8" w:tplc="F3688FDC" w:tentative="1">
      <w:start w:val="1"/>
      <w:numFmt w:val="lowerRoman"/>
      <w:lvlText w:val="%9."/>
      <w:lvlJc w:val="right"/>
      <w:pPr>
        <w:ind w:left="6480" w:hanging="180"/>
      </w:pPr>
    </w:lvl>
  </w:abstractNum>
  <w:abstractNum w:abstractNumId="5" w15:restartNumberingAfterBreak="0">
    <w:nsid w:val="3FF560EF"/>
    <w:multiLevelType w:val="hybridMultilevel"/>
    <w:tmpl w:val="D654DEFA"/>
    <w:lvl w:ilvl="0" w:tplc="EF705898">
      <w:start w:val="1"/>
      <w:numFmt w:val="decimal"/>
      <w:lvlText w:val="%1."/>
      <w:lvlJc w:val="left"/>
      <w:pPr>
        <w:ind w:left="720" w:hanging="360"/>
      </w:pPr>
    </w:lvl>
    <w:lvl w:ilvl="1" w:tplc="19C279EC" w:tentative="1">
      <w:start w:val="1"/>
      <w:numFmt w:val="lowerLetter"/>
      <w:lvlText w:val="%2."/>
      <w:lvlJc w:val="left"/>
      <w:pPr>
        <w:ind w:left="1440" w:hanging="360"/>
      </w:pPr>
    </w:lvl>
    <w:lvl w:ilvl="2" w:tplc="F6C45B2A" w:tentative="1">
      <w:start w:val="1"/>
      <w:numFmt w:val="lowerRoman"/>
      <w:lvlText w:val="%3."/>
      <w:lvlJc w:val="right"/>
      <w:pPr>
        <w:ind w:left="2160" w:hanging="180"/>
      </w:pPr>
    </w:lvl>
    <w:lvl w:ilvl="3" w:tplc="E0A0F3FC" w:tentative="1">
      <w:start w:val="1"/>
      <w:numFmt w:val="decimal"/>
      <w:lvlText w:val="%4."/>
      <w:lvlJc w:val="left"/>
      <w:pPr>
        <w:ind w:left="2880" w:hanging="360"/>
      </w:pPr>
    </w:lvl>
    <w:lvl w:ilvl="4" w:tplc="B32AF5EA" w:tentative="1">
      <w:start w:val="1"/>
      <w:numFmt w:val="lowerLetter"/>
      <w:lvlText w:val="%5."/>
      <w:lvlJc w:val="left"/>
      <w:pPr>
        <w:ind w:left="3600" w:hanging="360"/>
      </w:pPr>
    </w:lvl>
    <w:lvl w:ilvl="5" w:tplc="9588178C" w:tentative="1">
      <w:start w:val="1"/>
      <w:numFmt w:val="lowerRoman"/>
      <w:lvlText w:val="%6."/>
      <w:lvlJc w:val="right"/>
      <w:pPr>
        <w:ind w:left="4320" w:hanging="180"/>
      </w:pPr>
    </w:lvl>
    <w:lvl w:ilvl="6" w:tplc="B14EA98E" w:tentative="1">
      <w:start w:val="1"/>
      <w:numFmt w:val="decimal"/>
      <w:lvlText w:val="%7."/>
      <w:lvlJc w:val="left"/>
      <w:pPr>
        <w:ind w:left="5040" w:hanging="360"/>
      </w:pPr>
    </w:lvl>
    <w:lvl w:ilvl="7" w:tplc="21D44DFA" w:tentative="1">
      <w:start w:val="1"/>
      <w:numFmt w:val="lowerLetter"/>
      <w:lvlText w:val="%8."/>
      <w:lvlJc w:val="left"/>
      <w:pPr>
        <w:ind w:left="5760" w:hanging="360"/>
      </w:pPr>
    </w:lvl>
    <w:lvl w:ilvl="8" w:tplc="F768DA98" w:tentative="1">
      <w:start w:val="1"/>
      <w:numFmt w:val="lowerRoman"/>
      <w:lvlText w:val="%9."/>
      <w:lvlJc w:val="right"/>
      <w:pPr>
        <w:ind w:left="6480" w:hanging="180"/>
      </w:pPr>
    </w:lvl>
  </w:abstractNum>
  <w:abstractNum w:abstractNumId="6" w15:restartNumberingAfterBreak="0">
    <w:nsid w:val="5384438C"/>
    <w:multiLevelType w:val="hybridMultilevel"/>
    <w:tmpl w:val="2BFCC8C8"/>
    <w:lvl w:ilvl="0" w:tplc="D258175E">
      <w:start w:val="1"/>
      <w:numFmt w:val="bullet"/>
      <w:lvlText w:val=""/>
      <w:lvlJc w:val="left"/>
      <w:pPr>
        <w:ind w:left="720" w:hanging="360"/>
      </w:pPr>
      <w:rPr>
        <w:rFonts w:ascii="Symbol" w:hAnsi="Symbol" w:hint="default"/>
      </w:rPr>
    </w:lvl>
    <w:lvl w:ilvl="1" w:tplc="BF78F15A" w:tentative="1">
      <w:start w:val="1"/>
      <w:numFmt w:val="bullet"/>
      <w:lvlText w:val="o"/>
      <w:lvlJc w:val="left"/>
      <w:pPr>
        <w:ind w:left="1440" w:hanging="360"/>
      </w:pPr>
      <w:rPr>
        <w:rFonts w:ascii="Courier New" w:hAnsi="Courier New" w:cs="Courier New" w:hint="default"/>
      </w:rPr>
    </w:lvl>
    <w:lvl w:ilvl="2" w:tplc="CB4232EC" w:tentative="1">
      <w:start w:val="1"/>
      <w:numFmt w:val="bullet"/>
      <w:lvlText w:val=""/>
      <w:lvlJc w:val="left"/>
      <w:pPr>
        <w:ind w:left="2160" w:hanging="360"/>
      </w:pPr>
      <w:rPr>
        <w:rFonts w:ascii="Wingdings" w:hAnsi="Wingdings" w:hint="default"/>
      </w:rPr>
    </w:lvl>
    <w:lvl w:ilvl="3" w:tplc="E244E826" w:tentative="1">
      <w:start w:val="1"/>
      <w:numFmt w:val="bullet"/>
      <w:lvlText w:val=""/>
      <w:lvlJc w:val="left"/>
      <w:pPr>
        <w:ind w:left="2880" w:hanging="360"/>
      </w:pPr>
      <w:rPr>
        <w:rFonts w:ascii="Symbol" w:hAnsi="Symbol" w:hint="default"/>
      </w:rPr>
    </w:lvl>
    <w:lvl w:ilvl="4" w:tplc="840C69DC" w:tentative="1">
      <w:start w:val="1"/>
      <w:numFmt w:val="bullet"/>
      <w:lvlText w:val="o"/>
      <w:lvlJc w:val="left"/>
      <w:pPr>
        <w:ind w:left="3600" w:hanging="360"/>
      </w:pPr>
      <w:rPr>
        <w:rFonts w:ascii="Courier New" w:hAnsi="Courier New" w:cs="Courier New" w:hint="default"/>
      </w:rPr>
    </w:lvl>
    <w:lvl w:ilvl="5" w:tplc="9036DBD2" w:tentative="1">
      <w:start w:val="1"/>
      <w:numFmt w:val="bullet"/>
      <w:lvlText w:val=""/>
      <w:lvlJc w:val="left"/>
      <w:pPr>
        <w:ind w:left="4320" w:hanging="360"/>
      </w:pPr>
      <w:rPr>
        <w:rFonts w:ascii="Wingdings" w:hAnsi="Wingdings" w:hint="default"/>
      </w:rPr>
    </w:lvl>
    <w:lvl w:ilvl="6" w:tplc="916E9B52" w:tentative="1">
      <w:start w:val="1"/>
      <w:numFmt w:val="bullet"/>
      <w:lvlText w:val=""/>
      <w:lvlJc w:val="left"/>
      <w:pPr>
        <w:ind w:left="5040" w:hanging="360"/>
      </w:pPr>
      <w:rPr>
        <w:rFonts w:ascii="Symbol" w:hAnsi="Symbol" w:hint="default"/>
      </w:rPr>
    </w:lvl>
    <w:lvl w:ilvl="7" w:tplc="368C296C" w:tentative="1">
      <w:start w:val="1"/>
      <w:numFmt w:val="bullet"/>
      <w:lvlText w:val="o"/>
      <w:lvlJc w:val="left"/>
      <w:pPr>
        <w:ind w:left="5760" w:hanging="360"/>
      </w:pPr>
      <w:rPr>
        <w:rFonts w:ascii="Courier New" w:hAnsi="Courier New" w:cs="Courier New" w:hint="default"/>
      </w:rPr>
    </w:lvl>
    <w:lvl w:ilvl="8" w:tplc="5972FE58" w:tentative="1">
      <w:start w:val="1"/>
      <w:numFmt w:val="bullet"/>
      <w:lvlText w:val=""/>
      <w:lvlJc w:val="left"/>
      <w:pPr>
        <w:ind w:left="6480" w:hanging="360"/>
      </w:pPr>
      <w:rPr>
        <w:rFonts w:ascii="Wingdings" w:hAnsi="Wingdings" w:hint="default"/>
      </w:rPr>
    </w:lvl>
  </w:abstractNum>
  <w:abstractNum w:abstractNumId="7" w15:restartNumberingAfterBreak="0">
    <w:nsid w:val="5A1B1114"/>
    <w:multiLevelType w:val="hybridMultilevel"/>
    <w:tmpl w:val="CCBA96A8"/>
    <w:lvl w:ilvl="0" w:tplc="0AB406A6">
      <w:start w:val="1"/>
      <w:numFmt w:val="decimal"/>
      <w:lvlText w:val="%1."/>
      <w:lvlJc w:val="left"/>
      <w:pPr>
        <w:ind w:left="720" w:hanging="360"/>
      </w:pPr>
    </w:lvl>
    <w:lvl w:ilvl="1" w:tplc="89341DAE" w:tentative="1">
      <w:start w:val="1"/>
      <w:numFmt w:val="lowerLetter"/>
      <w:lvlText w:val="%2."/>
      <w:lvlJc w:val="left"/>
      <w:pPr>
        <w:ind w:left="1440" w:hanging="360"/>
      </w:pPr>
    </w:lvl>
    <w:lvl w:ilvl="2" w:tplc="1764E012" w:tentative="1">
      <w:start w:val="1"/>
      <w:numFmt w:val="lowerRoman"/>
      <w:lvlText w:val="%3."/>
      <w:lvlJc w:val="right"/>
      <w:pPr>
        <w:ind w:left="2160" w:hanging="180"/>
      </w:pPr>
    </w:lvl>
    <w:lvl w:ilvl="3" w:tplc="A8C649AE" w:tentative="1">
      <w:start w:val="1"/>
      <w:numFmt w:val="decimal"/>
      <w:lvlText w:val="%4."/>
      <w:lvlJc w:val="left"/>
      <w:pPr>
        <w:ind w:left="2880" w:hanging="360"/>
      </w:pPr>
    </w:lvl>
    <w:lvl w:ilvl="4" w:tplc="FB80F264" w:tentative="1">
      <w:start w:val="1"/>
      <w:numFmt w:val="lowerLetter"/>
      <w:lvlText w:val="%5."/>
      <w:lvlJc w:val="left"/>
      <w:pPr>
        <w:ind w:left="3600" w:hanging="360"/>
      </w:pPr>
    </w:lvl>
    <w:lvl w:ilvl="5" w:tplc="6532C33E" w:tentative="1">
      <w:start w:val="1"/>
      <w:numFmt w:val="lowerRoman"/>
      <w:lvlText w:val="%6."/>
      <w:lvlJc w:val="right"/>
      <w:pPr>
        <w:ind w:left="4320" w:hanging="180"/>
      </w:pPr>
    </w:lvl>
    <w:lvl w:ilvl="6" w:tplc="9732D700" w:tentative="1">
      <w:start w:val="1"/>
      <w:numFmt w:val="decimal"/>
      <w:lvlText w:val="%7."/>
      <w:lvlJc w:val="left"/>
      <w:pPr>
        <w:ind w:left="5040" w:hanging="360"/>
      </w:pPr>
    </w:lvl>
    <w:lvl w:ilvl="7" w:tplc="99FE458E" w:tentative="1">
      <w:start w:val="1"/>
      <w:numFmt w:val="lowerLetter"/>
      <w:lvlText w:val="%8."/>
      <w:lvlJc w:val="left"/>
      <w:pPr>
        <w:ind w:left="5760" w:hanging="360"/>
      </w:pPr>
    </w:lvl>
    <w:lvl w:ilvl="8" w:tplc="CD18A462" w:tentative="1">
      <w:start w:val="1"/>
      <w:numFmt w:val="lowerRoman"/>
      <w:lvlText w:val="%9."/>
      <w:lvlJc w:val="right"/>
      <w:pPr>
        <w:ind w:left="6480" w:hanging="180"/>
      </w:pPr>
    </w:lvl>
  </w:abstractNum>
  <w:abstractNum w:abstractNumId="8" w15:restartNumberingAfterBreak="0">
    <w:nsid w:val="5C475CBA"/>
    <w:multiLevelType w:val="hybridMultilevel"/>
    <w:tmpl w:val="3640A7FC"/>
    <w:lvl w:ilvl="0" w:tplc="BCDE394C">
      <w:start w:val="1"/>
      <w:numFmt w:val="bullet"/>
      <w:lvlText w:val=""/>
      <w:lvlJc w:val="left"/>
      <w:pPr>
        <w:ind w:left="720" w:hanging="360"/>
      </w:pPr>
      <w:rPr>
        <w:rFonts w:ascii="Symbol" w:hAnsi="Symbol" w:hint="default"/>
      </w:rPr>
    </w:lvl>
    <w:lvl w:ilvl="1" w:tplc="A4C48044" w:tentative="1">
      <w:start w:val="1"/>
      <w:numFmt w:val="bullet"/>
      <w:lvlText w:val="o"/>
      <w:lvlJc w:val="left"/>
      <w:pPr>
        <w:ind w:left="1440" w:hanging="360"/>
      </w:pPr>
      <w:rPr>
        <w:rFonts w:ascii="Courier New" w:hAnsi="Courier New" w:cs="Courier New" w:hint="default"/>
      </w:rPr>
    </w:lvl>
    <w:lvl w:ilvl="2" w:tplc="55841DD8" w:tentative="1">
      <w:start w:val="1"/>
      <w:numFmt w:val="bullet"/>
      <w:lvlText w:val=""/>
      <w:lvlJc w:val="left"/>
      <w:pPr>
        <w:ind w:left="2160" w:hanging="360"/>
      </w:pPr>
      <w:rPr>
        <w:rFonts w:ascii="Wingdings" w:hAnsi="Wingdings" w:hint="default"/>
      </w:rPr>
    </w:lvl>
    <w:lvl w:ilvl="3" w:tplc="439AC242" w:tentative="1">
      <w:start w:val="1"/>
      <w:numFmt w:val="bullet"/>
      <w:lvlText w:val=""/>
      <w:lvlJc w:val="left"/>
      <w:pPr>
        <w:ind w:left="2880" w:hanging="360"/>
      </w:pPr>
      <w:rPr>
        <w:rFonts w:ascii="Symbol" w:hAnsi="Symbol" w:hint="default"/>
      </w:rPr>
    </w:lvl>
    <w:lvl w:ilvl="4" w:tplc="D4F08D2A" w:tentative="1">
      <w:start w:val="1"/>
      <w:numFmt w:val="bullet"/>
      <w:lvlText w:val="o"/>
      <w:lvlJc w:val="left"/>
      <w:pPr>
        <w:ind w:left="3600" w:hanging="360"/>
      </w:pPr>
      <w:rPr>
        <w:rFonts w:ascii="Courier New" w:hAnsi="Courier New" w:cs="Courier New" w:hint="default"/>
      </w:rPr>
    </w:lvl>
    <w:lvl w:ilvl="5" w:tplc="1706B672" w:tentative="1">
      <w:start w:val="1"/>
      <w:numFmt w:val="bullet"/>
      <w:lvlText w:val=""/>
      <w:lvlJc w:val="left"/>
      <w:pPr>
        <w:ind w:left="4320" w:hanging="360"/>
      </w:pPr>
      <w:rPr>
        <w:rFonts w:ascii="Wingdings" w:hAnsi="Wingdings" w:hint="default"/>
      </w:rPr>
    </w:lvl>
    <w:lvl w:ilvl="6" w:tplc="A5D8EBDE" w:tentative="1">
      <w:start w:val="1"/>
      <w:numFmt w:val="bullet"/>
      <w:lvlText w:val=""/>
      <w:lvlJc w:val="left"/>
      <w:pPr>
        <w:ind w:left="5040" w:hanging="360"/>
      </w:pPr>
      <w:rPr>
        <w:rFonts w:ascii="Symbol" w:hAnsi="Symbol" w:hint="default"/>
      </w:rPr>
    </w:lvl>
    <w:lvl w:ilvl="7" w:tplc="50B6EC6A" w:tentative="1">
      <w:start w:val="1"/>
      <w:numFmt w:val="bullet"/>
      <w:lvlText w:val="o"/>
      <w:lvlJc w:val="left"/>
      <w:pPr>
        <w:ind w:left="5760" w:hanging="360"/>
      </w:pPr>
      <w:rPr>
        <w:rFonts w:ascii="Courier New" w:hAnsi="Courier New" w:cs="Courier New" w:hint="default"/>
      </w:rPr>
    </w:lvl>
    <w:lvl w:ilvl="8" w:tplc="620CFC68" w:tentative="1">
      <w:start w:val="1"/>
      <w:numFmt w:val="bullet"/>
      <w:lvlText w:val=""/>
      <w:lvlJc w:val="left"/>
      <w:pPr>
        <w:ind w:left="6480" w:hanging="360"/>
      </w:pPr>
      <w:rPr>
        <w:rFonts w:ascii="Wingdings" w:hAnsi="Wingdings" w:hint="default"/>
      </w:rPr>
    </w:lvl>
  </w:abstractNum>
  <w:abstractNum w:abstractNumId="9" w15:restartNumberingAfterBreak="0">
    <w:nsid w:val="5F8A7CA4"/>
    <w:multiLevelType w:val="hybridMultilevel"/>
    <w:tmpl w:val="DA8A61FE"/>
    <w:lvl w:ilvl="0" w:tplc="7534E2A2">
      <w:start w:val="1"/>
      <w:numFmt w:val="bullet"/>
      <w:lvlText w:val=""/>
      <w:lvlJc w:val="left"/>
      <w:pPr>
        <w:ind w:left="720" w:hanging="360"/>
      </w:pPr>
      <w:rPr>
        <w:rFonts w:ascii="Symbol" w:hAnsi="Symbol" w:hint="default"/>
      </w:rPr>
    </w:lvl>
    <w:lvl w:ilvl="1" w:tplc="1E145F56" w:tentative="1">
      <w:start w:val="1"/>
      <w:numFmt w:val="bullet"/>
      <w:lvlText w:val="o"/>
      <w:lvlJc w:val="left"/>
      <w:pPr>
        <w:ind w:left="1440" w:hanging="360"/>
      </w:pPr>
      <w:rPr>
        <w:rFonts w:ascii="Courier New" w:hAnsi="Courier New" w:cs="Courier New" w:hint="default"/>
      </w:rPr>
    </w:lvl>
    <w:lvl w:ilvl="2" w:tplc="FDB2530E" w:tentative="1">
      <w:start w:val="1"/>
      <w:numFmt w:val="bullet"/>
      <w:lvlText w:val=""/>
      <w:lvlJc w:val="left"/>
      <w:pPr>
        <w:ind w:left="2160" w:hanging="360"/>
      </w:pPr>
      <w:rPr>
        <w:rFonts w:ascii="Wingdings" w:hAnsi="Wingdings" w:hint="default"/>
      </w:rPr>
    </w:lvl>
    <w:lvl w:ilvl="3" w:tplc="C8060E06" w:tentative="1">
      <w:start w:val="1"/>
      <w:numFmt w:val="bullet"/>
      <w:lvlText w:val=""/>
      <w:lvlJc w:val="left"/>
      <w:pPr>
        <w:ind w:left="2880" w:hanging="360"/>
      </w:pPr>
      <w:rPr>
        <w:rFonts w:ascii="Symbol" w:hAnsi="Symbol" w:hint="default"/>
      </w:rPr>
    </w:lvl>
    <w:lvl w:ilvl="4" w:tplc="778EF2F6" w:tentative="1">
      <w:start w:val="1"/>
      <w:numFmt w:val="bullet"/>
      <w:lvlText w:val="o"/>
      <w:lvlJc w:val="left"/>
      <w:pPr>
        <w:ind w:left="3600" w:hanging="360"/>
      </w:pPr>
      <w:rPr>
        <w:rFonts w:ascii="Courier New" w:hAnsi="Courier New" w:cs="Courier New" w:hint="default"/>
      </w:rPr>
    </w:lvl>
    <w:lvl w:ilvl="5" w:tplc="68FACADC" w:tentative="1">
      <w:start w:val="1"/>
      <w:numFmt w:val="bullet"/>
      <w:lvlText w:val=""/>
      <w:lvlJc w:val="left"/>
      <w:pPr>
        <w:ind w:left="4320" w:hanging="360"/>
      </w:pPr>
      <w:rPr>
        <w:rFonts w:ascii="Wingdings" w:hAnsi="Wingdings" w:hint="default"/>
      </w:rPr>
    </w:lvl>
    <w:lvl w:ilvl="6" w:tplc="03BCB7A4" w:tentative="1">
      <w:start w:val="1"/>
      <w:numFmt w:val="bullet"/>
      <w:lvlText w:val=""/>
      <w:lvlJc w:val="left"/>
      <w:pPr>
        <w:ind w:left="5040" w:hanging="360"/>
      </w:pPr>
      <w:rPr>
        <w:rFonts w:ascii="Symbol" w:hAnsi="Symbol" w:hint="default"/>
      </w:rPr>
    </w:lvl>
    <w:lvl w:ilvl="7" w:tplc="87809E02" w:tentative="1">
      <w:start w:val="1"/>
      <w:numFmt w:val="bullet"/>
      <w:lvlText w:val="o"/>
      <w:lvlJc w:val="left"/>
      <w:pPr>
        <w:ind w:left="5760" w:hanging="360"/>
      </w:pPr>
      <w:rPr>
        <w:rFonts w:ascii="Courier New" w:hAnsi="Courier New" w:cs="Courier New" w:hint="default"/>
      </w:rPr>
    </w:lvl>
    <w:lvl w:ilvl="8" w:tplc="5012326C" w:tentative="1">
      <w:start w:val="1"/>
      <w:numFmt w:val="bullet"/>
      <w:lvlText w:val=""/>
      <w:lvlJc w:val="left"/>
      <w:pPr>
        <w:ind w:left="6480" w:hanging="360"/>
      </w:pPr>
      <w:rPr>
        <w:rFonts w:ascii="Wingdings" w:hAnsi="Wingdings" w:hint="default"/>
      </w:rPr>
    </w:lvl>
  </w:abstractNum>
  <w:abstractNum w:abstractNumId="10" w15:restartNumberingAfterBreak="0">
    <w:nsid w:val="691A5D4F"/>
    <w:multiLevelType w:val="hybridMultilevel"/>
    <w:tmpl w:val="CE508FBC"/>
    <w:lvl w:ilvl="0" w:tplc="03145EDE">
      <w:start w:val="1"/>
      <w:numFmt w:val="decimal"/>
      <w:lvlText w:val="%1."/>
      <w:lvlJc w:val="left"/>
      <w:pPr>
        <w:ind w:left="720" w:hanging="360"/>
      </w:pPr>
      <w:rPr>
        <w:rFonts w:hint="default"/>
      </w:rPr>
    </w:lvl>
    <w:lvl w:ilvl="1" w:tplc="00480E36" w:tentative="1">
      <w:start w:val="1"/>
      <w:numFmt w:val="bullet"/>
      <w:lvlText w:val="o"/>
      <w:lvlJc w:val="left"/>
      <w:pPr>
        <w:ind w:left="1440" w:hanging="360"/>
      </w:pPr>
      <w:rPr>
        <w:rFonts w:ascii="Courier New" w:hAnsi="Courier New" w:cs="Courier New" w:hint="default"/>
      </w:rPr>
    </w:lvl>
    <w:lvl w:ilvl="2" w:tplc="A6B29D64" w:tentative="1">
      <w:start w:val="1"/>
      <w:numFmt w:val="bullet"/>
      <w:lvlText w:val=""/>
      <w:lvlJc w:val="left"/>
      <w:pPr>
        <w:ind w:left="2160" w:hanging="360"/>
      </w:pPr>
      <w:rPr>
        <w:rFonts w:ascii="Wingdings" w:hAnsi="Wingdings" w:hint="default"/>
      </w:rPr>
    </w:lvl>
    <w:lvl w:ilvl="3" w:tplc="8E48FCEC" w:tentative="1">
      <w:start w:val="1"/>
      <w:numFmt w:val="bullet"/>
      <w:lvlText w:val=""/>
      <w:lvlJc w:val="left"/>
      <w:pPr>
        <w:ind w:left="2880" w:hanging="360"/>
      </w:pPr>
      <w:rPr>
        <w:rFonts w:ascii="Symbol" w:hAnsi="Symbol" w:hint="default"/>
      </w:rPr>
    </w:lvl>
    <w:lvl w:ilvl="4" w:tplc="75FCC702" w:tentative="1">
      <w:start w:val="1"/>
      <w:numFmt w:val="bullet"/>
      <w:lvlText w:val="o"/>
      <w:lvlJc w:val="left"/>
      <w:pPr>
        <w:ind w:left="3600" w:hanging="360"/>
      </w:pPr>
      <w:rPr>
        <w:rFonts w:ascii="Courier New" w:hAnsi="Courier New" w:cs="Courier New" w:hint="default"/>
      </w:rPr>
    </w:lvl>
    <w:lvl w:ilvl="5" w:tplc="21D44C1E" w:tentative="1">
      <w:start w:val="1"/>
      <w:numFmt w:val="bullet"/>
      <w:lvlText w:val=""/>
      <w:lvlJc w:val="left"/>
      <w:pPr>
        <w:ind w:left="4320" w:hanging="360"/>
      </w:pPr>
      <w:rPr>
        <w:rFonts w:ascii="Wingdings" w:hAnsi="Wingdings" w:hint="default"/>
      </w:rPr>
    </w:lvl>
    <w:lvl w:ilvl="6" w:tplc="866ED3D6" w:tentative="1">
      <w:start w:val="1"/>
      <w:numFmt w:val="bullet"/>
      <w:lvlText w:val=""/>
      <w:lvlJc w:val="left"/>
      <w:pPr>
        <w:ind w:left="5040" w:hanging="360"/>
      </w:pPr>
      <w:rPr>
        <w:rFonts w:ascii="Symbol" w:hAnsi="Symbol" w:hint="default"/>
      </w:rPr>
    </w:lvl>
    <w:lvl w:ilvl="7" w:tplc="65DC3814" w:tentative="1">
      <w:start w:val="1"/>
      <w:numFmt w:val="bullet"/>
      <w:lvlText w:val="o"/>
      <w:lvlJc w:val="left"/>
      <w:pPr>
        <w:ind w:left="5760" w:hanging="360"/>
      </w:pPr>
      <w:rPr>
        <w:rFonts w:ascii="Courier New" w:hAnsi="Courier New" w:cs="Courier New" w:hint="default"/>
      </w:rPr>
    </w:lvl>
    <w:lvl w:ilvl="8" w:tplc="E74275DA" w:tentative="1">
      <w:start w:val="1"/>
      <w:numFmt w:val="bullet"/>
      <w:lvlText w:val=""/>
      <w:lvlJc w:val="left"/>
      <w:pPr>
        <w:ind w:left="6480" w:hanging="360"/>
      </w:pPr>
      <w:rPr>
        <w:rFonts w:ascii="Wingdings" w:hAnsi="Wingdings" w:hint="default"/>
      </w:rPr>
    </w:lvl>
  </w:abstractNum>
  <w:abstractNum w:abstractNumId="11" w15:restartNumberingAfterBreak="0">
    <w:nsid w:val="69C86045"/>
    <w:multiLevelType w:val="hybridMultilevel"/>
    <w:tmpl w:val="C43A5A04"/>
    <w:lvl w:ilvl="0" w:tplc="55866F3A">
      <w:start w:val="1"/>
      <w:numFmt w:val="decimal"/>
      <w:lvlText w:val="%1."/>
      <w:lvlJc w:val="left"/>
      <w:pPr>
        <w:ind w:left="720" w:hanging="360"/>
      </w:pPr>
      <w:rPr>
        <w:rFonts w:hint="default"/>
      </w:rPr>
    </w:lvl>
    <w:lvl w:ilvl="1" w:tplc="96FA6EA0" w:tentative="1">
      <w:start w:val="1"/>
      <w:numFmt w:val="bullet"/>
      <w:lvlText w:val="o"/>
      <w:lvlJc w:val="left"/>
      <w:pPr>
        <w:ind w:left="1440" w:hanging="360"/>
      </w:pPr>
      <w:rPr>
        <w:rFonts w:ascii="Courier New" w:hAnsi="Courier New" w:cs="Courier New" w:hint="default"/>
      </w:rPr>
    </w:lvl>
    <w:lvl w:ilvl="2" w:tplc="7248BAEC" w:tentative="1">
      <w:start w:val="1"/>
      <w:numFmt w:val="bullet"/>
      <w:lvlText w:val=""/>
      <w:lvlJc w:val="left"/>
      <w:pPr>
        <w:ind w:left="2160" w:hanging="360"/>
      </w:pPr>
      <w:rPr>
        <w:rFonts w:ascii="Wingdings" w:hAnsi="Wingdings" w:hint="default"/>
      </w:rPr>
    </w:lvl>
    <w:lvl w:ilvl="3" w:tplc="714E5DF4" w:tentative="1">
      <w:start w:val="1"/>
      <w:numFmt w:val="bullet"/>
      <w:lvlText w:val=""/>
      <w:lvlJc w:val="left"/>
      <w:pPr>
        <w:ind w:left="2880" w:hanging="360"/>
      </w:pPr>
      <w:rPr>
        <w:rFonts w:ascii="Symbol" w:hAnsi="Symbol" w:hint="default"/>
      </w:rPr>
    </w:lvl>
    <w:lvl w:ilvl="4" w:tplc="BDEA6192" w:tentative="1">
      <w:start w:val="1"/>
      <w:numFmt w:val="bullet"/>
      <w:lvlText w:val="o"/>
      <w:lvlJc w:val="left"/>
      <w:pPr>
        <w:ind w:left="3600" w:hanging="360"/>
      </w:pPr>
      <w:rPr>
        <w:rFonts w:ascii="Courier New" w:hAnsi="Courier New" w:cs="Courier New" w:hint="default"/>
      </w:rPr>
    </w:lvl>
    <w:lvl w:ilvl="5" w:tplc="882A1E1A" w:tentative="1">
      <w:start w:val="1"/>
      <w:numFmt w:val="bullet"/>
      <w:lvlText w:val=""/>
      <w:lvlJc w:val="left"/>
      <w:pPr>
        <w:ind w:left="4320" w:hanging="360"/>
      </w:pPr>
      <w:rPr>
        <w:rFonts w:ascii="Wingdings" w:hAnsi="Wingdings" w:hint="default"/>
      </w:rPr>
    </w:lvl>
    <w:lvl w:ilvl="6" w:tplc="50100DE4" w:tentative="1">
      <w:start w:val="1"/>
      <w:numFmt w:val="bullet"/>
      <w:lvlText w:val=""/>
      <w:lvlJc w:val="left"/>
      <w:pPr>
        <w:ind w:left="5040" w:hanging="360"/>
      </w:pPr>
      <w:rPr>
        <w:rFonts w:ascii="Symbol" w:hAnsi="Symbol" w:hint="default"/>
      </w:rPr>
    </w:lvl>
    <w:lvl w:ilvl="7" w:tplc="5F6C1F5E" w:tentative="1">
      <w:start w:val="1"/>
      <w:numFmt w:val="bullet"/>
      <w:lvlText w:val="o"/>
      <w:lvlJc w:val="left"/>
      <w:pPr>
        <w:ind w:left="5760" w:hanging="360"/>
      </w:pPr>
      <w:rPr>
        <w:rFonts w:ascii="Courier New" w:hAnsi="Courier New" w:cs="Courier New" w:hint="default"/>
      </w:rPr>
    </w:lvl>
    <w:lvl w:ilvl="8" w:tplc="9A7C35E6" w:tentative="1">
      <w:start w:val="1"/>
      <w:numFmt w:val="bullet"/>
      <w:lvlText w:val=""/>
      <w:lvlJc w:val="left"/>
      <w:pPr>
        <w:ind w:left="6480" w:hanging="360"/>
      </w:pPr>
      <w:rPr>
        <w:rFonts w:ascii="Wingdings" w:hAnsi="Wingdings" w:hint="default"/>
      </w:rPr>
    </w:lvl>
  </w:abstractNum>
  <w:abstractNum w:abstractNumId="12" w15:restartNumberingAfterBreak="0">
    <w:nsid w:val="6A9D64C5"/>
    <w:multiLevelType w:val="hybridMultilevel"/>
    <w:tmpl w:val="548AADD6"/>
    <w:lvl w:ilvl="0" w:tplc="44A6E43A">
      <w:start w:val="1"/>
      <w:numFmt w:val="bullet"/>
      <w:lvlText w:val=""/>
      <w:lvlJc w:val="left"/>
      <w:pPr>
        <w:ind w:left="720" w:hanging="360"/>
      </w:pPr>
      <w:rPr>
        <w:rFonts w:ascii="Symbol" w:hAnsi="Symbol" w:hint="default"/>
      </w:rPr>
    </w:lvl>
    <w:lvl w:ilvl="1" w:tplc="2954F274" w:tentative="1">
      <w:start w:val="1"/>
      <w:numFmt w:val="bullet"/>
      <w:lvlText w:val="o"/>
      <w:lvlJc w:val="left"/>
      <w:pPr>
        <w:ind w:left="1440" w:hanging="360"/>
      </w:pPr>
      <w:rPr>
        <w:rFonts w:ascii="Courier New" w:hAnsi="Courier New" w:cs="Courier New" w:hint="default"/>
      </w:rPr>
    </w:lvl>
    <w:lvl w:ilvl="2" w:tplc="11C0307A" w:tentative="1">
      <w:start w:val="1"/>
      <w:numFmt w:val="bullet"/>
      <w:lvlText w:val=""/>
      <w:lvlJc w:val="left"/>
      <w:pPr>
        <w:ind w:left="2160" w:hanging="360"/>
      </w:pPr>
      <w:rPr>
        <w:rFonts w:ascii="Wingdings" w:hAnsi="Wingdings" w:hint="default"/>
      </w:rPr>
    </w:lvl>
    <w:lvl w:ilvl="3" w:tplc="3BC68E80" w:tentative="1">
      <w:start w:val="1"/>
      <w:numFmt w:val="bullet"/>
      <w:lvlText w:val=""/>
      <w:lvlJc w:val="left"/>
      <w:pPr>
        <w:ind w:left="2880" w:hanging="360"/>
      </w:pPr>
      <w:rPr>
        <w:rFonts w:ascii="Symbol" w:hAnsi="Symbol" w:hint="default"/>
      </w:rPr>
    </w:lvl>
    <w:lvl w:ilvl="4" w:tplc="5C72E038" w:tentative="1">
      <w:start w:val="1"/>
      <w:numFmt w:val="bullet"/>
      <w:lvlText w:val="o"/>
      <w:lvlJc w:val="left"/>
      <w:pPr>
        <w:ind w:left="3600" w:hanging="360"/>
      </w:pPr>
      <w:rPr>
        <w:rFonts w:ascii="Courier New" w:hAnsi="Courier New" w:cs="Courier New" w:hint="default"/>
      </w:rPr>
    </w:lvl>
    <w:lvl w:ilvl="5" w:tplc="57060B42" w:tentative="1">
      <w:start w:val="1"/>
      <w:numFmt w:val="bullet"/>
      <w:lvlText w:val=""/>
      <w:lvlJc w:val="left"/>
      <w:pPr>
        <w:ind w:left="4320" w:hanging="360"/>
      </w:pPr>
      <w:rPr>
        <w:rFonts w:ascii="Wingdings" w:hAnsi="Wingdings" w:hint="default"/>
      </w:rPr>
    </w:lvl>
    <w:lvl w:ilvl="6" w:tplc="3076972E" w:tentative="1">
      <w:start w:val="1"/>
      <w:numFmt w:val="bullet"/>
      <w:lvlText w:val=""/>
      <w:lvlJc w:val="left"/>
      <w:pPr>
        <w:ind w:left="5040" w:hanging="360"/>
      </w:pPr>
      <w:rPr>
        <w:rFonts w:ascii="Symbol" w:hAnsi="Symbol" w:hint="default"/>
      </w:rPr>
    </w:lvl>
    <w:lvl w:ilvl="7" w:tplc="5CF21E36" w:tentative="1">
      <w:start w:val="1"/>
      <w:numFmt w:val="bullet"/>
      <w:lvlText w:val="o"/>
      <w:lvlJc w:val="left"/>
      <w:pPr>
        <w:ind w:left="5760" w:hanging="360"/>
      </w:pPr>
      <w:rPr>
        <w:rFonts w:ascii="Courier New" w:hAnsi="Courier New" w:cs="Courier New" w:hint="default"/>
      </w:rPr>
    </w:lvl>
    <w:lvl w:ilvl="8" w:tplc="4F4C9260" w:tentative="1">
      <w:start w:val="1"/>
      <w:numFmt w:val="bullet"/>
      <w:lvlText w:val=""/>
      <w:lvlJc w:val="left"/>
      <w:pPr>
        <w:ind w:left="6480" w:hanging="360"/>
      </w:pPr>
      <w:rPr>
        <w:rFonts w:ascii="Wingdings" w:hAnsi="Wingdings" w:hint="default"/>
      </w:rPr>
    </w:lvl>
  </w:abstractNum>
  <w:num w:numId="1" w16cid:durableId="1945571218">
    <w:abstractNumId w:val="12"/>
  </w:num>
  <w:num w:numId="2" w16cid:durableId="926961843">
    <w:abstractNumId w:val="8"/>
  </w:num>
  <w:num w:numId="3" w16cid:durableId="1478448414">
    <w:abstractNumId w:val="6"/>
  </w:num>
  <w:num w:numId="4" w16cid:durableId="1167987276">
    <w:abstractNumId w:val="9"/>
  </w:num>
  <w:num w:numId="5" w16cid:durableId="951324529">
    <w:abstractNumId w:val="3"/>
  </w:num>
  <w:num w:numId="6" w16cid:durableId="2138060184">
    <w:abstractNumId w:val="11"/>
  </w:num>
  <w:num w:numId="7" w16cid:durableId="181894470">
    <w:abstractNumId w:val="10"/>
  </w:num>
  <w:num w:numId="8" w16cid:durableId="619381961">
    <w:abstractNumId w:val="5"/>
  </w:num>
  <w:num w:numId="9" w16cid:durableId="523790688">
    <w:abstractNumId w:val="4"/>
  </w:num>
  <w:num w:numId="10" w16cid:durableId="45764869">
    <w:abstractNumId w:val="2"/>
  </w:num>
  <w:num w:numId="11" w16cid:durableId="1606499389">
    <w:abstractNumId w:val="0"/>
  </w:num>
  <w:num w:numId="12" w16cid:durableId="1007829723">
    <w:abstractNumId w:val="7"/>
  </w:num>
  <w:num w:numId="13" w16cid:durableId="81515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chicago"/>
    <w:numStart w:val="2"/>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K0NDUzNTC1NDOxNDVX0lEKTi0uzszPAykwMrKsBQB4ixMhLgAAAA=="/>
  </w:docVars>
  <w:rsids>
    <w:rsidRoot w:val="00C64FF4"/>
    <w:rsid w:val="00000319"/>
    <w:rsid w:val="00000400"/>
    <w:rsid w:val="0000067D"/>
    <w:rsid w:val="00000C49"/>
    <w:rsid w:val="000019E9"/>
    <w:rsid w:val="00001AEF"/>
    <w:rsid w:val="000020B8"/>
    <w:rsid w:val="000024F7"/>
    <w:rsid w:val="0000290B"/>
    <w:rsid w:val="00002A6D"/>
    <w:rsid w:val="00002A7E"/>
    <w:rsid w:val="00002DF5"/>
    <w:rsid w:val="00002F50"/>
    <w:rsid w:val="00003066"/>
    <w:rsid w:val="000033CE"/>
    <w:rsid w:val="0000413C"/>
    <w:rsid w:val="000049BD"/>
    <w:rsid w:val="00004E86"/>
    <w:rsid w:val="000054BE"/>
    <w:rsid w:val="00005B43"/>
    <w:rsid w:val="00005E21"/>
    <w:rsid w:val="000069CA"/>
    <w:rsid w:val="00006B8D"/>
    <w:rsid w:val="0000709A"/>
    <w:rsid w:val="00007250"/>
    <w:rsid w:val="00007BB9"/>
    <w:rsid w:val="00007F73"/>
    <w:rsid w:val="00010515"/>
    <w:rsid w:val="0001075B"/>
    <w:rsid w:val="00011435"/>
    <w:rsid w:val="00011E92"/>
    <w:rsid w:val="0001211A"/>
    <w:rsid w:val="0001245E"/>
    <w:rsid w:val="00012AC9"/>
    <w:rsid w:val="00012C36"/>
    <w:rsid w:val="00012E30"/>
    <w:rsid w:val="00012E39"/>
    <w:rsid w:val="00013658"/>
    <w:rsid w:val="00013B89"/>
    <w:rsid w:val="00013CE6"/>
    <w:rsid w:val="000141A3"/>
    <w:rsid w:val="00014694"/>
    <w:rsid w:val="00015255"/>
    <w:rsid w:val="000161DF"/>
    <w:rsid w:val="00017EC1"/>
    <w:rsid w:val="0002015E"/>
    <w:rsid w:val="0002035E"/>
    <w:rsid w:val="000209D4"/>
    <w:rsid w:val="00020C42"/>
    <w:rsid w:val="00020EA0"/>
    <w:rsid w:val="00020F1D"/>
    <w:rsid w:val="000212F2"/>
    <w:rsid w:val="00021307"/>
    <w:rsid w:val="00021725"/>
    <w:rsid w:val="00021D27"/>
    <w:rsid w:val="00021D76"/>
    <w:rsid w:val="0002346D"/>
    <w:rsid w:val="00023C72"/>
    <w:rsid w:val="00023E00"/>
    <w:rsid w:val="00025247"/>
    <w:rsid w:val="00025684"/>
    <w:rsid w:val="00025E33"/>
    <w:rsid w:val="00025FF3"/>
    <w:rsid w:val="00026508"/>
    <w:rsid w:val="0002650D"/>
    <w:rsid w:val="00026B62"/>
    <w:rsid w:val="00026C9B"/>
    <w:rsid w:val="00026F35"/>
    <w:rsid w:val="000271E2"/>
    <w:rsid w:val="000273D5"/>
    <w:rsid w:val="0002793D"/>
    <w:rsid w:val="00027997"/>
    <w:rsid w:val="00027B4D"/>
    <w:rsid w:val="00027D90"/>
    <w:rsid w:val="00031461"/>
    <w:rsid w:val="0003197E"/>
    <w:rsid w:val="00031EBB"/>
    <w:rsid w:val="0003204C"/>
    <w:rsid w:val="0003306C"/>
    <w:rsid w:val="00033791"/>
    <w:rsid w:val="00034546"/>
    <w:rsid w:val="00034AC8"/>
    <w:rsid w:val="000357FA"/>
    <w:rsid w:val="00035BE3"/>
    <w:rsid w:val="00036E3A"/>
    <w:rsid w:val="0003727A"/>
    <w:rsid w:val="0003791D"/>
    <w:rsid w:val="00037C9C"/>
    <w:rsid w:val="00037F23"/>
    <w:rsid w:val="00040F13"/>
    <w:rsid w:val="000412D4"/>
    <w:rsid w:val="0004183E"/>
    <w:rsid w:val="00041AFC"/>
    <w:rsid w:val="000424C1"/>
    <w:rsid w:val="00042745"/>
    <w:rsid w:val="00042D0D"/>
    <w:rsid w:val="00042FA8"/>
    <w:rsid w:val="00042FE6"/>
    <w:rsid w:val="0004351F"/>
    <w:rsid w:val="000437A7"/>
    <w:rsid w:val="00043A76"/>
    <w:rsid w:val="00043A8B"/>
    <w:rsid w:val="00044361"/>
    <w:rsid w:val="000454AD"/>
    <w:rsid w:val="000458E2"/>
    <w:rsid w:val="00045C8F"/>
    <w:rsid w:val="00045EFC"/>
    <w:rsid w:val="000461D4"/>
    <w:rsid w:val="0004628A"/>
    <w:rsid w:val="000462E5"/>
    <w:rsid w:val="000464AA"/>
    <w:rsid w:val="00046C8A"/>
    <w:rsid w:val="000473A4"/>
    <w:rsid w:val="000475CE"/>
    <w:rsid w:val="00047639"/>
    <w:rsid w:val="00047928"/>
    <w:rsid w:val="000501B2"/>
    <w:rsid w:val="00050AC7"/>
    <w:rsid w:val="00050B3E"/>
    <w:rsid w:val="00050B95"/>
    <w:rsid w:val="00051367"/>
    <w:rsid w:val="0005161F"/>
    <w:rsid w:val="000516DA"/>
    <w:rsid w:val="000517B2"/>
    <w:rsid w:val="000518A3"/>
    <w:rsid w:val="000519CF"/>
    <w:rsid w:val="00052434"/>
    <w:rsid w:val="000525BD"/>
    <w:rsid w:val="00052707"/>
    <w:rsid w:val="000531BC"/>
    <w:rsid w:val="00053E65"/>
    <w:rsid w:val="00054A16"/>
    <w:rsid w:val="0005503B"/>
    <w:rsid w:val="00055344"/>
    <w:rsid w:val="00055604"/>
    <w:rsid w:val="0005592E"/>
    <w:rsid w:val="00055A99"/>
    <w:rsid w:val="000562FA"/>
    <w:rsid w:val="00056503"/>
    <w:rsid w:val="00057640"/>
    <w:rsid w:val="0005764C"/>
    <w:rsid w:val="00057839"/>
    <w:rsid w:val="00060F68"/>
    <w:rsid w:val="000613C4"/>
    <w:rsid w:val="00061484"/>
    <w:rsid w:val="0006154B"/>
    <w:rsid w:val="00061DFF"/>
    <w:rsid w:val="00062583"/>
    <w:rsid w:val="00062BBF"/>
    <w:rsid w:val="00063C9B"/>
    <w:rsid w:val="00063FDD"/>
    <w:rsid w:val="000643AC"/>
    <w:rsid w:val="000646F5"/>
    <w:rsid w:val="000648CB"/>
    <w:rsid w:val="00064CAD"/>
    <w:rsid w:val="0006574E"/>
    <w:rsid w:val="000657F5"/>
    <w:rsid w:val="000658D3"/>
    <w:rsid w:val="00065CE8"/>
    <w:rsid w:val="000660B9"/>
    <w:rsid w:val="000669D8"/>
    <w:rsid w:val="00066FD8"/>
    <w:rsid w:val="0006709F"/>
    <w:rsid w:val="000672D5"/>
    <w:rsid w:val="00067F8B"/>
    <w:rsid w:val="000700F1"/>
    <w:rsid w:val="00070742"/>
    <w:rsid w:val="00070F49"/>
    <w:rsid w:val="000715CA"/>
    <w:rsid w:val="000716F8"/>
    <w:rsid w:val="00071F1E"/>
    <w:rsid w:val="00072D9C"/>
    <w:rsid w:val="000730D7"/>
    <w:rsid w:val="00073888"/>
    <w:rsid w:val="00073FDA"/>
    <w:rsid w:val="00074330"/>
    <w:rsid w:val="0007463E"/>
    <w:rsid w:val="0007474C"/>
    <w:rsid w:val="00074AC7"/>
    <w:rsid w:val="00074C13"/>
    <w:rsid w:val="00075930"/>
    <w:rsid w:val="00075C1C"/>
    <w:rsid w:val="0007646C"/>
    <w:rsid w:val="00076538"/>
    <w:rsid w:val="00076BEA"/>
    <w:rsid w:val="00076EFF"/>
    <w:rsid w:val="0007795D"/>
    <w:rsid w:val="000779DC"/>
    <w:rsid w:val="00080D18"/>
    <w:rsid w:val="00081572"/>
    <w:rsid w:val="0008189A"/>
    <w:rsid w:val="00082A99"/>
    <w:rsid w:val="00082D26"/>
    <w:rsid w:val="00082F86"/>
    <w:rsid w:val="0008309F"/>
    <w:rsid w:val="00083181"/>
    <w:rsid w:val="00083311"/>
    <w:rsid w:val="00083B5B"/>
    <w:rsid w:val="00083D18"/>
    <w:rsid w:val="00084D94"/>
    <w:rsid w:val="000852EC"/>
    <w:rsid w:val="00085830"/>
    <w:rsid w:val="00085CF5"/>
    <w:rsid w:val="00085DD7"/>
    <w:rsid w:val="00086AF9"/>
    <w:rsid w:val="00086DF5"/>
    <w:rsid w:val="00086F49"/>
    <w:rsid w:val="00086FBD"/>
    <w:rsid w:val="00087371"/>
    <w:rsid w:val="000874D8"/>
    <w:rsid w:val="00087512"/>
    <w:rsid w:val="0008798A"/>
    <w:rsid w:val="00087A84"/>
    <w:rsid w:val="000900FD"/>
    <w:rsid w:val="0009184F"/>
    <w:rsid w:val="00091B8A"/>
    <w:rsid w:val="00091D2F"/>
    <w:rsid w:val="00092B7D"/>
    <w:rsid w:val="00092C8F"/>
    <w:rsid w:val="00092F67"/>
    <w:rsid w:val="00093FFC"/>
    <w:rsid w:val="00094C08"/>
    <w:rsid w:val="0009504B"/>
    <w:rsid w:val="000953BE"/>
    <w:rsid w:val="00095BA4"/>
    <w:rsid w:val="00095BA9"/>
    <w:rsid w:val="00095DC3"/>
    <w:rsid w:val="00095DCE"/>
    <w:rsid w:val="00096C2F"/>
    <w:rsid w:val="0009757E"/>
    <w:rsid w:val="00097743"/>
    <w:rsid w:val="00097B33"/>
    <w:rsid w:val="000A09F1"/>
    <w:rsid w:val="000A0C28"/>
    <w:rsid w:val="000A1A36"/>
    <w:rsid w:val="000A1D8A"/>
    <w:rsid w:val="000A1E20"/>
    <w:rsid w:val="000A1F4E"/>
    <w:rsid w:val="000A2505"/>
    <w:rsid w:val="000A26CF"/>
    <w:rsid w:val="000A3533"/>
    <w:rsid w:val="000A360A"/>
    <w:rsid w:val="000A43C1"/>
    <w:rsid w:val="000A4745"/>
    <w:rsid w:val="000A4A35"/>
    <w:rsid w:val="000A4C21"/>
    <w:rsid w:val="000A5961"/>
    <w:rsid w:val="000A5B5E"/>
    <w:rsid w:val="000A5B7C"/>
    <w:rsid w:val="000A5C59"/>
    <w:rsid w:val="000A5CFA"/>
    <w:rsid w:val="000A6049"/>
    <w:rsid w:val="000A71D7"/>
    <w:rsid w:val="000A7C4F"/>
    <w:rsid w:val="000B0F8A"/>
    <w:rsid w:val="000B11E5"/>
    <w:rsid w:val="000B1A95"/>
    <w:rsid w:val="000B1DA5"/>
    <w:rsid w:val="000B310A"/>
    <w:rsid w:val="000B351A"/>
    <w:rsid w:val="000B3540"/>
    <w:rsid w:val="000B3DF0"/>
    <w:rsid w:val="000B472A"/>
    <w:rsid w:val="000B4CAC"/>
    <w:rsid w:val="000B4CBF"/>
    <w:rsid w:val="000B51CE"/>
    <w:rsid w:val="000B5418"/>
    <w:rsid w:val="000B64F9"/>
    <w:rsid w:val="000B6788"/>
    <w:rsid w:val="000B6F86"/>
    <w:rsid w:val="000B7D59"/>
    <w:rsid w:val="000C025B"/>
    <w:rsid w:val="000C0409"/>
    <w:rsid w:val="000C13A1"/>
    <w:rsid w:val="000C1CC3"/>
    <w:rsid w:val="000C1DF5"/>
    <w:rsid w:val="000C1FD9"/>
    <w:rsid w:val="000C2136"/>
    <w:rsid w:val="000C3172"/>
    <w:rsid w:val="000C37DB"/>
    <w:rsid w:val="000C3A02"/>
    <w:rsid w:val="000C3B99"/>
    <w:rsid w:val="000C4691"/>
    <w:rsid w:val="000C46F8"/>
    <w:rsid w:val="000C47AB"/>
    <w:rsid w:val="000C4DDC"/>
    <w:rsid w:val="000C665B"/>
    <w:rsid w:val="000C6B7D"/>
    <w:rsid w:val="000C7093"/>
    <w:rsid w:val="000C7386"/>
    <w:rsid w:val="000C7464"/>
    <w:rsid w:val="000C7A27"/>
    <w:rsid w:val="000C7A87"/>
    <w:rsid w:val="000C7E77"/>
    <w:rsid w:val="000D0ECD"/>
    <w:rsid w:val="000D1317"/>
    <w:rsid w:val="000D1924"/>
    <w:rsid w:val="000D1B4C"/>
    <w:rsid w:val="000D1B7E"/>
    <w:rsid w:val="000D1B97"/>
    <w:rsid w:val="000D1E94"/>
    <w:rsid w:val="000D243A"/>
    <w:rsid w:val="000D2443"/>
    <w:rsid w:val="000D278E"/>
    <w:rsid w:val="000D301E"/>
    <w:rsid w:val="000D3153"/>
    <w:rsid w:val="000D37E7"/>
    <w:rsid w:val="000D475A"/>
    <w:rsid w:val="000D4AE0"/>
    <w:rsid w:val="000D53AB"/>
    <w:rsid w:val="000D5540"/>
    <w:rsid w:val="000D554B"/>
    <w:rsid w:val="000D55B5"/>
    <w:rsid w:val="000D6B80"/>
    <w:rsid w:val="000D6E24"/>
    <w:rsid w:val="000D7595"/>
    <w:rsid w:val="000E0127"/>
    <w:rsid w:val="000E035F"/>
    <w:rsid w:val="000E17A8"/>
    <w:rsid w:val="000E188F"/>
    <w:rsid w:val="000E1F04"/>
    <w:rsid w:val="000E20DB"/>
    <w:rsid w:val="000E21E2"/>
    <w:rsid w:val="000E2308"/>
    <w:rsid w:val="000E2311"/>
    <w:rsid w:val="000E2DD5"/>
    <w:rsid w:val="000E3060"/>
    <w:rsid w:val="000E3216"/>
    <w:rsid w:val="000E3459"/>
    <w:rsid w:val="000E3504"/>
    <w:rsid w:val="000E35EC"/>
    <w:rsid w:val="000E3787"/>
    <w:rsid w:val="000E4057"/>
    <w:rsid w:val="000E406F"/>
    <w:rsid w:val="000E41C2"/>
    <w:rsid w:val="000E450F"/>
    <w:rsid w:val="000E4724"/>
    <w:rsid w:val="000E5C3C"/>
    <w:rsid w:val="000E5C9D"/>
    <w:rsid w:val="000E5E89"/>
    <w:rsid w:val="000E7185"/>
    <w:rsid w:val="000E78BB"/>
    <w:rsid w:val="000E7C0F"/>
    <w:rsid w:val="000F005F"/>
    <w:rsid w:val="000F051F"/>
    <w:rsid w:val="000F1D2A"/>
    <w:rsid w:val="000F1FD2"/>
    <w:rsid w:val="000F2222"/>
    <w:rsid w:val="000F2292"/>
    <w:rsid w:val="000F296C"/>
    <w:rsid w:val="000F2AA4"/>
    <w:rsid w:val="000F2FE4"/>
    <w:rsid w:val="000F35B8"/>
    <w:rsid w:val="000F3DCD"/>
    <w:rsid w:val="000F4077"/>
    <w:rsid w:val="000F45AE"/>
    <w:rsid w:val="000F4761"/>
    <w:rsid w:val="000F4C76"/>
    <w:rsid w:val="000F51D4"/>
    <w:rsid w:val="000F5C79"/>
    <w:rsid w:val="000F5F16"/>
    <w:rsid w:val="000F634A"/>
    <w:rsid w:val="000F64F4"/>
    <w:rsid w:val="000F6B1E"/>
    <w:rsid w:val="000F76F2"/>
    <w:rsid w:val="000F7E1A"/>
    <w:rsid w:val="000F7E52"/>
    <w:rsid w:val="000F7E90"/>
    <w:rsid w:val="000F7F2A"/>
    <w:rsid w:val="00100508"/>
    <w:rsid w:val="00100AC0"/>
    <w:rsid w:val="00100BA0"/>
    <w:rsid w:val="00100BF8"/>
    <w:rsid w:val="001012FE"/>
    <w:rsid w:val="00101419"/>
    <w:rsid w:val="0010157B"/>
    <w:rsid w:val="00101928"/>
    <w:rsid w:val="00101C74"/>
    <w:rsid w:val="00101EDA"/>
    <w:rsid w:val="0010332F"/>
    <w:rsid w:val="001038E7"/>
    <w:rsid w:val="00103FA3"/>
    <w:rsid w:val="00104444"/>
    <w:rsid w:val="001045E6"/>
    <w:rsid w:val="0010484C"/>
    <w:rsid w:val="00104C66"/>
    <w:rsid w:val="00104D58"/>
    <w:rsid w:val="0010527B"/>
    <w:rsid w:val="001055C1"/>
    <w:rsid w:val="00106337"/>
    <w:rsid w:val="00106847"/>
    <w:rsid w:val="00106A46"/>
    <w:rsid w:val="001073AC"/>
    <w:rsid w:val="001073F3"/>
    <w:rsid w:val="00110870"/>
    <w:rsid w:val="00110ADF"/>
    <w:rsid w:val="00110D1F"/>
    <w:rsid w:val="00110F47"/>
    <w:rsid w:val="00111268"/>
    <w:rsid w:val="00111631"/>
    <w:rsid w:val="001119F4"/>
    <w:rsid w:val="00111DDC"/>
    <w:rsid w:val="001121CB"/>
    <w:rsid w:val="001122BB"/>
    <w:rsid w:val="00112C38"/>
    <w:rsid w:val="00113C36"/>
    <w:rsid w:val="00113CAF"/>
    <w:rsid w:val="0011474A"/>
    <w:rsid w:val="0011537B"/>
    <w:rsid w:val="0011552E"/>
    <w:rsid w:val="00115D10"/>
    <w:rsid w:val="00116DF2"/>
    <w:rsid w:val="00116FA6"/>
    <w:rsid w:val="00117BF7"/>
    <w:rsid w:val="00117DA7"/>
    <w:rsid w:val="001201F5"/>
    <w:rsid w:val="00120643"/>
    <w:rsid w:val="001209B6"/>
    <w:rsid w:val="001210BB"/>
    <w:rsid w:val="0012180F"/>
    <w:rsid w:val="00121E9F"/>
    <w:rsid w:val="001226BB"/>
    <w:rsid w:val="00122CE9"/>
    <w:rsid w:val="00122E21"/>
    <w:rsid w:val="00123C87"/>
    <w:rsid w:val="00123E05"/>
    <w:rsid w:val="00124628"/>
    <w:rsid w:val="001246BE"/>
    <w:rsid w:val="001247A7"/>
    <w:rsid w:val="001248CB"/>
    <w:rsid w:val="001258A0"/>
    <w:rsid w:val="00125E59"/>
    <w:rsid w:val="001260B5"/>
    <w:rsid w:val="00126280"/>
    <w:rsid w:val="00126432"/>
    <w:rsid w:val="00126636"/>
    <w:rsid w:val="00126784"/>
    <w:rsid w:val="0012679E"/>
    <w:rsid w:val="0012694A"/>
    <w:rsid w:val="0012736A"/>
    <w:rsid w:val="00127809"/>
    <w:rsid w:val="00127948"/>
    <w:rsid w:val="00127A67"/>
    <w:rsid w:val="00127B8F"/>
    <w:rsid w:val="00127BF8"/>
    <w:rsid w:val="00127DD5"/>
    <w:rsid w:val="00130DF1"/>
    <w:rsid w:val="001311D0"/>
    <w:rsid w:val="00131222"/>
    <w:rsid w:val="00131AE7"/>
    <w:rsid w:val="001321B4"/>
    <w:rsid w:val="00132D14"/>
    <w:rsid w:val="00133696"/>
    <w:rsid w:val="001339A3"/>
    <w:rsid w:val="001339AC"/>
    <w:rsid w:val="00134340"/>
    <w:rsid w:val="00135F77"/>
    <w:rsid w:val="00136A47"/>
    <w:rsid w:val="00136AC4"/>
    <w:rsid w:val="00136EBD"/>
    <w:rsid w:val="00136EFD"/>
    <w:rsid w:val="00136FB2"/>
    <w:rsid w:val="00137CA0"/>
    <w:rsid w:val="00137F9C"/>
    <w:rsid w:val="001411EE"/>
    <w:rsid w:val="001414A0"/>
    <w:rsid w:val="00141759"/>
    <w:rsid w:val="00142116"/>
    <w:rsid w:val="001421F0"/>
    <w:rsid w:val="0014220F"/>
    <w:rsid w:val="00142425"/>
    <w:rsid w:val="00142B43"/>
    <w:rsid w:val="001434B5"/>
    <w:rsid w:val="00143555"/>
    <w:rsid w:val="0014367C"/>
    <w:rsid w:val="00143790"/>
    <w:rsid w:val="00143A93"/>
    <w:rsid w:val="00143D75"/>
    <w:rsid w:val="00143DED"/>
    <w:rsid w:val="0014418B"/>
    <w:rsid w:val="00144256"/>
    <w:rsid w:val="001442EA"/>
    <w:rsid w:val="0014452B"/>
    <w:rsid w:val="00144858"/>
    <w:rsid w:val="00144D3C"/>
    <w:rsid w:val="001453B7"/>
    <w:rsid w:val="001455F0"/>
    <w:rsid w:val="00145E4D"/>
    <w:rsid w:val="0014674E"/>
    <w:rsid w:val="00146BEA"/>
    <w:rsid w:val="00146DF9"/>
    <w:rsid w:val="001470B7"/>
    <w:rsid w:val="00150000"/>
    <w:rsid w:val="0015028D"/>
    <w:rsid w:val="001502C4"/>
    <w:rsid w:val="00150683"/>
    <w:rsid w:val="00150B0C"/>
    <w:rsid w:val="00150E2C"/>
    <w:rsid w:val="00151B4C"/>
    <w:rsid w:val="00151E47"/>
    <w:rsid w:val="0015206D"/>
    <w:rsid w:val="00152407"/>
    <w:rsid w:val="00152987"/>
    <w:rsid w:val="00152C61"/>
    <w:rsid w:val="00153969"/>
    <w:rsid w:val="00154D18"/>
    <w:rsid w:val="001553C4"/>
    <w:rsid w:val="0015556A"/>
    <w:rsid w:val="001555CD"/>
    <w:rsid w:val="001557C9"/>
    <w:rsid w:val="0015590D"/>
    <w:rsid w:val="00155943"/>
    <w:rsid w:val="00155CA5"/>
    <w:rsid w:val="00155E66"/>
    <w:rsid w:val="00156292"/>
    <w:rsid w:val="001566DB"/>
    <w:rsid w:val="00156C84"/>
    <w:rsid w:val="00156FAC"/>
    <w:rsid w:val="0015722B"/>
    <w:rsid w:val="00157ED7"/>
    <w:rsid w:val="0016016E"/>
    <w:rsid w:val="0016047E"/>
    <w:rsid w:val="0016135A"/>
    <w:rsid w:val="00161692"/>
    <w:rsid w:val="001617F7"/>
    <w:rsid w:val="001619FE"/>
    <w:rsid w:val="00161F6B"/>
    <w:rsid w:val="001625AF"/>
    <w:rsid w:val="001627B4"/>
    <w:rsid w:val="00162CC4"/>
    <w:rsid w:val="00163578"/>
    <w:rsid w:val="00163C71"/>
    <w:rsid w:val="001643C0"/>
    <w:rsid w:val="00164F87"/>
    <w:rsid w:val="00164F96"/>
    <w:rsid w:val="001657F1"/>
    <w:rsid w:val="00165AFE"/>
    <w:rsid w:val="00165D80"/>
    <w:rsid w:val="00166F02"/>
    <w:rsid w:val="001676F5"/>
    <w:rsid w:val="00167F26"/>
    <w:rsid w:val="001701FE"/>
    <w:rsid w:val="00170429"/>
    <w:rsid w:val="0017057F"/>
    <w:rsid w:val="00170CAA"/>
    <w:rsid w:val="00171712"/>
    <w:rsid w:val="0017196A"/>
    <w:rsid w:val="00171B68"/>
    <w:rsid w:val="00171BBD"/>
    <w:rsid w:val="00171D48"/>
    <w:rsid w:val="00171F77"/>
    <w:rsid w:val="001720C1"/>
    <w:rsid w:val="001728C7"/>
    <w:rsid w:val="00173328"/>
    <w:rsid w:val="0017338E"/>
    <w:rsid w:val="0017348F"/>
    <w:rsid w:val="001738B9"/>
    <w:rsid w:val="001738EC"/>
    <w:rsid w:val="001744FB"/>
    <w:rsid w:val="001745A9"/>
    <w:rsid w:val="00174F98"/>
    <w:rsid w:val="00175D06"/>
    <w:rsid w:val="00175DBD"/>
    <w:rsid w:val="00176598"/>
    <w:rsid w:val="00176B47"/>
    <w:rsid w:val="001770A7"/>
    <w:rsid w:val="00177149"/>
    <w:rsid w:val="00177309"/>
    <w:rsid w:val="0017785E"/>
    <w:rsid w:val="00180268"/>
    <w:rsid w:val="001803D8"/>
    <w:rsid w:val="00180969"/>
    <w:rsid w:val="001812BD"/>
    <w:rsid w:val="00181806"/>
    <w:rsid w:val="001819EE"/>
    <w:rsid w:val="00181BF7"/>
    <w:rsid w:val="00181EB6"/>
    <w:rsid w:val="00182366"/>
    <w:rsid w:val="00183017"/>
    <w:rsid w:val="00183901"/>
    <w:rsid w:val="00183A9F"/>
    <w:rsid w:val="00183B3D"/>
    <w:rsid w:val="00183F76"/>
    <w:rsid w:val="00184060"/>
    <w:rsid w:val="001841D5"/>
    <w:rsid w:val="00184850"/>
    <w:rsid w:val="0018523D"/>
    <w:rsid w:val="00185489"/>
    <w:rsid w:val="00185662"/>
    <w:rsid w:val="00185AEC"/>
    <w:rsid w:val="001866EB"/>
    <w:rsid w:val="00186A70"/>
    <w:rsid w:val="00186E8A"/>
    <w:rsid w:val="00187565"/>
    <w:rsid w:val="0018762E"/>
    <w:rsid w:val="0019027D"/>
    <w:rsid w:val="00190526"/>
    <w:rsid w:val="00190B6B"/>
    <w:rsid w:val="00190DB6"/>
    <w:rsid w:val="00190F60"/>
    <w:rsid w:val="00191383"/>
    <w:rsid w:val="00191700"/>
    <w:rsid w:val="00191B28"/>
    <w:rsid w:val="00191FE7"/>
    <w:rsid w:val="0019216D"/>
    <w:rsid w:val="00192582"/>
    <w:rsid w:val="00192A1C"/>
    <w:rsid w:val="00192ADB"/>
    <w:rsid w:val="00192C1D"/>
    <w:rsid w:val="00193310"/>
    <w:rsid w:val="00193351"/>
    <w:rsid w:val="0019501D"/>
    <w:rsid w:val="00195617"/>
    <w:rsid w:val="00196630"/>
    <w:rsid w:val="00196758"/>
    <w:rsid w:val="00196BF8"/>
    <w:rsid w:val="00197E96"/>
    <w:rsid w:val="001A023D"/>
    <w:rsid w:val="001A07AE"/>
    <w:rsid w:val="001A09AD"/>
    <w:rsid w:val="001A0D94"/>
    <w:rsid w:val="001A0FCF"/>
    <w:rsid w:val="001A1209"/>
    <w:rsid w:val="001A1DC7"/>
    <w:rsid w:val="001A1FB9"/>
    <w:rsid w:val="001A2F66"/>
    <w:rsid w:val="001A3113"/>
    <w:rsid w:val="001A3AA2"/>
    <w:rsid w:val="001A3BD3"/>
    <w:rsid w:val="001A3D0A"/>
    <w:rsid w:val="001A4301"/>
    <w:rsid w:val="001A4CDA"/>
    <w:rsid w:val="001A50F1"/>
    <w:rsid w:val="001A533B"/>
    <w:rsid w:val="001A5E61"/>
    <w:rsid w:val="001A63EE"/>
    <w:rsid w:val="001A6963"/>
    <w:rsid w:val="001A6A2E"/>
    <w:rsid w:val="001A6FBF"/>
    <w:rsid w:val="001A70A1"/>
    <w:rsid w:val="001A7154"/>
    <w:rsid w:val="001A79BB"/>
    <w:rsid w:val="001B059F"/>
    <w:rsid w:val="001B068A"/>
    <w:rsid w:val="001B09DF"/>
    <w:rsid w:val="001B0DA5"/>
    <w:rsid w:val="001B19F2"/>
    <w:rsid w:val="001B1E96"/>
    <w:rsid w:val="001B1EF8"/>
    <w:rsid w:val="001B2143"/>
    <w:rsid w:val="001B2212"/>
    <w:rsid w:val="001B23DA"/>
    <w:rsid w:val="001B35AB"/>
    <w:rsid w:val="001B377A"/>
    <w:rsid w:val="001B38BA"/>
    <w:rsid w:val="001B4039"/>
    <w:rsid w:val="001B43F7"/>
    <w:rsid w:val="001B45EE"/>
    <w:rsid w:val="001B49AF"/>
    <w:rsid w:val="001B4EFA"/>
    <w:rsid w:val="001B52FB"/>
    <w:rsid w:val="001B542C"/>
    <w:rsid w:val="001B6373"/>
    <w:rsid w:val="001B6375"/>
    <w:rsid w:val="001B63CC"/>
    <w:rsid w:val="001B66FD"/>
    <w:rsid w:val="001B6867"/>
    <w:rsid w:val="001B6A0B"/>
    <w:rsid w:val="001B6A94"/>
    <w:rsid w:val="001B6EBF"/>
    <w:rsid w:val="001B7062"/>
    <w:rsid w:val="001B7065"/>
    <w:rsid w:val="001B7195"/>
    <w:rsid w:val="001B71F1"/>
    <w:rsid w:val="001B7AE6"/>
    <w:rsid w:val="001C0363"/>
    <w:rsid w:val="001C07C3"/>
    <w:rsid w:val="001C0A9B"/>
    <w:rsid w:val="001C11D0"/>
    <w:rsid w:val="001C1274"/>
    <w:rsid w:val="001C1CF6"/>
    <w:rsid w:val="001C201B"/>
    <w:rsid w:val="001C21C0"/>
    <w:rsid w:val="001C2D97"/>
    <w:rsid w:val="001C2E17"/>
    <w:rsid w:val="001C3473"/>
    <w:rsid w:val="001C36FC"/>
    <w:rsid w:val="001C376A"/>
    <w:rsid w:val="001C4A77"/>
    <w:rsid w:val="001C5AE5"/>
    <w:rsid w:val="001C62C2"/>
    <w:rsid w:val="001C66BF"/>
    <w:rsid w:val="001C6A00"/>
    <w:rsid w:val="001C6B86"/>
    <w:rsid w:val="001C6DD1"/>
    <w:rsid w:val="001C766B"/>
    <w:rsid w:val="001D03A0"/>
    <w:rsid w:val="001D04DA"/>
    <w:rsid w:val="001D082A"/>
    <w:rsid w:val="001D09FA"/>
    <w:rsid w:val="001D0EE4"/>
    <w:rsid w:val="001D1301"/>
    <w:rsid w:val="001D143B"/>
    <w:rsid w:val="001D1FE1"/>
    <w:rsid w:val="001D2630"/>
    <w:rsid w:val="001D28B1"/>
    <w:rsid w:val="001D2907"/>
    <w:rsid w:val="001D31BD"/>
    <w:rsid w:val="001D3945"/>
    <w:rsid w:val="001D3B69"/>
    <w:rsid w:val="001D3BC6"/>
    <w:rsid w:val="001D4005"/>
    <w:rsid w:val="001D40CE"/>
    <w:rsid w:val="001D41E6"/>
    <w:rsid w:val="001D490B"/>
    <w:rsid w:val="001D4B7E"/>
    <w:rsid w:val="001D4BD0"/>
    <w:rsid w:val="001D5596"/>
    <w:rsid w:val="001D5967"/>
    <w:rsid w:val="001D6115"/>
    <w:rsid w:val="001D620F"/>
    <w:rsid w:val="001D643B"/>
    <w:rsid w:val="001D669B"/>
    <w:rsid w:val="001D6773"/>
    <w:rsid w:val="001D68A5"/>
    <w:rsid w:val="001D6A72"/>
    <w:rsid w:val="001D6D9A"/>
    <w:rsid w:val="001D75E8"/>
    <w:rsid w:val="001D7B2A"/>
    <w:rsid w:val="001D7BBA"/>
    <w:rsid w:val="001E0B6E"/>
    <w:rsid w:val="001E193E"/>
    <w:rsid w:val="001E1A85"/>
    <w:rsid w:val="001E1BF7"/>
    <w:rsid w:val="001E1E74"/>
    <w:rsid w:val="001E29A3"/>
    <w:rsid w:val="001E2A1C"/>
    <w:rsid w:val="001E2E23"/>
    <w:rsid w:val="001E2EF5"/>
    <w:rsid w:val="001E39C6"/>
    <w:rsid w:val="001E3D16"/>
    <w:rsid w:val="001E4078"/>
    <w:rsid w:val="001E61C8"/>
    <w:rsid w:val="001E6507"/>
    <w:rsid w:val="001E6CD2"/>
    <w:rsid w:val="001E74E3"/>
    <w:rsid w:val="001E7920"/>
    <w:rsid w:val="001E79AA"/>
    <w:rsid w:val="001F01D0"/>
    <w:rsid w:val="001F0BF3"/>
    <w:rsid w:val="001F100E"/>
    <w:rsid w:val="001F1295"/>
    <w:rsid w:val="001F19E5"/>
    <w:rsid w:val="001F1A2D"/>
    <w:rsid w:val="001F1F04"/>
    <w:rsid w:val="001F1FCC"/>
    <w:rsid w:val="001F20B8"/>
    <w:rsid w:val="001F22B8"/>
    <w:rsid w:val="001F3051"/>
    <w:rsid w:val="001F307C"/>
    <w:rsid w:val="001F320F"/>
    <w:rsid w:val="001F3290"/>
    <w:rsid w:val="001F3D7D"/>
    <w:rsid w:val="001F43DD"/>
    <w:rsid w:val="001F4B16"/>
    <w:rsid w:val="001F4E04"/>
    <w:rsid w:val="001F50C3"/>
    <w:rsid w:val="001F541C"/>
    <w:rsid w:val="001F583A"/>
    <w:rsid w:val="001F6C34"/>
    <w:rsid w:val="001F717E"/>
    <w:rsid w:val="001F72CF"/>
    <w:rsid w:val="001F7892"/>
    <w:rsid w:val="001F78E4"/>
    <w:rsid w:val="001F7E7A"/>
    <w:rsid w:val="001F7EDC"/>
    <w:rsid w:val="00200044"/>
    <w:rsid w:val="0020023D"/>
    <w:rsid w:val="0020040F"/>
    <w:rsid w:val="002008E3"/>
    <w:rsid w:val="002009A8"/>
    <w:rsid w:val="002010BD"/>
    <w:rsid w:val="00202305"/>
    <w:rsid w:val="00202347"/>
    <w:rsid w:val="00202588"/>
    <w:rsid w:val="00202AB6"/>
    <w:rsid w:val="00202C43"/>
    <w:rsid w:val="00202E0E"/>
    <w:rsid w:val="002034FF"/>
    <w:rsid w:val="00203A49"/>
    <w:rsid w:val="00203AE6"/>
    <w:rsid w:val="00203B92"/>
    <w:rsid w:val="00204080"/>
    <w:rsid w:val="00204DE1"/>
    <w:rsid w:val="00204E49"/>
    <w:rsid w:val="002052F5"/>
    <w:rsid w:val="002057C0"/>
    <w:rsid w:val="00206157"/>
    <w:rsid w:val="002069B4"/>
    <w:rsid w:val="00206B35"/>
    <w:rsid w:val="00206EAE"/>
    <w:rsid w:val="00207598"/>
    <w:rsid w:val="00207A29"/>
    <w:rsid w:val="00207B21"/>
    <w:rsid w:val="002100CD"/>
    <w:rsid w:val="00210102"/>
    <w:rsid w:val="0021028E"/>
    <w:rsid w:val="00210760"/>
    <w:rsid w:val="00210E48"/>
    <w:rsid w:val="0021124D"/>
    <w:rsid w:val="00211CA4"/>
    <w:rsid w:val="00212236"/>
    <w:rsid w:val="0021248B"/>
    <w:rsid w:val="00212537"/>
    <w:rsid w:val="002128C3"/>
    <w:rsid w:val="00212A6A"/>
    <w:rsid w:val="002131C0"/>
    <w:rsid w:val="00213376"/>
    <w:rsid w:val="00213605"/>
    <w:rsid w:val="0021371B"/>
    <w:rsid w:val="0021379A"/>
    <w:rsid w:val="00213FCA"/>
    <w:rsid w:val="002140CC"/>
    <w:rsid w:val="00214887"/>
    <w:rsid w:val="00214B30"/>
    <w:rsid w:val="00214BB1"/>
    <w:rsid w:val="0021581E"/>
    <w:rsid w:val="002158EE"/>
    <w:rsid w:val="00215BFE"/>
    <w:rsid w:val="00215D2C"/>
    <w:rsid w:val="002167FE"/>
    <w:rsid w:val="00216AE0"/>
    <w:rsid w:val="00216F4A"/>
    <w:rsid w:val="0021761F"/>
    <w:rsid w:val="00217E23"/>
    <w:rsid w:val="002202E7"/>
    <w:rsid w:val="00220346"/>
    <w:rsid w:val="002205E8"/>
    <w:rsid w:val="00220C89"/>
    <w:rsid w:val="00220D98"/>
    <w:rsid w:val="0022109B"/>
    <w:rsid w:val="00221E17"/>
    <w:rsid w:val="00222041"/>
    <w:rsid w:val="002227FD"/>
    <w:rsid w:val="0022294C"/>
    <w:rsid w:val="002231AB"/>
    <w:rsid w:val="002231D3"/>
    <w:rsid w:val="00223D1D"/>
    <w:rsid w:val="002240BB"/>
    <w:rsid w:val="002241A5"/>
    <w:rsid w:val="00224419"/>
    <w:rsid w:val="0022473C"/>
    <w:rsid w:val="00224E22"/>
    <w:rsid w:val="00224ED1"/>
    <w:rsid w:val="0022524C"/>
    <w:rsid w:val="002252F6"/>
    <w:rsid w:val="00225723"/>
    <w:rsid w:val="00225B3E"/>
    <w:rsid w:val="00226137"/>
    <w:rsid w:val="0022619F"/>
    <w:rsid w:val="00227856"/>
    <w:rsid w:val="00230177"/>
    <w:rsid w:val="00230425"/>
    <w:rsid w:val="00230633"/>
    <w:rsid w:val="002308AC"/>
    <w:rsid w:val="002309CA"/>
    <w:rsid w:val="002315CD"/>
    <w:rsid w:val="00231DA6"/>
    <w:rsid w:val="00232084"/>
    <w:rsid w:val="002327E2"/>
    <w:rsid w:val="00232BAD"/>
    <w:rsid w:val="00233AD7"/>
    <w:rsid w:val="0023408E"/>
    <w:rsid w:val="00234236"/>
    <w:rsid w:val="0023444F"/>
    <w:rsid w:val="00234D44"/>
    <w:rsid w:val="00234D6F"/>
    <w:rsid w:val="002355CA"/>
    <w:rsid w:val="00236CCF"/>
    <w:rsid w:val="00236D6D"/>
    <w:rsid w:val="0023706A"/>
    <w:rsid w:val="002374A3"/>
    <w:rsid w:val="0023799F"/>
    <w:rsid w:val="00237BED"/>
    <w:rsid w:val="00237CCB"/>
    <w:rsid w:val="00237EEB"/>
    <w:rsid w:val="0024030D"/>
    <w:rsid w:val="0024091D"/>
    <w:rsid w:val="00240D41"/>
    <w:rsid w:val="00240FB9"/>
    <w:rsid w:val="00241182"/>
    <w:rsid w:val="0024140C"/>
    <w:rsid w:val="002414FF"/>
    <w:rsid w:val="002415A3"/>
    <w:rsid w:val="002418E3"/>
    <w:rsid w:val="00241C44"/>
    <w:rsid w:val="00241D30"/>
    <w:rsid w:val="00241F73"/>
    <w:rsid w:val="00242106"/>
    <w:rsid w:val="002426E3"/>
    <w:rsid w:val="00242B43"/>
    <w:rsid w:val="00243099"/>
    <w:rsid w:val="0024313A"/>
    <w:rsid w:val="00243416"/>
    <w:rsid w:val="002435D2"/>
    <w:rsid w:val="00243D72"/>
    <w:rsid w:val="00243EDE"/>
    <w:rsid w:val="00244C09"/>
    <w:rsid w:val="00245482"/>
    <w:rsid w:val="00245B1E"/>
    <w:rsid w:val="00246018"/>
    <w:rsid w:val="002466BC"/>
    <w:rsid w:val="002466C3"/>
    <w:rsid w:val="00246810"/>
    <w:rsid w:val="00246C95"/>
    <w:rsid w:val="00246D13"/>
    <w:rsid w:val="00246F33"/>
    <w:rsid w:val="002472B4"/>
    <w:rsid w:val="0024731A"/>
    <w:rsid w:val="00247397"/>
    <w:rsid w:val="00247ED2"/>
    <w:rsid w:val="00250693"/>
    <w:rsid w:val="002511E0"/>
    <w:rsid w:val="0025301C"/>
    <w:rsid w:val="0025384D"/>
    <w:rsid w:val="002543F6"/>
    <w:rsid w:val="00254738"/>
    <w:rsid w:val="00255ABA"/>
    <w:rsid w:val="00256860"/>
    <w:rsid w:val="002568DC"/>
    <w:rsid w:val="00257712"/>
    <w:rsid w:val="00257D58"/>
    <w:rsid w:val="00260058"/>
    <w:rsid w:val="00260239"/>
    <w:rsid w:val="00260856"/>
    <w:rsid w:val="00260FC4"/>
    <w:rsid w:val="00261096"/>
    <w:rsid w:val="00261300"/>
    <w:rsid w:val="00261A2D"/>
    <w:rsid w:val="00261AE9"/>
    <w:rsid w:val="00261C1A"/>
    <w:rsid w:val="00261CF5"/>
    <w:rsid w:val="0026289E"/>
    <w:rsid w:val="002629A5"/>
    <w:rsid w:val="00262BA4"/>
    <w:rsid w:val="0026305F"/>
    <w:rsid w:val="00263309"/>
    <w:rsid w:val="0026391B"/>
    <w:rsid w:val="00263A30"/>
    <w:rsid w:val="0026403F"/>
    <w:rsid w:val="00264113"/>
    <w:rsid w:val="00264801"/>
    <w:rsid w:val="00264BB4"/>
    <w:rsid w:val="002656D1"/>
    <w:rsid w:val="00265A57"/>
    <w:rsid w:val="00266956"/>
    <w:rsid w:val="00266F0B"/>
    <w:rsid w:val="002671A4"/>
    <w:rsid w:val="00267563"/>
    <w:rsid w:val="00267D17"/>
    <w:rsid w:val="00270313"/>
    <w:rsid w:val="00271468"/>
    <w:rsid w:val="0027157B"/>
    <w:rsid w:val="00271FEF"/>
    <w:rsid w:val="002721C7"/>
    <w:rsid w:val="0027237F"/>
    <w:rsid w:val="002725DC"/>
    <w:rsid w:val="00273453"/>
    <w:rsid w:val="00273583"/>
    <w:rsid w:val="00273F4C"/>
    <w:rsid w:val="0027429C"/>
    <w:rsid w:val="0027434A"/>
    <w:rsid w:val="002744C3"/>
    <w:rsid w:val="00274BC5"/>
    <w:rsid w:val="002757A2"/>
    <w:rsid w:val="00275BA2"/>
    <w:rsid w:val="00275BFC"/>
    <w:rsid w:val="00275C97"/>
    <w:rsid w:val="0027607F"/>
    <w:rsid w:val="0027648A"/>
    <w:rsid w:val="00276D94"/>
    <w:rsid w:val="00276F3A"/>
    <w:rsid w:val="00277072"/>
    <w:rsid w:val="00277774"/>
    <w:rsid w:val="00277A11"/>
    <w:rsid w:val="00277C28"/>
    <w:rsid w:val="00280499"/>
    <w:rsid w:val="00280B3C"/>
    <w:rsid w:val="00280D05"/>
    <w:rsid w:val="00280D48"/>
    <w:rsid w:val="00280DC4"/>
    <w:rsid w:val="00280E7D"/>
    <w:rsid w:val="00280F17"/>
    <w:rsid w:val="00281438"/>
    <w:rsid w:val="00282760"/>
    <w:rsid w:val="00283208"/>
    <w:rsid w:val="0028366A"/>
    <w:rsid w:val="002837DD"/>
    <w:rsid w:val="00284A4D"/>
    <w:rsid w:val="00284CBA"/>
    <w:rsid w:val="00284D74"/>
    <w:rsid w:val="00285DBC"/>
    <w:rsid w:val="002864A3"/>
    <w:rsid w:val="00286E25"/>
    <w:rsid w:val="002871C6"/>
    <w:rsid w:val="0028736E"/>
    <w:rsid w:val="00287535"/>
    <w:rsid w:val="00287661"/>
    <w:rsid w:val="00287B53"/>
    <w:rsid w:val="00287B7E"/>
    <w:rsid w:val="00290177"/>
    <w:rsid w:val="0029026B"/>
    <w:rsid w:val="00290A72"/>
    <w:rsid w:val="00290AFA"/>
    <w:rsid w:val="00290C4B"/>
    <w:rsid w:val="00290E0F"/>
    <w:rsid w:val="00290E35"/>
    <w:rsid w:val="00290FA9"/>
    <w:rsid w:val="0029133E"/>
    <w:rsid w:val="0029149D"/>
    <w:rsid w:val="002914B0"/>
    <w:rsid w:val="00291650"/>
    <w:rsid w:val="0029171D"/>
    <w:rsid w:val="0029189A"/>
    <w:rsid w:val="00291C61"/>
    <w:rsid w:val="00291E6A"/>
    <w:rsid w:val="00291FF6"/>
    <w:rsid w:val="00292136"/>
    <w:rsid w:val="00292CD6"/>
    <w:rsid w:val="00292CD8"/>
    <w:rsid w:val="00292E46"/>
    <w:rsid w:val="00292E7D"/>
    <w:rsid w:val="002934A2"/>
    <w:rsid w:val="00293603"/>
    <w:rsid w:val="00293F16"/>
    <w:rsid w:val="0029405F"/>
    <w:rsid w:val="00294695"/>
    <w:rsid w:val="00294926"/>
    <w:rsid w:val="00295468"/>
    <w:rsid w:val="0029553D"/>
    <w:rsid w:val="00295656"/>
    <w:rsid w:val="002957C0"/>
    <w:rsid w:val="00295AE2"/>
    <w:rsid w:val="00295E64"/>
    <w:rsid w:val="00296168"/>
    <w:rsid w:val="00297581"/>
    <w:rsid w:val="002975A6"/>
    <w:rsid w:val="002976CE"/>
    <w:rsid w:val="00297DD9"/>
    <w:rsid w:val="00297F6B"/>
    <w:rsid w:val="002A02C9"/>
    <w:rsid w:val="002A040D"/>
    <w:rsid w:val="002A0786"/>
    <w:rsid w:val="002A0D75"/>
    <w:rsid w:val="002A0DB5"/>
    <w:rsid w:val="002A0E9F"/>
    <w:rsid w:val="002A1144"/>
    <w:rsid w:val="002A116F"/>
    <w:rsid w:val="002A11D1"/>
    <w:rsid w:val="002A131E"/>
    <w:rsid w:val="002A1931"/>
    <w:rsid w:val="002A2117"/>
    <w:rsid w:val="002A2231"/>
    <w:rsid w:val="002A2683"/>
    <w:rsid w:val="002A3249"/>
    <w:rsid w:val="002A32DB"/>
    <w:rsid w:val="002A34A8"/>
    <w:rsid w:val="002A35BB"/>
    <w:rsid w:val="002A35E4"/>
    <w:rsid w:val="002A3851"/>
    <w:rsid w:val="002A3FA0"/>
    <w:rsid w:val="002A424E"/>
    <w:rsid w:val="002A4F7A"/>
    <w:rsid w:val="002A559C"/>
    <w:rsid w:val="002A55F7"/>
    <w:rsid w:val="002A5971"/>
    <w:rsid w:val="002A5A70"/>
    <w:rsid w:val="002A5B70"/>
    <w:rsid w:val="002A61F6"/>
    <w:rsid w:val="002A6351"/>
    <w:rsid w:val="002A6648"/>
    <w:rsid w:val="002A6AF8"/>
    <w:rsid w:val="002A6B8E"/>
    <w:rsid w:val="002A75AE"/>
    <w:rsid w:val="002A78F2"/>
    <w:rsid w:val="002A7BE4"/>
    <w:rsid w:val="002A7DE4"/>
    <w:rsid w:val="002B112E"/>
    <w:rsid w:val="002B1B3E"/>
    <w:rsid w:val="002B23BF"/>
    <w:rsid w:val="002B2D83"/>
    <w:rsid w:val="002B2F14"/>
    <w:rsid w:val="002B3F8A"/>
    <w:rsid w:val="002B4091"/>
    <w:rsid w:val="002B43CE"/>
    <w:rsid w:val="002B46A0"/>
    <w:rsid w:val="002B5284"/>
    <w:rsid w:val="002B5E34"/>
    <w:rsid w:val="002B691A"/>
    <w:rsid w:val="002B6CFE"/>
    <w:rsid w:val="002B7004"/>
    <w:rsid w:val="002B7090"/>
    <w:rsid w:val="002B7393"/>
    <w:rsid w:val="002B7676"/>
    <w:rsid w:val="002B7694"/>
    <w:rsid w:val="002B781F"/>
    <w:rsid w:val="002B7A7D"/>
    <w:rsid w:val="002B7F5A"/>
    <w:rsid w:val="002C108D"/>
    <w:rsid w:val="002C1336"/>
    <w:rsid w:val="002C3CE0"/>
    <w:rsid w:val="002C3D17"/>
    <w:rsid w:val="002C3DBB"/>
    <w:rsid w:val="002C41FE"/>
    <w:rsid w:val="002C42B1"/>
    <w:rsid w:val="002C468E"/>
    <w:rsid w:val="002C4B0A"/>
    <w:rsid w:val="002C5418"/>
    <w:rsid w:val="002C5EFE"/>
    <w:rsid w:val="002C61D3"/>
    <w:rsid w:val="002C6264"/>
    <w:rsid w:val="002C64E5"/>
    <w:rsid w:val="002C6CA5"/>
    <w:rsid w:val="002C6D09"/>
    <w:rsid w:val="002C7057"/>
    <w:rsid w:val="002C725A"/>
    <w:rsid w:val="002C732B"/>
    <w:rsid w:val="002C78A5"/>
    <w:rsid w:val="002C79AE"/>
    <w:rsid w:val="002C7BE9"/>
    <w:rsid w:val="002C7C70"/>
    <w:rsid w:val="002D095F"/>
    <w:rsid w:val="002D098C"/>
    <w:rsid w:val="002D09AC"/>
    <w:rsid w:val="002D0D69"/>
    <w:rsid w:val="002D282E"/>
    <w:rsid w:val="002D348A"/>
    <w:rsid w:val="002D373E"/>
    <w:rsid w:val="002D3845"/>
    <w:rsid w:val="002D43D2"/>
    <w:rsid w:val="002D4AF3"/>
    <w:rsid w:val="002D4DAE"/>
    <w:rsid w:val="002D5363"/>
    <w:rsid w:val="002D576A"/>
    <w:rsid w:val="002D57AD"/>
    <w:rsid w:val="002D6C9E"/>
    <w:rsid w:val="002D6EB1"/>
    <w:rsid w:val="002D717F"/>
    <w:rsid w:val="002D7672"/>
    <w:rsid w:val="002D7B99"/>
    <w:rsid w:val="002E03BE"/>
    <w:rsid w:val="002E09F8"/>
    <w:rsid w:val="002E0D15"/>
    <w:rsid w:val="002E11A9"/>
    <w:rsid w:val="002E12C2"/>
    <w:rsid w:val="002E13E4"/>
    <w:rsid w:val="002E19BA"/>
    <w:rsid w:val="002E1A99"/>
    <w:rsid w:val="002E203B"/>
    <w:rsid w:val="002E20D3"/>
    <w:rsid w:val="002E25C7"/>
    <w:rsid w:val="002E26E4"/>
    <w:rsid w:val="002E2B81"/>
    <w:rsid w:val="002E33B6"/>
    <w:rsid w:val="002E383B"/>
    <w:rsid w:val="002E3E89"/>
    <w:rsid w:val="002E4BC0"/>
    <w:rsid w:val="002E5206"/>
    <w:rsid w:val="002E5280"/>
    <w:rsid w:val="002E550A"/>
    <w:rsid w:val="002E5E5E"/>
    <w:rsid w:val="002E6238"/>
    <w:rsid w:val="002E673B"/>
    <w:rsid w:val="002E69A8"/>
    <w:rsid w:val="002E736B"/>
    <w:rsid w:val="002E79E3"/>
    <w:rsid w:val="002E7D26"/>
    <w:rsid w:val="002F01A7"/>
    <w:rsid w:val="002F0695"/>
    <w:rsid w:val="002F0768"/>
    <w:rsid w:val="002F093D"/>
    <w:rsid w:val="002F0C37"/>
    <w:rsid w:val="002F1F83"/>
    <w:rsid w:val="002F1FE4"/>
    <w:rsid w:val="002F252A"/>
    <w:rsid w:val="002F259D"/>
    <w:rsid w:val="002F2B43"/>
    <w:rsid w:val="002F2C49"/>
    <w:rsid w:val="002F2D83"/>
    <w:rsid w:val="002F2DB9"/>
    <w:rsid w:val="002F3032"/>
    <w:rsid w:val="002F3336"/>
    <w:rsid w:val="002F3344"/>
    <w:rsid w:val="002F3752"/>
    <w:rsid w:val="002F4ECD"/>
    <w:rsid w:val="002F4FB4"/>
    <w:rsid w:val="002F5025"/>
    <w:rsid w:val="002F5370"/>
    <w:rsid w:val="002F555B"/>
    <w:rsid w:val="002F5C93"/>
    <w:rsid w:val="002F6273"/>
    <w:rsid w:val="002F690D"/>
    <w:rsid w:val="002F72B0"/>
    <w:rsid w:val="003004B8"/>
    <w:rsid w:val="0030055F"/>
    <w:rsid w:val="00300565"/>
    <w:rsid w:val="00300A8F"/>
    <w:rsid w:val="00300FD1"/>
    <w:rsid w:val="003012BB"/>
    <w:rsid w:val="003012D5"/>
    <w:rsid w:val="003013D7"/>
    <w:rsid w:val="00301683"/>
    <w:rsid w:val="003019BE"/>
    <w:rsid w:val="00301B0D"/>
    <w:rsid w:val="00301B72"/>
    <w:rsid w:val="003026F2"/>
    <w:rsid w:val="0030294A"/>
    <w:rsid w:val="00302B78"/>
    <w:rsid w:val="003038AA"/>
    <w:rsid w:val="00303905"/>
    <w:rsid w:val="00303CC7"/>
    <w:rsid w:val="00303EE3"/>
    <w:rsid w:val="003040EF"/>
    <w:rsid w:val="0030481C"/>
    <w:rsid w:val="00304AE9"/>
    <w:rsid w:val="00304E32"/>
    <w:rsid w:val="00304F5B"/>
    <w:rsid w:val="00305433"/>
    <w:rsid w:val="00305C20"/>
    <w:rsid w:val="00306B81"/>
    <w:rsid w:val="00306DB4"/>
    <w:rsid w:val="00306EAB"/>
    <w:rsid w:val="003070BE"/>
    <w:rsid w:val="00307102"/>
    <w:rsid w:val="003072FF"/>
    <w:rsid w:val="00307C5F"/>
    <w:rsid w:val="003109AA"/>
    <w:rsid w:val="003112F2"/>
    <w:rsid w:val="00311403"/>
    <w:rsid w:val="003116BE"/>
    <w:rsid w:val="003117C0"/>
    <w:rsid w:val="003118BB"/>
    <w:rsid w:val="003119DA"/>
    <w:rsid w:val="0031269A"/>
    <w:rsid w:val="00312E09"/>
    <w:rsid w:val="00312F27"/>
    <w:rsid w:val="0031300F"/>
    <w:rsid w:val="0031337D"/>
    <w:rsid w:val="0031393B"/>
    <w:rsid w:val="003141F2"/>
    <w:rsid w:val="003143D4"/>
    <w:rsid w:val="003149B6"/>
    <w:rsid w:val="00314AF1"/>
    <w:rsid w:val="003152BB"/>
    <w:rsid w:val="00315E73"/>
    <w:rsid w:val="00316546"/>
    <w:rsid w:val="00316EBD"/>
    <w:rsid w:val="0031718E"/>
    <w:rsid w:val="003171CB"/>
    <w:rsid w:val="00317314"/>
    <w:rsid w:val="003208C1"/>
    <w:rsid w:val="003209AB"/>
    <w:rsid w:val="00320E20"/>
    <w:rsid w:val="00320EE2"/>
    <w:rsid w:val="00320F70"/>
    <w:rsid w:val="00321525"/>
    <w:rsid w:val="00322417"/>
    <w:rsid w:val="003225F5"/>
    <w:rsid w:val="00322F93"/>
    <w:rsid w:val="0032322C"/>
    <w:rsid w:val="003248E4"/>
    <w:rsid w:val="00324BA8"/>
    <w:rsid w:val="00324CEC"/>
    <w:rsid w:val="0032505B"/>
    <w:rsid w:val="00325209"/>
    <w:rsid w:val="003252A9"/>
    <w:rsid w:val="003256C0"/>
    <w:rsid w:val="00325A3E"/>
    <w:rsid w:val="00325DE8"/>
    <w:rsid w:val="0032616D"/>
    <w:rsid w:val="00326822"/>
    <w:rsid w:val="00327A53"/>
    <w:rsid w:val="0033087F"/>
    <w:rsid w:val="00330A5B"/>
    <w:rsid w:val="00330EC5"/>
    <w:rsid w:val="003313D3"/>
    <w:rsid w:val="003315C0"/>
    <w:rsid w:val="0033170E"/>
    <w:rsid w:val="00331807"/>
    <w:rsid w:val="00331E1D"/>
    <w:rsid w:val="00332035"/>
    <w:rsid w:val="00332515"/>
    <w:rsid w:val="00332A24"/>
    <w:rsid w:val="00332E53"/>
    <w:rsid w:val="00333691"/>
    <w:rsid w:val="003340D0"/>
    <w:rsid w:val="00334175"/>
    <w:rsid w:val="00334605"/>
    <w:rsid w:val="00334624"/>
    <w:rsid w:val="003356C6"/>
    <w:rsid w:val="003356CB"/>
    <w:rsid w:val="003358A4"/>
    <w:rsid w:val="00335F49"/>
    <w:rsid w:val="003361D8"/>
    <w:rsid w:val="0033637F"/>
    <w:rsid w:val="003364A2"/>
    <w:rsid w:val="003369D4"/>
    <w:rsid w:val="00337715"/>
    <w:rsid w:val="00337865"/>
    <w:rsid w:val="00337C25"/>
    <w:rsid w:val="003402BD"/>
    <w:rsid w:val="00340E71"/>
    <w:rsid w:val="0034132A"/>
    <w:rsid w:val="00341DAB"/>
    <w:rsid w:val="00341EA7"/>
    <w:rsid w:val="00342604"/>
    <w:rsid w:val="0034297C"/>
    <w:rsid w:val="003429AE"/>
    <w:rsid w:val="00343DB5"/>
    <w:rsid w:val="0034486B"/>
    <w:rsid w:val="00344D99"/>
    <w:rsid w:val="003452F8"/>
    <w:rsid w:val="0034568A"/>
    <w:rsid w:val="00345B12"/>
    <w:rsid w:val="00345C45"/>
    <w:rsid w:val="00345D56"/>
    <w:rsid w:val="003465F4"/>
    <w:rsid w:val="00346B7F"/>
    <w:rsid w:val="0034715B"/>
    <w:rsid w:val="00347B39"/>
    <w:rsid w:val="00347B75"/>
    <w:rsid w:val="00350394"/>
    <w:rsid w:val="00350BFE"/>
    <w:rsid w:val="00351080"/>
    <w:rsid w:val="00351A1A"/>
    <w:rsid w:val="00351C87"/>
    <w:rsid w:val="00351FBB"/>
    <w:rsid w:val="0035228F"/>
    <w:rsid w:val="0035236E"/>
    <w:rsid w:val="00352B00"/>
    <w:rsid w:val="00352CBE"/>
    <w:rsid w:val="00354D1A"/>
    <w:rsid w:val="00354D4A"/>
    <w:rsid w:val="00355342"/>
    <w:rsid w:val="00355444"/>
    <w:rsid w:val="0035584F"/>
    <w:rsid w:val="003566DF"/>
    <w:rsid w:val="003567EA"/>
    <w:rsid w:val="00357313"/>
    <w:rsid w:val="003576FB"/>
    <w:rsid w:val="00357CC5"/>
    <w:rsid w:val="00357CF1"/>
    <w:rsid w:val="00360398"/>
    <w:rsid w:val="003603D1"/>
    <w:rsid w:val="00360B4C"/>
    <w:rsid w:val="00360D63"/>
    <w:rsid w:val="00360F43"/>
    <w:rsid w:val="00361241"/>
    <w:rsid w:val="00361299"/>
    <w:rsid w:val="003614E4"/>
    <w:rsid w:val="003618EA"/>
    <w:rsid w:val="00361EF6"/>
    <w:rsid w:val="00362271"/>
    <w:rsid w:val="00362F95"/>
    <w:rsid w:val="003632F1"/>
    <w:rsid w:val="00363AFA"/>
    <w:rsid w:val="00363BF0"/>
    <w:rsid w:val="003640AB"/>
    <w:rsid w:val="00364560"/>
    <w:rsid w:val="0036565F"/>
    <w:rsid w:val="003667C3"/>
    <w:rsid w:val="0036714B"/>
    <w:rsid w:val="00367223"/>
    <w:rsid w:val="00367346"/>
    <w:rsid w:val="00367858"/>
    <w:rsid w:val="0036799D"/>
    <w:rsid w:val="00367A9A"/>
    <w:rsid w:val="00367BF7"/>
    <w:rsid w:val="00367C0D"/>
    <w:rsid w:val="00370FAA"/>
    <w:rsid w:val="00371586"/>
    <w:rsid w:val="00371A47"/>
    <w:rsid w:val="00372813"/>
    <w:rsid w:val="003729D0"/>
    <w:rsid w:val="00372DAB"/>
    <w:rsid w:val="00372DD1"/>
    <w:rsid w:val="00373189"/>
    <w:rsid w:val="0037320D"/>
    <w:rsid w:val="003732EC"/>
    <w:rsid w:val="00373549"/>
    <w:rsid w:val="00373564"/>
    <w:rsid w:val="00373C2C"/>
    <w:rsid w:val="0037414C"/>
    <w:rsid w:val="00374830"/>
    <w:rsid w:val="00374AD1"/>
    <w:rsid w:val="00374B21"/>
    <w:rsid w:val="003756C6"/>
    <w:rsid w:val="00376331"/>
    <w:rsid w:val="003764BC"/>
    <w:rsid w:val="003765C2"/>
    <w:rsid w:val="00376C2C"/>
    <w:rsid w:val="00376D70"/>
    <w:rsid w:val="00376D9C"/>
    <w:rsid w:val="003776CD"/>
    <w:rsid w:val="003778E5"/>
    <w:rsid w:val="00377D2F"/>
    <w:rsid w:val="00377D97"/>
    <w:rsid w:val="003804CB"/>
    <w:rsid w:val="00380BF4"/>
    <w:rsid w:val="00380F7C"/>
    <w:rsid w:val="00381661"/>
    <w:rsid w:val="00381A92"/>
    <w:rsid w:val="00381B05"/>
    <w:rsid w:val="00381B1C"/>
    <w:rsid w:val="00382000"/>
    <w:rsid w:val="00382D6C"/>
    <w:rsid w:val="00382F6A"/>
    <w:rsid w:val="00383F0A"/>
    <w:rsid w:val="0038487F"/>
    <w:rsid w:val="003850AB"/>
    <w:rsid w:val="003854F1"/>
    <w:rsid w:val="0038574E"/>
    <w:rsid w:val="003857B8"/>
    <w:rsid w:val="00385FCB"/>
    <w:rsid w:val="00386058"/>
    <w:rsid w:val="00386918"/>
    <w:rsid w:val="00386992"/>
    <w:rsid w:val="00386D79"/>
    <w:rsid w:val="00386DE9"/>
    <w:rsid w:val="003874EC"/>
    <w:rsid w:val="00387645"/>
    <w:rsid w:val="00387704"/>
    <w:rsid w:val="00387AEF"/>
    <w:rsid w:val="00387DE0"/>
    <w:rsid w:val="003906FD"/>
    <w:rsid w:val="0039097C"/>
    <w:rsid w:val="00390AA6"/>
    <w:rsid w:val="00390F19"/>
    <w:rsid w:val="00391509"/>
    <w:rsid w:val="003924F9"/>
    <w:rsid w:val="003938CD"/>
    <w:rsid w:val="003939B4"/>
    <w:rsid w:val="0039554C"/>
    <w:rsid w:val="00395E13"/>
    <w:rsid w:val="00396183"/>
    <w:rsid w:val="003964D9"/>
    <w:rsid w:val="00396842"/>
    <w:rsid w:val="00396A16"/>
    <w:rsid w:val="00396B8C"/>
    <w:rsid w:val="00396E2B"/>
    <w:rsid w:val="0039714B"/>
    <w:rsid w:val="003978E6"/>
    <w:rsid w:val="00397A3A"/>
    <w:rsid w:val="00397A65"/>
    <w:rsid w:val="003A0569"/>
    <w:rsid w:val="003A0B1E"/>
    <w:rsid w:val="003A0FDE"/>
    <w:rsid w:val="003A169C"/>
    <w:rsid w:val="003A20AA"/>
    <w:rsid w:val="003A2349"/>
    <w:rsid w:val="003A269E"/>
    <w:rsid w:val="003A277A"/>
    <w:rsid w:val="003A2793"/>
    <w:rsid w:val="003A2942"/>
    <w:rsid w:val="003A29F1"/>
    <w:rsid w:val="003A30EF"/>
    <w:rsid w:val="003A33C7"/>
    <w:rsid w:val="003A3511"/>
    <w:rsid w:val="003A365E"/>
    <w:rsid w:val="003A39E4"/>
    <w:rsid w:val="003A3CA1"/>
    <w:rsid w:val="003A3E96"/>
    <w:rsid w:val="003A4BCE"/>
    <w:rsid w:val="003A4E3C"/>
    <w:rsid w:val="003A4E51"/>
    <w:rsid w:val="003A4FB6"/>
    <w:rsid w:val="003A5A04"/>
    <w:rsid w:val="003A6082"/>
    <w:rsid w:val="003A64A5"/>
    <w:rsid w:val="003A6683"/>
    <w:rsid w:val="003A6B20"/>
    <w:rsid w:val="003A7256"/>
    <w:rsid w:val="003A72AB"/>
    <w:rsid w:val="003A7652"/>
    <w:rsid w:val="003A7A19"/>
    <w:rsid w:val="003A7C90"/>
    <w:rsid w:val="003A7FC9"/>
    <w:rsid w:val="003B039C"/>
    <w:rsid w:val="003B09D8"/>
    <w:rsid w:val="003B10EC"/>
    <w:rsid w:val="003B136D"/>
    <w:rsid w:val="003B158E"/>
    <w:rsid w:val="003B2BD1"/>
    <w:rsid w:val="003B2C48"/>
    <w:rsid w:val="003B300B"/>
    <w:rsid w:val="003B3178"/>
    <w:rsid w:val="003B3D1E"/>
    <w:rsid w:val="003B3D3C"/>
    <w:rsid w:val="003B3D46"/>
    <w:rsid w:val="003B3E42"/>
    <w:rsid w:val="003B4299"/>
    <w:rsid w:val="003B4455"/>
    <w:rsid w:val="003B4824"/>
    <w:rsid w:val="003B4864"/>
    <w:rsid w:val="003B4C7F"/>
    <w:rsid w:val="003B5AAC"/>
    <w:rsid w:val="003B5AFD"/>
    <w:rsid w:val="003B5BC6"/>
    <w:rsid w:val="003B6122"/>
    <w:rsid w:val="003B656D"/>
    <w:rsid w:val="003B68AA"/>
    <w:rsid w:val="003B68DB"/>
    <w:rsid w:val="003B75E7"/>
    <w:rsid w:val="003B7713"/>
    <w:rsid w:val="003B7955"/>
    <w:rsid w:val="003B7D76"/>
    <w:rsid w:val="003B7FB0"/>
    <w:rsid w:val="003C054A"/>
    <w:rsid w:val="003C0752"/>
    <w:rsid w:val="003C11C9"/>
    <w:rsid w:val="003C13F1"/>
    <w:rsid w:val="003C1BD6"/>
    <w:rsid w:val="003C2820"/>
    <w:rsid w:val="003C29CD"/>
    <w:rsid w:val="003C2FC3"/>
    <w:rsid w:val="003C3855"/>
    <w:rsid w:val="003C4393"/>
    <w:rsid w:val="003C44A8"/>
    <w:rsid w:val="003C470D"/>
    <w:rsid w:val="003C51D3"/>
    <w:rsid w:val="003C5869"/>
    <w:rsid w:val="003C58D5"/>
    <w:rsid w:val="003C6E11"/>
    <w:rsid w:val="003C7AE1"/>
    <w:rsid w:val="003C7D6D"/>
    <w:rsid w:val="003C7F18"/>
    <w:rsid w:val="003D0041"/>
    <w:rsid w:val="003D00B3"/>
    <w:rsid w:val="003D0208"/>
    <w:rsid w:val="003D041B"/>
    <w:rsid w:val="003D0899"/>
    <w:rsid w:val="003D09BB"/>
    <w:rsid w:val="003D17BA"/>
    <w:rsid w:val="003D1DA2"/>
    <w:rsid w:val="003D2A84"/>
    <w:rsid w:val="003D3173"/>
    <w:rsid w:val="003D42EB"/>
    <w:rsid w:val="003D432C"/>
    <w:rsid w:val="003D43EA"/>
    <w:rsid w:val="003D46C9"/>
    <w:rsid w:val="003D49BE"/>
    <w:rsid w:val="003D4B6F"/>
    <w:rsid w:val="003D53FB"/>
    <w:rsid w:val="003D5830"/>
    <w:rsid w:val="003D59F0"/>
    <w:rsid w:val="003D5B67"/>
    <w:rsid w:val="003D5DE3"/>
    <w:rsid w:val="003D6219"/>
    <w:rsid w:val="003D6457"/>
    <w:rsid w:val="003D703D"/>
    <w:rsid w:val="003D7D44"/>
    <w:rsid w:val="003E00DA"/>
    <w:rsid w:val="003E1A87"/>
    <w:rsid w:val="003E1C7F"/>
    <w:rsid w:val="003E23F3"/>
    <w:rsid w:val="003E28D4"/>
    <w:rsid w:val="003E3DBF"/>
    <w:rsid w:val="003E3DFE"/>
    <w:rsid w:val="003E40E3"/>
    <w:rsid w:val="003E4A31"/>
    <w:rsid w:val="003E4E51"/>
    <w:rsid w:val="003E527E"/>
    <w:rsid w:val="003E551A"/>
    <w:rsid w:val="003E5C84"/>
    <w:rsid w:val="003E5F03"/>
    <w:rsid w:val="003E5F5A"/>
    <w:rsid w:val="003E6261"/>
    <w:rsid w:val="003E6392"/>
    <w:rsid w:val="003E65C3"/>
    <w:rsid w:val="003E6AFF"/>
    <w:rsid w:val="003E6E1C"/>
    <w:rsid w:val="003E6EAE"/>
    <w:rsid w:val="003E6F2C"/>
    <w:rsid w:val="003E7365"/>
    <w:rsid w:val="003E775F"/>
    <w:rsid w:val="003E7A59"/>
    <w:rsid w:val="003E7BD1"/>
    <w:rsid w:val="003F050F"/>
    <w:rsid w:val="003F0AE5"/>
    <w:rsid w:val="003F1473"/>
    <w:rsid w:val="003F1587"/>
    <w:rsid w:val="003F182C"/>
    <w:rsid w:val="003F233B"/>
    <w:rsid w:val="003F2A1A"/>
    <w:rsid w:val="003F2E57"/>
    <w:rsid w:val="003F2FFD"/>
    <w:rsid w:val="003F300E"/>
    <w:rsid w:val="003F3221"/>
    <w:rsid w:val="003F38B3"/>
    <w:rsid w:val="003F39D9"/>
    <w:rsid w:val="003F3E30"/>
    <w:rsid w:val="003F40B9"/>
    <w:rsid w:val="003F4999"/>
    <w:rsid w:val="003F5371"/>
    <w:rsid w:val="003F60E3"/>
    <w:rsid w:val="003F6804"/>
    <w:rsid w:val="003F6847"/>
    <w:rsid w:val="003F68F2"/>
    <w:rsid w:val="003F7E15"/>
    <w:rsid w:val="004000D7"/>
    <w:rsid w:val="0040099F"/>
    <w:rsid w:val="00401243"/>
    <w:rsid w:val="0040182D"/>
    <w:rsid w:val="004019AC"/>
    <w:rsid w:val="00401CF5"/>
    <w:rsid w:val="00401FA9"/>
    <w:rsid w:val="00402DEB"/>
    <w:rsid w:val="00402E34"/>
    <w:rsid w:val="00403334"/>
    <w:rsid w:val="0040359C"/>
    <w:rsid w:val="00403B37"/>
    <w:rsid w:val="00403CE4"/>
    <w:rsid w:val="00404112"/>
    <w:rsid w:val="004049F3"/>
    <w:rsid w:val="00404A40"/>
    <w:rsid w:val="00404A95"/>
    <w:rsid w:val="00404BC5"/>
    <w:rsid w:val="00404FED"/>
    <w:rsid w:val="00405225"/>
    <w:rsid w:val="00405CE4"/>
    <w:rsid w:val="00405D0A"/>
    <w:rsid w:val="004064D3"/>
    <w:rsid w:val="00406A85"/>
    <w:rsid w:val="00406E1C"/>
    <w:rsid w:val="004071C6"/>
    <w:rsid w:val="0041059A"/>
    <w:rsid w:val="00410671"/>
    <w:rsid w:val="00410F37"/>
    <w:rsid w:val="00411D9D"/>
    <w:rsid w:val="00411EC3"/>
    <w:rsid w:val="00412622"/>
    <w:rsid w:val="00412ABE"/>
    <w:rsid w:val="00412C1C"/>
    <w:rsid w:val="00413442"/>
    <w:rsid w:val="0041358B"/>
    <w:rsid w:val="004135DC"/>
    <w:rsid w:val="00413CD9"/>
    <w:rsid w:val="00414399"/>
    <w:rsid w:val="0041446F"/>
    <w:rsid w:val="00414C6D"/>
    <w:rsid w:val="00414F3A"/>
    <w:rsid w:val="00414F8D"/>
    <w:rsid w:val="004151F9"/>
    <w:rsid w:val="004162A0"/>
    <w:rsid w:val="004163EE"/>
    <w:rsid w:val="00416AEB"/>
    <w:rsid w:val="00416BD5"/>
    <w:rsid w:val="00416D4E"/>
    <w:rsid w:val="00416DE8"/>
    <w:rsid w:val="0041793D"/>
    <w:rsid w:val="00420011"/>
    <w:rsid w:val="00420F41"/>
    <w:rsid w:val="00420FAA"/>
    <w:rsid w:val="0042109E"/>
    <w:rsid w:val="00421448"/>
    <w:rsid w:val="00421E1B"/>
    <w:rsid w:val="00421FBE"/>
    <w:rsid w:val="00422154"/>
    <w:rsid w:val="004224A6"/>
    <w:rsid w:val="004228AD"/>
    <w:rsid w:val="00423070"/>
    <w:rsid w:val="004231FD"/>
    <w:rsid w:val="00423421"/>
    <w:rsid w:val="00424283"/>
    <w:rsid w:val="0042455F"/>
    <w:rsid w:val="00424706"/>
    <w:rsid w:val="00424BF7"/>
    <w:rsid w:val="00424F4F"/>
    <w:rsid w:val="0042547D"/>
    <w:rsid w:val="00425587"/>
    <w:rsid w:val="00426407"/>
    <w:rsid w:val="0042655A"/>
    <w:rsid w:val="00426DCD"/>
    <w:rsid w:val="00427405"/>
    <w:rsid w:val="004276E7"/>
    <w:rsid w:val="00427A97"/>
    <w:rsid w:val="00427B27"/>
    <w:rsid w:val="0043009D"/>
    <w:rsid w:val="00430555"/>
    <w:rsid w:val="0043131C"/>
    <w:rsid w:val="0043189D"/>
    <w:rsid w:val="00431A5D"/>
    <w:rsid w:val="00431EF7"/>
    <w:rsid w:val="00431FBE"/>
    <w:rsid w:val="00432161"/>
    <w:rsid w:val="004324CD"/>
    <w:rsid w:val="00432716"/>
    <w:rsid w:val="0043294A"/>
    <w:rsid w:val="00432DDF"/>
    <w:rsid w:val="00433495"/>
    <w:rsid w:val="00433871"/>
    <w:rsid w:val="00433B2D"/>
    <w:rsid w:val="00433BA5"/>
    <w:rsid w:val="00433BDD"/>
    <w:rsid w:val="00434083"/>
    <w:rsid w:val="00434695"/>
    <w:rsid w:val="004347F3"/>
    <w:rsid w:val="00434A2D"/>
    <w:rsid w:val="00434A9B"/>
    <w:rsid w:val="00434ADA"/>
    <w:rsid w:val="00434BD4"/>
    <w:rsid w:val="00434F6E"/>
    <w:rsid w:val="00435380"/>
    <w:rsid w:val="00435F91"/>
    <w:rsid w:val="00436665"/>
    <w:rsid w:val="00436F30"/>
    <w:rsid w:val="00436F63"/>
    <w:rsid w:val="00437332"/>
    <w:rsid w:val="0043783A"/>
    <w:rsid w:val="00437BEB"/>
    <w:rsid w:val="00440853"/>
    <w:rsid w:val="00440A06"/>
    <w:rsid w:val="004414AE"/>
    <w:rsid w:val="004419DE"/>
    <w:rsid w:val="00441A0F"/>
    <w:rsid w:val="00441EED"/>
    <w:rsid w:val="004424AF"/>
    <w:rsid w:val="00442893"/>
    <w:rsid w:val="004437F8"/>
    <w:rsid w:val="004439AC"/>
    <w:rsid w:val="00443DF6"/>
    <w:rsid w:val="00443FCA"/>
    <w:rsid w:val="004442C5"/>
    <w:rsid w:val="00444757"/>
    <w:rsid w:val="00444808"/>
    <w:rsid w:val="00444E0A"/>
    <w:rsid w:val="00444F97"/>
    <w:rsid w:val="00445C94"/>
    <w:rsid w:val="0044626D"/>
    <w:rsid w:val="004466A4"/>
    <w:rsid w:val="00446820"/>
    <w:rsid w:val="004477DB"/>
    <w:rsid w:val="0045021E"/>
    <w:rsid w:val="00450331"/>
    <w:rsid w:val="00450D6D"/>
    <w:rsid w:val="00450F4C"/>
    <w:rsid w:val="004511CB"/>
    <w:rsid w:val="0045125F"/>
    <w:rsid w:val="004514C7"/>
    <w:rsid w:val="00451C10"/>
    <w:rsid w:val="00452BDE"/>
    <w:rsid w:val="00452C91"/>
    <w:rsid w:val="004534F0"/>
    <w:rsid w:val="00453845"/>
    <w:rsid w:val="00453C2D"/>
    <w:rsid w:val="00454129"/>
    <w:rsid w:val="00454CFA"/>
    <w:rsid w:val="00454E6C"/>
    <w:rsid w:val="0045518F"/>
    <w:rsid w:val="0045630D"/>
    <w:rsid w:val="004568FA"/>
    <w:rsid w:val="00456BC1"/>
    <w:rsid w:val="00456BDD"/>
    <w:rsid w:val="004574B8"/>
    <w:rsid w:val="00457507"/>
    <w:rsid w:val="004604C6"/>
    <w:rsid w:val="0046093D"/>
    <w:rsid w:val="00460B34"/>
    <w:rsid w:val="004610BF"/>
    <w:rsid w:val="0046183F"/>
    <w:rsid w:val="004625E2"/>
    <w:rsid w:val="004626FD"/>
    <w:rsid w:val="004627E4"/>
    <w:rsid w:val="00462C35"/>
    <w:rsid w:val="00462E6B"/>
    <w:rsid w:val="004632F9"/>
    <w:rsid w:val="00463522"/>
    <w:rsid w:val="00463737"/>
    <w:rsid w:val="00463E13"/>
    <w:rsid w:val="00463F7B"/>
    <w:rsid w:val="004645A3"/>
    <w:rsid w:val="00465468"/>
    <w:rsid w:val="00465496"/>
    <w:rsid w:val="00465597"/>
    <w:rsid w:val="00465ABB"/>
    <w:rsid w:val="0046696A"/>
    <w:rsid w:val="00467E64"/>
    <w:rsid w:val="004702A5"/>
    <w:rsid w:val="00470B15"/>
    <w:rsid w:val="00470EF8"/>
    <w:rsid w:val="00471073"/>
    <w:rsid w:val="004725DF"/>
    <w:rsid w:val="00472EA4"/>
    <w:rsid w:val="00473295"/>
    <w:rsid w:val="00473384"/>
    <w:rsid w:val="004743F3"/>
    <w:rsid w:val="00474A64"/>
    <w:rsid w:val="00474D05"/>
    <w:rsid w:val="00474ED2"/>
    <w:rsid w:val="0047506F"/>
    <w:rsid w:val="00475B33"/>
    <w:rsid w:val="004761F1"/>
    <w:rsid w:val="00476A5C"/>
    <w:rsid w:val="00476D07"/>
    <w:rsid w:val="00476E03"/>
    <w:rsid w:val="00476E57"/>
    <w:rsid w:val="004779B9"/>
    <w:rsid w:val="00477ADC"/>
    <w:rsid w:val="00477CF8"/>
    <w:rsid w:val="00480538"/>
    <w:rsid w:val="00481155"/>
    <w:rsid w:val="004812D2"/>
    <w:rsid w:val="0048187A"/>
    <w:rsid w:val="00481A4D"/>
    <w:rsid w:val="00483127"/>
    <w:rsid w:val="00483452"/>
    <w:rsid w:val="00483557"/>
    <w:rsid w:val="00483917"/>
    <w:rsid w:val="00483D10"/>
    <w:rsid w:val="00484286"/>
    <w:rsid w:val="0048450F"/>
    <w:rsid w:val="00484796"/>
    <w:rsid w:val="0048501A"/>
    <w:rsid w:val="004853B6"/>
    <w:rsid w:val="00485755"/>
    <w:rsid w:val="004860C8"/>
    <w:rsid w:val="004860DD"/>
    <w:rsid w:val="004877DF"/>
    <w:rsid w:val="004878D3"/>
    <w:rsid w:val="0049007D"/>
    <w:rsid w:val="00490166"/>
    <w:rsid w:val="0049024E"/>
    <w:rsid w:val="00490A84"/>
    <w:rsid w:val="00490B29"/>
    <w:rsid w:val="00490B75"/>
    <w:rsid w:val="00490DA4"/>
    <w:rsid w:val="00491083"/>
    <w:rsid w:val="0049137F"/>
    <w:rsid w:val="004916B7"/>
    <w:rsid w:val="00491BEC"/>
    <w:rsid w:val="00491C12"/>
    <w:rsid w:val="00491E33"/>
    <w:rsid w:val="00492802"/>
    <w:rsid w:val="00492A30"/>
    <w:rsid w:val="00492E07"/>
    <w:rsid w:val="004935F2"/>
    <w:rsid w:val="00493CF8"/>
    <w:rsid w:val="00493EE5"/>
    <w:rsid w:val="00494E14"/>
    <w:rsid w:val="004952CB"/>
    <w:rsid w:val="00495A6D"/>
    <w:rsid w:val="004961BD"/>
    <w:rsid w:val="0049641C"/>
    <w:rsid w:val="0049641F"/>
    <w:rsid w:val="00496803"/>
    <w:rsid w:val="00496ABB"/>
    <w:rsid w:val="00497813"/>
    <w:rsid w:val="0049781F"/>
    <w:rsid w:val="00497E0E"/>
    <w:rsid w:val="004A0793"/>
    <w:rsid w:val="004A095A"/>
    <w:rsid w:val="004A0CE7"/>
    <w:rsid w:val="004A0F01"/>
    <w:rsid w:val="004A10FE"/>
    <w:rsid w:val="004A12E4"/>
    <w:rsid w:val="004A150F"/>
    <w:rsid w:val="004A1A95"/>
    <w:rsid w:val="004A246E"/>
    <w:rsid w:val="004A2A66"/>
    <w:rsid w:val="004A4684"/>
    <w:rsid w:val="004A47DE"/>
    <w:rsid w:val="004A48C0"/>
    <w:rsid w:val="004A4D9A"/>
    <w:rsid w:val="004A4DAB"/>
    <w:rsid w:val="004A4F05"/>
    <w:rsid w:val="004A51BA"/>
    <w:rsid w:val="004A5734"/>
    <w:rsid w:val="004A5DB2"/>
    <w:rsid w:val="004A69AB"/>
    <w:rsid w:val="004A6ECB"/>
    <w:rsid w:val="004A7A0B"/>
    <w:rsid w:val="004A7ED8"/>
    <w:rsid w:val="004B07EE"/>
    <w:rsid w:val="004B1281"/>
    <w:rsid w:val="004B1360"/>
    <w:rsid w:val="004B1529"/>
    <w:rsid w:val="004B1577"/>
    <w:rsid w:val="004B1F1D"/>
    <w:rsid w:val="004B23DE"/>
    <w:rsid w:val="004B35CE"/>
    <w:rsid w:val="004B3B63"/>
    <w:rsid w:val="004B3F5D"/>
    <w:rsid w:val="004B409B"/>
    <w:rsid w:val="004B42A4"/>
    <w:rsid w:val="004B42BB"/>
    <w:rsid w:val="004B4516"/>
    <w:rsid w:val="004B4897"/>
    <w:rsid w:val="004B4A73"/>
    <w:rsid w:val="004B5209"/>
    <w:rsid w:val="004B5259"/>
    <w:rsid w:val="004B541D"/>
    <w:rsid w:val="004B5A07"/>
    <w:rsid w:val="004B5ACE"/>
    <w:rsid w:val="004B5C22"/>
    <w:rsid w:val="004B72EC"/>
    <w:rsid w:val="004B7362"/>
    <w:rsid w:val="004B74BD"/>
    <w:rsid w:val="004B7889"/>
    <w:rsid w:val="004B7933"/>
    <w:rsid w:val="004B7C33"/>
    <w:rsid w:val="004C0DCC"/>
    <w:rsid w:val="004C16FC"/>
    <w:rsid w:val="004C177A"/>
    <w:rsid w:val="004C1E1F"/>
    <w:rsid w:val="004C2383"/>
    <w:rsid w:val="004C240A"/>
    <w:rsid w:val="004C2B41"/>
    <w:rsid w:val="004C2FB6"/>
    <w:rsid w:val="004C3115"/>
    <w:rsid w:val="004C4A40"/>
    <w:rsid w:val="004C4D03"/>
    <w:rsid w:val="004C4E79"/>
    <w:rsid w:val="004C5D4C"/>
    <w:rsid w:val="004C6B0A"/>
    <w:rsid w:val="004C6C2F"/>
    <w:rsid w:val="004C720C"/>
    <w:rsid w:val="004C74E2"/>
    <w:rsid w:val="004C7579"/>
    <w:rsid w:val="004C7892"/>
    <w:rsid w:val="004C7C4B"/>
    <w:rsid w:val="004D06C0"/>
    <w:rsid w:val="004D13D2"/>
    <w:rsid w:val="004D1809"/>
    <w:rsid w:val="004D1BCD"/>
    <w:rsid w:val="004D1D9B"/>
    <w:rsid w:val="004D2C1E"/>
    <w:rsid w:val="004D2CA9"/>
    <w:rsid w:val="004D2F4B"/>
    <w:rsid w:val="004D3D47"/>
    <w:rsid w:val="004D4168"/>
    <w:rsid w:val="004D45EB"/>
    <w:rsid w:val="004D47CE"/>
    <w:rsid w:val="004D4E61"/>
    <w:rsid w:val="004D548A"/>
    <w:rsid w:val="004D5E3F"/>
    <w:rsid w:val="004D611E"/>
    <w:rsid w:val="004D6CC5"/>
    <w:rsid w:val="004D6FAC"/>
    <w:rsid w:val="004D75B8"/>
    <w:rsid w:val="004D7E42"/>
    <w:rsid w:val="004D7E94"/>
    <w:rsid w:val="004E1E49"/>
    <w:rsid w:val="004E25D7"/>
    <w:rsid w:val="004E2C64"/>
    <w:rsid w:val="004E2D31"/>
    <w:rsid w:val="004E302D"/>
    <w:rsid w:val="004E303B"/>
    <w:rsid w:val="004E3DF1"/>
    <w:rsid w:val="004E3F70"/>
    <w:rsid w:val="004E4024"/>
    <w:rsid w:val="004E4FCC"/>
    <w:rsid w:val="004E5222"/>
    <w:rsid w:val="004E55B3"/>
    <w:rsid w:val="004E56C7"/>
    <w:rsid w:val="004E6617"/>
    <w:rsid w:val="004E6A3C"/>
    <w:rsid w:val="004E6B4C"/>
    <w:rsid w:val="004E6EBE"/>
    <w:rsid w:val="004E73FE"/>
    <w:rsid w:val="004E75EF"/>
    <w:rsid w:val="004E7AAB"/>
    <w:rsid w:val="004E7BEB"/>
    <w:rsid w:val="004F04F1"/>
    <w:rsid w:val="004F0CF9"/>
    <w:rsid w:val="004F0E8C"/>
    <w:rsid w:val="004F0EDB"/>
    <w:rsid w:val="004F123F"/>
    <w:rsid w:val="004F140A"/>
    <w:rsid w:val="004F15DC"/>
    <w:rsid w:val="004F1805"/>
    <w:rsid w:val="004F1B96"/>
    <w:rsid w:val="004F1E6C"/>
    <w:rsid w:val="004F3A9D"/>
    <w:rsid w:val="004F4304"/>
    <w:rsid w:val="004F442A"/>
    <w:rsid w:val="004F44B0"/>
    <w:rsid w:val="004F4626"/>
    <w:rsid w:val="004F52D4"/>
    <w:rsid w:val="004F562B"/>
    <w:rsid w:val="004F5638"/>
    <w:rsid w:val="004F5BF9"/>
    <w:rsid w:val="004F5F1B"/>
    <w:rsid w:val="004F6345"/>
    <w:rsid w:val="004F6539"/>
    <w:rsid w:val="004F6585"/>
    <w:rsid w:val="004F6BA2"/>
    <w:rsid w:val="004F6C56"/>
    <w:rsid w:val="004F6DC5"/>
    <w:rsid w:val="004F6EAB"/>
    <w:rsid w:val="004F74E1"/>
    <w:rsid w:val="004F75FB"/>
    <w:rsid w:val="004F76FE"/>
    <w:rsid w:val="004F7BFE"/>
    <w:rsid w:val="004F7D57"/>
    <w:rsid w:val="00500086"/>
    <w:rsid w:val="00500A68"/>
    <w:rsid w:val="00500BFB"/>
    <w:rsid w:val="00501DC2"/>
    <w:rsid w:val="005024D1"/>
    <w:rsid w:val="005028F4"/>
    <w:rsid w:val="00502992"/>
    <w:rsid w:val="005034F5"/>
    <w:rsid w:val="0050364C"/>
    <w:rsid w:val="005039DA"/>
    <w:rsid w:val="0050425D"/>
    <w:rsid w:val="00504569"/>
    <w:rsid w:val="00504CC5"/>
    <w:rsid w:val="00505AC8"/>
    <w:rsid w:val="00505D2D"/>
    <w:rsid w:val="005066AC"/>
    <w:rsid w:val="005069F2"/>
    <w:rsid w:val="00506F81"/>
    <w:rsid w:val="00507026"/>
    <w:rsid w:val="00507298"/>
    <w:rsid w:val="00507FC2"/>
    <w:rsid w:val="00510537"/>
    <w:rsid w:val="005117C3"/>
    <w:rsid w:val="00511B31"/>
    <w:rsid w:val="00511D37"/>
    <w:rsid w:val="00511F35"/>
    <w:rsid w:val="0051208D"/>
    <w:rsid w:val="00512BEB"/>
    <w:rsid w:val="005136A9"/>
    <w:rsid w:val="00513780"/>
    <w:rsid w:val="005137B0"/>
    <w:rsid w:val="00513977"/>
    <w:rsid w:val="00513F1F"/>
    <w:rsid w:val="005140F6"/>
    <w:rsid w:val="0051498A"/>
    <w:rsid w:val="00514BE5"/>
    <w:rsid w:val="005152BB"/>
    <w:rsid w:val="00515426"/>
    <w:rsid w:val="0051596D"/>
    <w:rsid w:val="00515D3B"/>
    <w:rsid w:val="00516D8B"/>
    <w:rsid w:val="005171E5"/>
    <w:rsid w:val="00517592"/>
    <w:rsid w:val="00517C85"/>
    <w:rsid w:val="00517E3B"/>
    <w:rsid w:val="00520251"/>
    <w:rsid w:val="005206C1"/>
    <w:rsid w:val="005208B0"/>
    <w:rsid w:val="00520A24"/>
    <w:rsid w:val="00520D00"/>
    <w:rsid w:val="005213CF"/>
    <w:rsid w:val="0052196E"/>
    <w:rsid w:val="005219B2"/>
    <w:rsid w:val="00521E9C"/>
    <w:rsid w:val="005221FF"/>
    <w:rsid w:val="00522308"/>
    <w:rsid w:val="0052265A"/>
    <w:rsid w:val="005228E5"/>
    <w:rsid w:val="00522B20"/>
    <w:rsid w:val="005243D2"/>
    <w:rsid w:val="00524D33"/>
    <w:rsid w:val="00524DFC"/>
    <w:rsid w:val="00525450"/>
    <w:rsid w:val="0052690B"/>
    <w:rsid w:val="00526979"/>
    <w:rsid w:val="00526AED"/>
    <w:rsid w:val="005270C9"/>
    <w:rsid w:val="00527779"/>
    <w:rsid w:val="00527CE6"/>
    <w:rsid w:val="005302DE"/>
    <w:rsid w:val="005306BF"/>
    <w:rsid w:val="005309FF"/>
    <w:rsid w:val="00530D71"/>
    <w:rsid w:val="00531365"/>
    <w:rsid w:val="00531DB9"/>
    <w:rsid w:val="0053274B"/>
    <w:rsid w:val="005327C6"/>
    <w:rsid w:val="00532F25"/>
    <w:rsid w:val="00532F52"/>
    <w:rsid w:val="005331F8"/>
    <w:rsid w:val="00533331"/>
    <w:rsid w:val="0053416A"/>
    <w:rsid w:val="00534773"/>
    <w:rsid w:val="00534BF6"/>
    <w:rsid w:val="00535402"/>
    <w:rsid w:val="005360D2"/>
    <w:rsid w:val="005367D6"/>
    <w:rsid w:val="00536FBC"/>
    <w:rsid w:val="005374F5"/>
    <w:rsid w:val="00537F1D"/>
    <w:rsid w:val="00540DFC"/>
    <w:rsid w:val="005413C2"/>
    <w:rsid w:val="00541558"/>
    <w:rsid w:val="00541683"/>
    <w:rsid w:val="00541A6B"/>
    <w:rsid w:val="00541AB1"/>
    <w:rsid w:val="00541FBF"/>
    <w:rsid w:val="00542508"/>
    <w:rsid w:val="00542971"/>
    <w:rsid w:val="00542FF1"/>
    <w:rsid w:val="0054342B"/>
    <w:rsid w:val="005437AF"/>
    <w:rsid w:val="00543D31"/>
    <w:rsid w:val="00543EC4"/>
    <w:rsid w:val="00544F53"/>
    <w:rsid w:val="00545053"/>
    <w:rsid w:val="00545461"/>
    <w:rsid w:val="0054550F"/>
    <w:rsid w:val="00546091"/>
    <w:rsid w:val="00546B29"/>
    <w:rsid w:val="00546E9C"/>
    <w:rsid w:val="00546FB1"/>
    <w:rsid w:val="005476C6"/>
    <w:rsid w:val="005503F6"/>
    <w:rsid w:val="005508A8"/>
    <w:rsid w:val="0055157B"/>
    <w:rsid w:val="00551746"/>
    <w:rsid w:val="00551757"/>
    <w:rsid w:val="005519B7"/>
    <w:rsid w:val="00551B90"/>
    <w:rsid w:val="00551C16"/>
    <w:rsid w:val="00551C35"/>
    <w:rsid w:val="00551E2A"/>
    <w:rsid w:val="00552171"/>
    <w:rsid w:val="0055226B"/>
    <w:rsid w:val="00552724"/>
    <w:rsid w:val="00552913"/>
    <w:rsid w:val="00552ADE"/>
    <w:rsid w:val="005538C4"/>
    <w:rsid w:val="005539A5"/>
    <w:rsid w:val="00553BCF"/>
    <w:rsid w:val="00554057"/>
    <w:rsid w:val="00554421"/>
    <w:rsid w:val="005547B6"/>
    <w:rsid w:val="005550AB"/>
    <w:rsid w:val="00555166"/>
    <w:rsid w:val="0055548D"/>
    <w:rsid w:val="00555962"/>
    <w:rsid w:val="00555BE8"/>
    <w:rsid w:val="005564B5"/>
    <w:rsid w:val="00556C50"/>
    <w:rsid w:val="00556CD5"/>
    <w:rsid w:val="00557BEB"/>
    <w:rsid w:val="00557C0D"/>
    <w:rsid w:val="00557ECB"/>
    <w:rsid w:val="0056001F"/>
    <w:rsid w:val="005608AC"/>
    <w:rsid w:val="0056187F"/>
    <w:rsid w:val="00561D52"/>
    <w:rsid w:val="00562DAC"/>
    <w:rsid w:val="005632F9"/>
    <w:rsid w:val="00563F34"/>
    <w:rsid w:val="00564452"/>
    <w:rsid w:val="00564565"/>
    <w:rsid w:val="00564A1A"/>
    <w:rsid w:val="00564BB1"/>
    <w:rsid w:val="00564CD8"/>
    <w:rsid w:val="0056538C"/>
    <w:rsid w:val="00565772"/>
    <w:rsid w:val="00565AA6"/>
    <w:rsid w:val="00566316"/>
    <w:rsid w:val="00566416"/>
    <w:rsid w:val="00566C26"/>
    <w:rsid w:val="00566EB8"/>
    <w:rsid w:val="0056714A"/>
    <w:rsid w:val="0056773E"/>
    <w:rsid w:val="00567855"/>
    <w:rsid w:val="00567B47"/>
    <w:rsid w:val="00570944"/>
    <w:rsid w:val="00571AF0"/>
    <w:rsid w:val="00571B83"/>
    <w:rsid w:val="00572184"/>
    <w:rsid w:val="005723C7"/>
    <w:rsid w:val="0057310E"/>
    <w:rsid w:val="0057313A"/>
    <w:rsid w:val="005742A5"/>
    <w:rsid w:val="00574B26"/>
    <w:rsid w:val="00574BA7"/>
    <w:rsid w:val="00574E24"/>
    <w:rsid w:val="00574E79"/>
    <w:rsid w:val="00575290"/>
    <w:rsid w:val="00575D6B"/>
    <w:rsid w:val="00576751"/>
    <w:rsid w:val="00576AF2"/>
    <w:rsid w:val="00577065"/>
    <w:rsid w:val="0057761C"/>
    <w:rsid w:val="00577758"/>
    <w:rsid w:val="005779CE"/>
    <w:rsid w:val="00577B18"/>
    <w:rsid w:val="00577E3B"/>
    <w:rsid w:val="005804D4"/>
    <w:rsid w:val="00580976"/>
    <w:rsid w:val="00580AC2"/>
    <w:rsid w:val="00581B18"/>
    <w:rsid w:val="0058291E"/>
    <w:rsid w:val="0058302E"/>
    <w:rsid w:val="005836ED"/>
    <w:rsid w:val="00584433"/>
    <w:rsid w:val="0058446D"/>
    <w:rsid w:val="00584BC3"/>
    <w:rsid w:val="00584DB0"/>
    <w:rsid w:val="0058513F"/>
    <w:rsid w:val="00585972"/>
    <w:rsid w:val="00586282"/>
    <w:rsid w:val="00586C1A"/>
    <w:rsid w:val="005874DE"/>
    <w:rsid w:val="00587A4F"/>
    <w:rsid w:val="005903F6"/>
    <w:rsid w:val="005908C7"/>
    <w:rsid w:val="00590D21"/>
    <w:rsid w:val="00590DDA"/>
    <w:rsid w:val="00591018"/>
    <w:rsid w:val="0059114A"/>
    <w:rsid w:val="00591FB5"/>
    <w:rsid w:val="00592257"/>
    <w:rsid w:val="00592F5E"/>
    <w:rsid w:val="0059347D"/>
    <w:rsid w:val="0059366A"/>
    <w:rsid w:val="00593870"/>
    <w:rsid w:val="00593905"/>
    <w:rsid w:val="005943ED"/>
    <w:rsid w:val="00594A44"/>
    <w:rsid w:val="00594DA7"/>
    <w:rsid w:val="00594E08"/>
    <w:rsid w:val="00594E46"/>
    <w:rsid w:val="00594E5B"/>
    <w:rsid w:val="00594EC7"/>
    <w:rsid w:val="00595075"/>
    <w:rsid w:val="0059516F"/>
    <w:rsid w:val="005955AF"/>
    <w:rsid w:val="005956A9"/>
    <w:rsid w:val="0059581E"/>
    <w:rsid w:val="00595B8F"/>
    <w:rsid w:val="00595E61"/>
    <w:rsid w:val="00596467"/>
    <w:rsid w:val="005965CA"/>
    <w:rsid w:val="00596A17"/>
    <w:rsid w:val="00596A41"/>
    <w:rsid w:val="00596EFD"/>
    <w:rsid w:val="00597503"/>
    <w:rsid w:val="0059768F"/>
    <w:rsid w:val="005A0129"/>
    <w:rsid w:val="005A0312"/>
    <w:rsid w:val="005A04C4"/>
    <w:rsid w:val="005A06E1"/>
    <w:rsid w:val="005A0ABF"/>
    <w:rsid w:val="005A12DC"/>
    <w:rsid w:val="005A15FB"/>
    <w:rsid w:val="005A1D6D"/>
    <w:rsid w:val="005A1F83"/>
    <w:rsid w:val="005A1F97"/>
    <w:rsid w:val="005A2066"/>
    <w:rsid w:val="005A2445"/>
    <w:rsid w:val="005A25C4"/>
    <w:rsid w:val="005A2D4E"/>
    <w:rsid w:val="005A2FEA"/>
    <w:rsid w:val="005A3307"/>
    <w:rsid w:val="005A3745"/>
    <w:rsid w:val="005A421C"/>
    <w:rsid w:val="005A43D9"/>
    <w:rsid w:val="005A5429"/>
    <w:rsid w:val="005A5539"/>
    <w:rsid w:val="005A55D9"/>
    <w:rsid w:val="005A608D"/>
    <w:rsid w:val="005A64F8"/>
    <w:rsid w:val="005A6742"/>
    <w:rsid w:val="005A6C0B"/>
    <w:rsid w:val="005A6CFA"/>
    <w:rsid w:val="005A79E7"/>
    <w:rsid w:val="005A7E96"/>
    <w:rsid w:val="005B00FC"/>
    <w:rsid w:val="005B052F"/>
    <w:rsid w:val="005B0A8E"/>
    <w:rsid w:val="005B0BF4"/>
    <w:rsid w:val="005B142B"/>
    <w:rsid w:val="005B18DC"/>
    <w:rsid w:val="005B20DD"/>
    <w:rsid w:val="005B2775"/>
    <w:rsid w:val="005B27C5"/>
    <w:rsid w:val="005B27F1"/>
    <w:rsid w:val="005B2A48"/>
    <w:rsid w:val="005B2B85"/>
    <w:rsid w:val="005B3145"/>
    <w:rsid w:val="005B350C"/>
    <w:rsid w:val="005B366B"/>
    <w:rsid w:val="005B3783"/>
    <w:rsid w:val="005B3C22"/>
    <w:rsid w:val="005B4E56"/>
    <w:rsid w:val="005B5265"/>
    <w:rsid w:val="005B564D"/>
    <w:rsid w:val="005B57EB"/>
    <w:rsid w:val="005B5DC7"/>
    <w:rsid w:val="005B6BC9"/>
    <w:rsid w:val="005B6D32"/>
    <w:rsid w:val="005B6E71"/>
    <w:rsid w:val="005B7102"/>
    <w:rsid w:val="005B7691"/>
    <w:rsid w:val="005B770E"/>
    <w:rsid w:val="005B78F8"/>
    <w:rsid w:val="005B7BB2"/>
    <w:rsid w:val="005C0090"/>
    <w:rsid w:val="005C0111"/>
    <w:rsid w:val="005C0975"/>
    <w:rsid w:val="005C09EA"/>
    <w:rsid w:val="005C1346"/>
    <w:rsid w:val="005C135F"/>
    <w:rsid w:val="005C1B9F"/>
    <w:rsid w:val="005C26BB"/>
    <w:rsid w:val="005C2AF2"/>
    <w:rsid w:val="005C2BDB"/>
    <w:rsid w:val="005C3056"/>
    <w:rsid w:val="005C33E5"/>
    <w:rsid w:val="005C3A43"/>
    <w:rsid w:val="005C3BB4"/>
    <w:rsid w:val="005C3DEA"/>
    <w:rsid w:val="005C3F48"/>
    <w:rsid w:val="005C4024"/>
    <w:rsid w:val="005C4076"/>
    <w:rsid w:val="005C51B8"/>
    <w:rsid w:val="005C53CF"/>
    <w:rsid w:val="005C5451"/>
    <w:rsid w:val="005C58B2"/>
    <w:rsid w:val="005C5C2D"/>
    <w:rsid w:val="005C609F"/>
    <w:rsid w:val="005C64CD"/>
    <w:rsid w:val="005C68B8"/>
    <w:rsid w:val="005C6C12"/>
    <w:rsid w:val="005C7374"/>
    <w:rsid w:val="005C7608"/>
    <w:rsid w:val="005C76B8"/>
    <w:rsid w:val="005C7C82"/>
    <w:rsid w:val="005D0047"/>
    <w:rsid w:val="005D0138"/>
    <w:rsid w:val="005D02B0"/>
    <w:rsid w:val="005D0EF9"/>
    <w:rsid w:val="005D102C"/>
    <w:rsid w:val="005D10FD"/>
    <w:rsid w:val="005D11ED"/>
    <w:rsid w:val="005D1496"/>
    <w:rsid w:val="005D1DCB"/>
    <w:rsid w:val="005D2066"/>
    <w:rsid w:val="005D21F1"/>
    <w:rsid w:val="005D26E9"/>
    <w:rsid w:val="005D2ABE"/>
    <w:rsid w:val="005D2FFE"/>
    <w:rsid w:val="005D3198"/>
    <w:rsid w:val="005D37F6"/>
    <w:rsid w:val="005D444E"/>
    <w:rsid w:val="005D4BDF"/>
    <w:rsid w:val="005D5147"/>
    <w:rsid w:val="005D56F2"/>
    <w:rsid w:val="005D5BCD"/>
    <w:rsid w:val="005D5BD5"/>
    <w:rsid w:val="005D6275"/>
    <w:rsid w:val="005D6699"/>
    <w:rsid w:val="005D7321"/>
    <w:rsid w:val="005D74C6"/>
    <w:rsid w:val="005D78C4"/>
    <w:rsid w:val="005E02A3"/>
    <w:rsid w:val="005E1116"/>
    <w:rsid w:val="005E11CA"/>
    <w:rsid w:val="005E1553"/>
    <w:rsid w:val="005E1BCF"/>
    <w:rsid w:val="005E1C9C"/>
    <w:rsid w:val="005E1F1A"/>
    <w:rsid w:val="005E21B9"/>
    <w:rsid w:val="005E396B"/>
    <w:rsid w:val="005E3E88"/>
    <w:rsid w:val="005E3FD5"/>
    <w:rsid w:val="005E4094"/>
    <w:rsid w:val="005E4568"/>
    <w:rsid w:val="005E4B74"/>
    <w:rsid w:val="005E51AF"/>
    <w:rsid w:val="005E525A"/>
    <w:rsid w:val="005E5FF2"/>
    <w:rsid w:val="005E6CFB"/>
    <w:rsid w:val="005E71D3"/>
    <w:rsid w:val="005E7870"/>
    <w:rsid w:val="005E7B49"/>
    <w:rsid w:val="005E7C8C"/>
    <w:rsid w:val="005F0052"/>
    <w:rsid w:val="005F0470"/>
    <w:rsid w:val="005F08FE"/>
    <w:rsid w:val="005F0AD6"/>
    <w:rsid w:val="005F147F"/>
    <w:rsid w:val="005F1595"/>
    <w:rsid w:val="005F17D9"/>
    <w:rsid w:val="005F1FAF"/>
    <w:rsid w:val="005F213F"/>
    <w:rsid w:val="005F246D"/>
    <w:rsid w:val="005F3654"/>
    <w:rsid w:val="005F390B"/>
    <w:rsid w:val="005F3C8A"/>
    <w:rsid w:val="005F4AAA"/>
    <w:rsid w:val="005F4B30"/>
    <w:rsid w:val="005F4CAD"/>
    <w:rsid w:val="005F56EE"/>
    <w:rsid w:val="005F58DA"/>
    <w:rsid w:val="005F6022"/>
    <w:rsid w:val="005F69C6"/>
    <w:rsid w:val="005F6CE0"/>
    <w:rsid w:val="005F7F12"/>
    <w:rsid w:val="00600652"/>
    <w:rsid w:val="00601569"/>
    <w:rsid w:val="0060161C"/>
    <w:rsid w:val="00601BB4"/>
    <w:rsid w:val="0060236F"/>
    <w:rsid w:val="00602397"/>
    <w:rsid w:val="00602505"/>
    <w:rsid w:val="006028CF"/>
    <w:rsid w:val="00602D3F"/>
    <w:rsid w:val="00602D5D"/>
    <w:rsid w:val="00602DE8"/>
    <w:rsid w:val="00602FCE"/>
    <w:rsid w:val="00603034"/>
    <w:rsid w:val="00603876"/>
    <w:rsid w:val="006043E6"/>
    <w:rsid w:val="00604D09"/>
    <w:rsid w:val="00605D15"/>
    <w:rsid w:val="0060632F"/>
    <w:rsid w:val="00606451"/>
    <w:rsid w:val="006068F8"/>
    <w:rsid w:val="00606A9F"/>
    <w:rsid w:val="00606F18"/>
    <w:rsid w:val="0060793D"/>
    <w:rsid w:val="00611634"/>
    <w:rsid w:val="00611800"/>
    <w:rsid w:val="006118EF"/>
    <w:rsid w:val="00611EE4"/>
    <w:rsid w:val="0061248F"/>
    <w:rsid w:val="00612695"/>
    <w:rsid w:val="00613CAB"/>
    <w:rsid w:val="00614564"/>
    <w:rsid w:val="00615590"/>
    <w:rsid w:val="00615E36"/>
    <w:rsid w:val="006161B7"/>
    <w:rsid w:val="006168F1"/>
    <w:rsid w:val="0061697F"/>
    <w:rsid w:val="0061721B"/>
    <w:rsid w:val="00617239"/>
    <w:rsid w:val="006176EC"/>
    <w:rsid w:val="006179FD"/>
    <w:rsid w:val="00621B4C"/>
    <w:rsid w:val="00621BA5"/>
    <w:rsid w:val="00622283"/>
    <w:rsid w:val="0062262E"/>
    <w:rsid w:val="00622D97"/>
    <w:rsid w:val="00622FEA"/>
    <w:rsid w:val="006234D4"/>
    <w:rsid w:val="006235B2"/>
    <w:rsid w:val="006239DD"/>
    <w:rsid w:val="00624008"/>
    <w:rsid w:val="00624040"/>
    <w:rsid w:val="00624051"/>
    <w:rsid w:val="00624C00"/>
    <w:rsid w:val="0062542F"/>
    <w:rsid w:val="00625636"/>
    <w:rsid w:val="00625865"/>
    <w:rsid w:val="006261ED"/>
    <w:rsid w:val="006265FA"/>
    <w:rsid w:val="0062671A"/>
    <w:rsid w:val="00626836"/>
    <w:rsid w:val="00626CFC"/>
    <w:rsid w:val="00626E76"/>
    <w:rsid w:val="00627F1F"/>
    <w:rsid w:val="00630042"/>
    <w:rsid w:val="006304E7"/>
    <w:rsid w:val="00630892"/>
    <w:rsid w:val="00630D21"/>
    <w:rsid w:val="006311E5"/>
    <w:rsid w:val="006319EA"/>
    <w:rsid w:val="00631A8D"/>
    <w:rsid w:val="00632A01"/>
    <w:rsid w:val="00632F65"/>
    <w:rsid w:val="00633142"/>
    <w:rsid w:val="006331E7"/>
    <w:rsid w:val="00633E35"/>
    <w:rsid w:val="00634338"/>
    <w:rsid w:val="00634398"/>
    <w:rsid w:val="006343B7"/>
    <w:rsid w:val="00634CB5"/>
    <w:rsid w:val="0063513E"/>
    <w:rsid w:val="006353DA"/>
    <w:rsid w:val="006353EA"/>
    <w:rsid w:val="0063570C"/>
    <w:rsid w:val="00635A69"/>
    <w:rsid w:val="00635B89"/>
    <w:rsid w:val="00635E88"/>
    <w:rsid w:val="0063632E"/>
    <w:rsid w:val="00636D78"/>
    <w:rsid w:val="00637422"/>
    <w:rsid w:val="00637474"/>
    <w:rsid w:val="00637658"/>
    <w:rsid w:val="00637A3F"/>
    <w:rsid w:val="00640447"/>
    <w:rsid w:val="00640982"/>
    <w:rsid w:val="006409CE"/>
    <w:rsid w:val="00640C09"/>
    <w:rsid w:val="00640C9B"/>
    <w:rsid w:val="00640FC6"/>
    <w:rsid w:val="006410E0"/>
    <w:rsid w:val="006413CE"/>
    <w:rsid w:val="00641993"/>
    <w:rsid w:val="006421A8"/>
    <w:rsid w:val="00642352"/>
    <w:rsid w:val="0064335A"/>
    <w:rsid w:val="00643506"/>
    <w:rsid w:val="006436AD"/>
    <w:rsid w:val="006444CF"/>
    <w:rsid w:val="00644751"/>
    <w:rsid w:val="00644BCF"/>
    <w:rsid w:val="00644DAC"/>
    <w:rsid w:val="00645594"/>
    <w:rsid w:val="006456B0"/>
    <w:rsid w:val="00646045"/>
    <w:rsid w:val="006461D4"/>
    <w:rsid w:val="00646D02"/>
    <w:rsid w:val="00646D49"/>
    <w:rsid w:val="006503ED"/>
    <w:rsid w:val="0065085A"/>
    <w:rsid w:val="00650BFA"/>
    <w:rsid w:val="006511E1"/>
    <w:rsid w:val="00651ABF"/>
    <w:rsid w:val="00651CE0"/>
    <w:rsid w:val="006531E3"/>
    <w:rsid w:val="0065379A"/>
    <w:rsid w:val="00653A0D"/>
    <w:rsid w:val="00653EF5"/>
    <w:rsid w:val="006540F5"/>
    <w:rsid w:val="00654796"/>
    <w:rsid w:val="00654893"/>
    <w:rsid w:val="00654923"/>
    <w:rsid w:val="00654C41"/>
    <w:rsid w:val="00654EFF"/>
    <w:rsid w:val="00655369"/>
    <w:rsid w:val="00655448"/>
    <w:rsid w:val="006554B0"/>
    <w:rsid w:val="006556D2"/>
    <w:rsid w:val="00655871"/>
    <w:rsid w:val="006558E7"/>
    <w:rsid w:val="006559E5"/>
    <w:rsid w:val="00656151"/>
    <w:rsid w:val="00656A27"/>
    <w:rsid w:val="00656A55"/>
    <w:rsid w:val="00656B84"/>
    <w:rsid w:val="0065701E"/>
    <w:rsid w:val="006572CE"/>
    <w:rsid w:val="00657631"/>
    <w:rsid w:val="00657DC1"/>
    <w:rsid w:val="00657DC8"/>
    <w:rsid w:val="00660194"/>
    <w:rsid w:val="006606A8"/>
    <w:rsid w:val="006606AA"/>
    <w:rsid w:val="00660E8E"/>
    <w:rsid w:val="0066133F"/>
    <w:rsid w:val="00661465"/>
    <w:rsid w:val="00661766"/>
    <w:rsid w:val="006618E6"/>
    <w:rsid w:val="00661A05"/>
    <w:rsid w:val="00661BA3"/>
    <w:rsid w:val="006622AD"/>
    <w:rsid w:val="006629E0"/>
    <w:rsid w:val="00662E04"/>
    <w:rsid w:val="00663459"/>
    <w:rsid w:val="006636C3"/>
    <w:rsid w:val="00663C04"/>
    <w:rsid w:val="00663C55"/>
    <w:rsid w:val="00663EF7"/>
    <w:rsid w:val="00664375"/>
    <w:rsid w:val="006645BC"/>
    <w:rsid w:val="00664696"/>
    <w:rsid w:val="006648F4"/>
    <w:rsid w:val="0066498B"/>
    <w:rsid w:val="0066514E"/>
    <w:rsid w:val="006654EE"/>
    <w:rsid w:val="006657C3"/>
    <w:rsid w:val="00665BFE"/>
    <w:rsid w:val="00666601"/>
    <w:rsid w:val="00666E4B"/>
    <w:rsid w:val="0067034F"/>
    <w:rsid w:val="00670ACB"/>
    <w:rsid w:val="00671030"/>
    <w:rsid w:val="006711E2"/>
    <w:rsid w:val="006715F6"/>
    <w:rsid w:val="00671965"/>
    <w:rsid w:val="006719F7"/>
    <w:rsid w:val="00671F1C"/>
    <w:rsid w:val="00672670"/>
    <w:rsid w:val="00672DE7"/>
    <w:rsid w:val="00672F39"/>
    <w:rsid w:val="00672F93"/>
    <w:rsid w:val="00673071"/>
    <w:rsid w:val="0067338D"/>
    <w:rsid w:val="00673611"/>
    <w:rsid w:val="00673D7E"/>
    <w:rsid w:val="0067448B"/>
    <w:rsid w:val="006746C5"/>
    <w:rsid w:val="00674E56"/>
    <w:rsid w:val="00675228"/>
    <w:rsid w:val="00675A3B"/>
    <w:rsid w:val="0067700A"/>
    <w:rsid w:val="00677096"/>
    <w:rsid w:val="006770C4"/>
    <w:rsid w:val="00677280"/>
    <w:rsid w:val="00677ABA"/>
    <w:rsid w:val="00677EFC"/>
    <w:rsid w:val="00677FA8"/>
    <w:rsid w:val="006801A6"/>
    <w:rsid w:val="006803BF"/>
    <w:rsid w:val="006808B9"/>
    <w:rsid w:val="00680A8D"/>
    <w:rsid w:val="00680D05"/>
    <w:rsid w:val="0068113E"/>
    <w:rsid w:val="00681195"/>
    <w:rsid w:val="00681703"/>
    <w:rsid w:val="0068174D"/>
    <w:rsid w:val="006818FA"/>
    <w:rsid w:val="0068236A"/>
    <w:rsid w:val="006826AD"/>
    <w:rsid w:val="0068369A"/>
    <w:rsid w:val="00683D39"/>
    <w:rsid w:val="0068408F"/>
    <w:rsid w:val="00684215"/>
    <w:rsid w:val="00684906"/>
    <w:rsid w:val="00684908"/>
    <w:rsid w:val="00684F6C"/>
    <w:rsid w:val="00685026"/>
    <w:rsid w:val="006859DF"/>
    <w:rsid w:val="00685DEC"/>
    <w:rsid w:val="006860B7"/>
    <w:rsid w:val="00686388"/>
    <w:rsid w:val="006864DB"/>
    <w:rsid w:val="006867A3"/>
    <w:rsid w:val="00686C64"/>
    <w:rsid w:val="00686DB2"/>
    <w:rsid w:val="00686ED9"/>
    <w:rsid w:val="006871B5"/>
    <w:rsid w:val="0069020C"/>
    <w:rsid w:val="00690339"/>
    <w:rsid w:val="00690A9C"/>
    <w:rsid w:val="0069140F"/>
    <w:rsid w:val="00691789"/>
    <w:rsid w:val="006924A4"/>
    <w:rsid w:val="006924D1"/>
    <w:rsid w:val="00692C0F"/>
    <w:rsid w:val="00693184"/>
    <w:rsid w:val="006933D9"/>
    <w:rsid w:val="006935AA"/>
    <w:rsid w:val="0069377C"/>
    <w:rsid w:val="006949C5"/>
    <w:rsid w:val="00694B6A"/>
    <w:rsid w:val="0069513E"/>
    <w:rsid w:val="006953F3"/>
    <w:rsid w:val="006962A9"/>
    <w:rsid w:val="006966E0"/>
    <w:rsid w:val="00696959"/>
    <w:rsid w:val="00696F59"/>
    <w:rsid w:val="00697CA1"/>
    <w:rsid w:val="00697F14"/>
    <w:rsid w:val="00697FF4"/>
    <w:rsid w:val="006A0442"/>
    <w:rsid w:val="006A08E2"/>
    <w:rsid w:val="006A0AEB"/>
    <w:rsid w:val="006A1300"/>
    <w:rsid w:val="006A1389"/>
    <w:rsid w:val="006A2872"/>
    <w:rsid w:val="006A2A40"/>
    <w:rsid w:val="006A2B67"/>
    <w:rsid w:val="006A31F9"/>
    <w:rsid w:val="006A34AB"/>
    <w:rsid w:val="006A37D1"/>
    <w:rsid w:val="006A3DF5"/>
    <w:rsid w:val="006A4883"/>
    <w:rsid w:val="006A48FD"/>
    <w:rsid w:val="006A4F39"/>
    <w:rsid w:val="006A5088"/>
    <w:rsid w:val="006A51A0"/>
    <w:rsid w:val="006A5236"/>
    <w:rsid w:val="006A5875"/>
    <w:rsid w:val="006A603F"/>
    <w:rsid w:val="006A649F"/>
    <w:rsid w:val="006A6AA5"/>
    <w:rsid w:val="006A7244"/>
    <w:rsid w:val="006B08E5"/>
    <w:rsid w:val="006B0B36"/>
    <w:rsid w:val="006B0EB5"/>
    <w:rsid w:val="006B0FB5"/>
    <w:rsid w:val="006B11F4"/>
    <w:rsid w:val="006B184C"/>
    <w:rsid w:val="006B1A1B"/>
    <w:rsid w:val="006B1BC3"/>
    <w:rsid w:val="006B1F54"/>
    <w:rsid w:val="006B2493"/>
    <w:rsid w:val="006B2E66"/>
    <w:rsid w:val="006B2EC2"/>
    <w:rsid w:val="006B3351"/>
    <w:rsid w:val="006B424C"/>
    <w:rsid w:val="006B46B7"/>
    <w:rsid w:val="006B5169"/>
    <w:rsid w:val="006B59AD"/>
    <w:rsid w:val="006B5F92"/>
    <w:rsid w:val="006B69E0"/>
    <w:rsid w:val="006B6A25"/>
    <w:rsid w:val="006B7052"/>
    <w:rsid w:val="006B7C0C"/>
    <w:rsid w:val="006C0499"/>
    <w:rsid w:val="006C08B0"/>
    <w:rsid w:val="006C1133"/>
    <w:rsid w:val="006C19D1"/>
    <w:rsid w:val="006C1E02"/>
    <w:rsid w:val="006C1FCC"/>
    <w:rsid w:val="006C20D3"/>
    <w:rsid w:val="006C2C32"/>
    <w:rsid w:val="006C35F2"/>
    <w:rsid w:val="006C4389"/>
    <w:rsid w:val="006C4767"/>
    <w:rsid w:val="006C4E7A"/>
    <w:rsid w:val="006C5519"/>
    <w:rsid w:val="006C598A"/>
    <w:rsid w:val="006C59A5"/>
    <w:rsid w:val="006C5B92"/>
    <w:rsid w:val="006C5E0E"/>
    <w:rsid w:val="006C5EEE"/>
    <w:rsid w:val="006C614D"/>
    <w:rsid w:val="006C631C"/>
    <w:rsid w:val="006C647D"/>
    <w:rsid w:val="006C6828"/>
    <w:rsid w:val="006C7F90"/>
    <w:rsid w:val="006D1229"/>
    <w:rsid w:val="006D134A"/>
    <w:rsid w:val="006D2028"/>
    <w:rsid w:val="006D213A"/>
    <w:rsid w:val="006D2ABE"/>
    <w:rsid w:val="006D3ED5"/>
    <w:rsid w:val="006D3F78"/>
    <w:rsid w:val="006D432F"/>
    <w:rsid w:val="006D449A"/>
    <w:rsid w:val="006D4608"/>
    <w:rsid w:val="006D496D"/>
    <w:rsid w:val="006D4C6F"/>
    <w:rsid w:val="006D515A"/>
    <w:rsid w:val="006D53D4"/>
    <w:rsid w:val="006D57A5"/>
    <w:rsid w:val="006D5941"/>
    <w:rsid w:val="006D64C1"/>
    <w:rsid w:val="006D68E2"/>
    <w:rsid w:val="006D6938"/>
    <w:rsid w:val="006D6A9D"/>
    <w:rsid w:val="006D6CF4"/>
    <w:rsid w:val="006D79F1"/>
    <w:rsid w:val="006E07AE"/>
    <w:rsid w:val="006E0D84"/>
    <w:rsid w:val="006E11C7"/>
    <w:rsid w:val="006E19A5"/>
    <w:rsid w:val="006E217A"/>
    <w:rsid w:val="006E2C23"/>
    <w:rsid w:val="006E332E"/>
    <w:rsid w:val="006E3627"/>
    <w:rsid w:val="006E366D"/>
    <w:rsid w:val="006E38C8"/>
    <w:rsid w:val="006E430F"/>
    <w:rsid w:val="006E4AE3"/>
    <w:rsid w:val="006E4D9C"/>
    <w:rsid w:val="006E4EF7"/>
    <w:rsid w:val="006E4FCF"/>
    <w:rsid w:val="006E5192"/>
    <w:rsid w:val="006E58F0"/>
    <w:rsid w:val="006E721E"/>
    <w:rsid w:val="006E78E6"/>
    <w:rsid w:val="006E7D6B"/>
    <w:rsid w:val="006F03DC"/>
    <w:rsid w:val="006F05F9"/>
    <w:rsid w:val="006F08BE"/>
    <w:rsid w:val="006F0AD7"/>
    <w:rsid w:val="006F0F39"/>
    <w:rsid w:val="006F1CBA"/>
    <w:rsid w:val="006F1FF4"/>
    <w:rsid w:val="006F23AF"/>
    <w:rsid w:val="006F2917"/>
    <w:rsid w:val="006F2E0B"/>
    <w:rsid w:val="006F31BA"/>
    <w:rsid w:val="006F3207"/>
    <w:rsid w:val="006F3782"/>
    <w:rsid w:val="006F3817"/>
    <w:rsid w:val="006F3C24"/>
    <w:rsid w:val="006F3DF3"/>
    <w:rsid w:val="006F466C"/>
    <w:rsid w:val="006F4B2D"/>
    <w:rsid w:val="006F4D03"/>
    <w:rsid w:val="006F4F78"/>
    <w:rsid w:val="006F51AC"/>
    <w:rsid w:val="006F52B0"/>
    <w:rsid w:val="006F555A"/>
    <w:rsid w:val="006F58C0"/>
    <w:rsid w:val="006F5AE5"/>
    <w:rsid w:val="006F5D02"/>
    <w:rsid w:val="006F692B"/>
    <w:rsid w:val="00700646"/>
    <w:rsid w:val="00700B74"/>
    <w:rsid w:val="007017E2"/>
    <w:rsid w:val="007018BA"/>
    <w:rsid w:val="00701E3B"/>
    <w:rsid w:val="00702534"/>
    <w:rsid w:val="00702A05"/>
    <w:rsid w:val="0070332D"/>
    <w:rsid w:val="007033A8"/>
    <w:rsid w:val="0070411F"/>
    <w:rsid w:val="0070450F"/>
    <w:rsid w:val="00705220"/>
    <w:rsid w:val="0070543E"/>
    <w:rsid w:val="0070622D"/>
    <w:rsid w:val="0070641A"/>
    <w:rsid w:val="00706581"/>
    <w:rsid w:val="00706892"/>
    <w:rsid w:val="00706BEB"/>
    <w:rsid w:val="00706E0D"/>
    <w:rsid w:val="007074CF"/>
    <w:rsid w:val="00707DA9"/>
    <w:rsid w:val="007100BC"/>
    <w:rsid w:val="007101AE"/>
    <w:rsid w:val="007101F5"/>
    <w:rsid w:val="007102FC"/>
    <w:rsid w:val="00710873"/>
    <w:rsid w:val="007108E1"/>
    <w:rsid w:val="00710A47"/>
    <w:rsid w:val="007113D8"/>
    <w:rsid w:val="007116F9"/>
    <w:rsid w:val="0071194D"/>
    <w:rsid w:val="00712174"/>
    <w:rsid w:val="00712CC6"/>
    <w:rsid w:val="00712E34"/>
    <w:rsid w:val="007133F5"/>
    <w:rsid w:val="007137BC"/>
    <w:rsid w:val="00713CF3"/>
    <w:rsid w:val="0071429E"/>
    <w:rsid w:val="00714838"/>
    <w:rsid w:val="00714D5A"/>
    <w:rsid w:val="007151BC"/>
    <w:rsid w:val="0071549F"/>
    <w:rsid w:val="0071582E"/>
    <w:rsid w:val="00716223"/>
    <w:rsid w:val="007164CE"/>
    <w:rsid w:val="00717443"/>
    <w:rsid w:val="007177A4"/>
    <w:rsid w:val="0071795A"/>
    <w:rsid w:val="00717AC2"/>
    <w:rsid w:val="00720461"/>
    <w:rsid w:val="00720636"/>
    <w:rsid w:val="00720925"/>
    <w:rsid w:val="00721002"/>
    <w:rsid w:val="00721161"/>
    <w:rsid w:val="007211A4"/>
    <w:rsid w:val="007215A1"/>
    <w:rsid w:val="0072163C"/>
    <w:rsid w:val="00721789"/>
    <w:rsid w:val="007223A6"/>
    <w:rsid w:val="00722630"/>
    <w:rsid w:val="00722B59"/>
    <w:rsid w:val="00722DD6"/>
    <w:rsid w:val="0072331C"/>
    <w:rsid w:val="007237BB"/>
    <w:rsid w:val="00723A21"/>
    <w:rsid w:val="00724240"/>
    <w:rsid w:val="0072507F"/>
    <w:rsid w:val="007254EC"/>
    <w:rsid w:val="00725E92"/>
    <w:rsid w:val="00725F96"/>
    <w:rsid w:val="00726263"/>
    <w:rsid w:val="007262BC"/>
    <w:rsid w:val="007303D7"/>
    <w:rsid w:val="007306B9"/>
    <w:rsid w:val="00730B4D"/>
    <w:rsid w:val="00730FE0"/>
    <w:rsid w:val="00731575"/>
    <w:rsid w:val="00731930"/>
    <w:rsid w:val="00731BB6"/>
    <w:rsid w:val="00731E05"/>
    <w:rsid w:val="00731FDC"/>
    <w:rsid w:val="00732082"/>
    <w:rsid w:val="00733E8C"/>
    <w:rsid w:val="00733FC2"/>
    <w:rsid w:val="007341C0"/>
    <w:rsid w:val="0073553C"/>
    <w:rsid w:val="00735AD3"/>
    <w:rsid w:val="007361A9"/>
    <w:rsid w:val="00736528"/>
    <w:rsid w:val="00736A31"/>
    <w:rsid w:val="00736B43"/>
    <w:rsid w:val="007370D4"/>
    <w:rsid w:val="007372BA"/>
    <w:rsid w:val="00737870"/>
    <w:rsid w:val="00737B87"/>
    <w:rsid w:val="00737BED"/>
    <w:rsid w:val="0074056C"/>
    <w:rsid w:val="00740779"/>
    <w:rsid w:val="0074118C"/>
    <w:rsid w:val="00741722"/>
    <w:rsid w:val="00741F4E"/>
    <w:rsid w:val="007421CA"/>
    <w:rsid w:val="00742790"/>
    <w:rsid w:val="00742811"/>
    <w:rsid w:val="00743746"/>
    <w:rsid w:val="00744095"/>
    <w:rsid w:val="00744D44"/>
    <w:rsid w:val="00745508"/>
    <w:rsid w:val="00745BB5"/>
    <w:rsid w:val="00745D98"/>
    <w:rsid w:val="00745F14"/>
    <w:rsid w:val="00746325"/>
    <w:rsid w:val="00746381"/>
    <w:rsid w:val="00746EAA"/>
    <w:rsid w:val="0074757E"/>
    <w:rsid w:val="00747CD3"/>
    <w:rsid w:val="00747E24"/>
    <w:rsid w:val="00747E42"/>
    <w:rsid w:val="007500FC"/>
    <w:rsid w:val="0075083C"/>
    <w:rsid w:val="00750A7B"/>
    <w:rsid w:val="00750F69"/>
    <w:rsid w:val="00751177"/>
    <w:rsid w:val="0075118D"/>
    <w:rsid w:val="007512A9"/>
    <w:rsid w:val="007515B5"/>
    <w:rsid w:val="007516A2"/>
    <w:rsid w:val="00751E8C"/>
    <w:rsid w:val="007521C5"/>
    <w:rsid w:val="0075268E"/>
    <w:rsid w:val="00752799"/>
    <w:rsid w:val="007527FC"/>
    <w:rsid w:val="0075285D"/>
    <w:rsid w:val="007529FD"/>
    <w:rsid w:val="00752CF0"/>
    <w:rsid w:val="00752E03"/>
    <w:rsid w:val="0075313A"/>
    <w:rsid w:val="007536E9"/>
    <w:rsid w:val="007536F6"/>
    <w:rsid w:val="007540A0"/>
    <w:rsid w:val="0075433A"/>
    <w:rsid w:val="00754D83"/>
    <w:rsid w:val="0075504C"/>
    <w:rsid w:val="00755222"/>
    <w:rsid w:val="007552DD"/>
    <w:rsid w:val="00755C32"/>
    <w:rsid w:val="00755F6E"/>
    <w:rsid w:val="00756004"/>
    <w:rsid w:val="00756561"/>
    <w:rsid w:val="00756D14"/>
    <w:rsid w:val="00756EF1"/>
    <w:rsid w:val="0075743B"/>
    <w:rsid w:val="0075759A"/>
    <w:rsid w:val="00757F0E"/>
    <w:rsid w:val="007608E2"/>
    <w:rsid w:val="007609C3"/>
    <w:rsid w:val="00760AA8"/>
    <w:rsid w:val="00760ACD"/>
    <w:rsid w:val="00760D22"/>
    <w:rsid w:val="00760E75"/>
    <w:rsid w:val="00762401"/>
    <w:rsid w:val="00762C9D"/>
    <w:rsid w:val="00763525"/>
    <w:rsid w:val="00763D47"/>
    <w:rsid w:val="0076410B"/>
    <w:rsid w:val="00764188"/>
    <w:rsid w:val="00764232"/>
    <w:rsid w:val="00764B08"/>
    <w:rsid w:val="00764B48"/>
    <w:rsid w:val="0076500F"/>
    <w:rsid w:val="00765534"/>
    <w:rsid w:val="00765C5A"/>
    <w:rsid w:val="00766375"/>
    <w:rsid w:val="007670C7"/>
    <w:rsid w:val="00770991"/>
    <w:rsid w:val="00771174"/>
    <w:rsid w:val="00771664"/>
    <w:rsid w:val="00771670"/>
    <w:rsid w:val="00771789"/>
    <w:rsid w:val="00771CB7"/>
    <w:rsid w:val="0077201E"/>
    <w:rsid w:val="007725B0"/>
    <w:rsid w:val="00772976"/>
    <w:rsid w:val="0077345E"/>
    <w:rsid w:val="00773EEA"/>
    <w:rsid w:val="0077470D"/>
    <w:rsid w:val="007749A6"/>
    <w:rsid w:val="00774A96"/>
    <w:rsid w:val="00774C04"/>
    <w:rsid w:val="00774EE3"/>
    <w:rsid w:val="00775556"/>
    <w:rsid w:val="00775906"/>
    <w:rsid w:val="00775D6F"/>
    <w:rsid w:val="00776418"/>
    <w:rsid w:val="00776A1F"/>
    <w:rsid w:val="00777285"/>
    <w:rsid w:val="00777AC9"/>
    <w:rsid w:val="00780D3C"/>
    <w:rsid w:val="00780DB7"/>
    <w:rsid w:val="00781143"/>
    <w:rsid w:val="0078158D"/>
    <w:rsid w:val="00782078"/>
    <w:rsid w:val="0078241D"/>
    <w:rsid w:val="00782723"/>
    <w:rsid w:val="00783572"/>
    <w:rsid w:val="0078378E"/>
    <w:rsid w:val="0078381D"/>
    <w:rsid w:val="00783A6A"/>
    <w:rsid w:val="00783AF1"/>
    <w:rsid w:val="00783B7F"/>
    <w:rsid w:val="00784C46"/>
    <w:rsid w:val="00784FD9"/>
    <w:rsid w:val="007851BB"/>
    <w:rsid w:val="00785299"/>
    <w:rsid w:val="007854C3"/>
    <w:rsid w:val="00785BBC"/>
    <w:rsid w:val="00785C89"/>
    <w:rsid w:val="00786336"/>
    <w:rsid w:val="00786474"/>
    <w:rsid w:val="007864A1"/>
    <w:rsid w:val="00786836"/>
    <w:rsid w:val="00786B06"/>
    <w:rsid w:val="00787539"/>
    <w:rsid w:val="0079018C"/>
    <w:rsid w:val="00790570"/>
    <w:rsid w:val="00790726"/>
    <w:rsid w:val="007909FB"/>
    <w:rsid w:val="00791216"/>
    <w:rsid w:val="00791440"/>
    <w:rsid w:val="00791CCB"/>
    <w:rsid w:val="00791DE7"/>
    <w:rsid w:val="007920B4"/>
    <w:rsid w:val="00792A6B"/>
    <w:rsid w:val="00792D67"/>
    <w:rsid w:val="00793D65"/>
    <w:rsid w:val="00793F22"/>
    <w:rsid w:val="007942EE"/>
    <w:rsid w:val="00794EE8"/>
    <w:rsid w:val="00794F43"/>
    <w:rsid w:val="0079518A"/>
    <w:rsid w:val="007962E4"/>
    <w:rsid w:val="00796460"/>
    <w:rsid w:val="00796530"/>
    <w:rsid w:val="007976F4"/>
    <w:rsid w:val="00797805"/>
    <w:rsid w:val="00797955"/>
    <w:rsid w:val="00797983"/>
    <w:rsid w:val="00797AE2"/>
    <w:rsid w:val="00797E56"/>
    <w:rsid w:val="00797E7C"/>
    <w:rsid w:val="007A00A8"/>
    <w:rsid w:val="007A0158"/>
    <w:rsid w:val="007A1428"/>
    <w:rsid w:val="007A1A5E"/>
    <w:rsid w:val="007A1BF9"/>
    <w:rsid w:val="007A202F"/>
    <w:rsid w:val="007A2993"/>
    <w:rsid w:val="007A2C4E"/>
    <w:rsid w:val="007A2E94"/>
    <w:rsid w:val="007A307D"/>
    <w:rsid w:val="007A35F7"/>
    <w:rsid w:val="007A393F"/>
    <w:rsid w:val="007A45F6"/>
    <w:rsid w:val="007A46F3"/>
    <w:rsid w:val="007A494C"/>
    <w:rsid w:val="007A4BF8"/>
    <w:rsid w:val="007A4DD4"/>
    <w:rsid w:val="007A5744"/>
    <w:rsid w:val="007A5DA2"/>
    <w:rsid w:val="007A5F8D"/>
    <w:rsid w:val="007A72BE"/>
    <w:rsid w:val="007A72D0"/>
    <w:rsid w:val="007A750B"/>
    <w:rsid w:val="007A7AB6"/>
    <w:rsid w:val="007A7C46"/>
    <w:rsid w:val="007A7F30"/>
    <w:rsid w:val="007B0008"/>
    <w:rsid w:val="007B04F5"/>
    <w:rsid w:val="007B0708"/>
    <w:rsid w:val="007B092F"/>
    <w:rsid w:val="007B0B9D"/>
    <w:rsid w:val="007B134C"/>
    <w:rsid w:val="007B14AF"/>
    <w:rsid w:val="007B1632"/>
    <w:rsid w:val="007B1FDA"/>
    <w:rsid w:val="007B2593"/>
    <w:rsid w:val="007B2B95"/>
    <w:rsid w:val="007B2D48"/>
    <w:rsid w:val="007B2EEF"/>
    <w:rsid w:val="007B3166"/>
    <w:rsid w:val="007B3575"/>
    <w:rsid w:val="007B374A"/>
    <w:rsid w:val="007B39E5"/>
    <w:rsid w:val="007B3BCC"/>
    <w:rsid w:val="007B3C91"/>
    <w:rsid w:val="007B3EF1"/>
    <w:rsid w:val="007B4B78"/>
    <w:rsid w:val="007B53D3"/>
    <w:rsid w:val="007B5AB4"/>
    <w:rsid w:val="007B5B0E"/>
    <w:rsid w:val="007B6039"/>
    <w:rsid w:val="007B6310"/>
    <w:rsid w:val="007B631F"/>
    <w:rsid w:val="007B68EE"/>
    <w:rsid w:val="007B699B"/>
    <w:rsid w:val="007B69EF"/>
    <w:rsid w:val="007B764A"/>
    <w:rsid w:val="007B7E44"/>
    <w:rsid w:val="007C0383"/>
    <w:rsid w:val="007C0B6F"/>
    <w:rsid w:val="007C0FF3"/>
    <w:rsid w:val="007C10C7"/>
    <w:rsid w:val="007C1551"/>
    <w:rsid w:val="007C22FE"/>
    <w:rsid w:val="007C243B"/>
    <w:rsid w:val="007C24A7"/>
    <w:rsid w:val="007C26AA"/>
    <w:rsid w:val="007C2FE2"/>
    <w:rsid w:val="007C36B6"/>
    <w:rsid w:val="007C405C"/>
    <w:rsid w:val="007C43F1"/>
    <w:rsid w:val="007C48A8"/>
    <w:rsid w:val="007C4B42"/>
    <w:rsid w:val="007C5072"/>
    <w:rsid w:val="007C57AE"/>
    <w:rsid w:val="007C67A2"/>
    <w:rsid w:val="007C6967"/>
    <w:rsid w:val="007C6E63"/>
    <w:rsid w:val="007C70E0"/>
    <w:rsid w:val="007C77D9"/>
    <w:rsid w:val="007C7964"/>
    <w:rsid w:val="007C79C5"/>
    <w:rsid w:val="007D07C5"/>
    <w:rsid w:val="007D0C69"/>
    <w:rsid w:val="007D1E0F"/>
    <w:rsid w:val="007D2146"/>
    <w:rsid w:val="007D33DC"/>
    <w:rsid w:val="007D3CD6"/>
    <w:rsid w:val="007D4353"/>
    <w:rsid w:val="007D5976"/>
    <w:rsid w:val="007D59EE"/>
    <w:rsid w:val="007D5E31"/>
    <w:rsid w:val="007D6211"/>
    <w:rsid w:val="007D629F"/>
    <w:rsid w:val="007D6628"/>
    <w:rsid w:val="007D685E"/>
    <w:rsid w:val="007D6E11"/>
    <w:rsid w:val="007D72A7"/>
    <w:rsid w:val="007D7FA7"/>
    <w:rsid w:val="007E0DFE"/>
    <w:rsid w:val="007E0F1D"/>
    <w:rsid w:val="007E1631"/>
    <w:rsid w:val="007E1709"/>
    <w:rsid w:val="007E1CB5"/>
    <w:rsid w:val="007E1F68"/>
    <w:rsid w:val="007E2410"/>
    <w:rsid w:val="007E2B80"/>
    <w:rsid w:val="007E3393"/>
    <w:rsid w:val="007E3996"/>
    <w:rsid w:val="007E407B"/>
    <w:rsid w:val="007E470C"/>
    <w:rsid w:val="007E4CF9"/>
    <w:rsid w:val="007E5075"/>
    <w:rsid w:val="007E56CB"/>
    <w:rsid w:val="007E5CA0"/>
    <w:rsid w:val="007E65F6"/>
    <w:rsid w:val="007E760A"/>
    <w:rsid w:val="007E7BE3"/>
    <w:rsid w:val="007E7D49"/>
    <w:rsid w:val="007F0268"/>
    <w:rsid w:val="007F0276"/>
    <w:rsid w:val="007F03D1"/>
    <w:rsid w:val="007F04C7"/>
    <w:rsid w:val="007F0626"/>
    <w:rsid w:val="007F07F4"/>
    <w:rsid w:val="007F0A2E"/>
    <w:rsid w:val="007F0A5B"/>
    <w:rsid w:val="007F0B69"/>
    <w:rsid w:val="007F1715"/>
    <w:rsid w:val="007F1C56"/>
    <w:rsid w:val="007F21C7"/>
    <w:rsid w:val="007F32D8"/>
    <w:rsid w:val="007F3FA4"/>
    <w:rsid w:val="007F4760"/>
    <w:rsid w:val="007F5467"/>
    <w:rsid w:val="007F63D7"/>
    <w:rsid w:val="007F7632"/>
    <w:rsid w:val="007F7CDA"/>
    <w:rsid w:val="0080041B"/>
    <w:rsid w:val="00800D9B"/>
    <w:rsid w:val="00801698"/>
    <w:rsid w:val="00801C78"/>
    <w:rsid w:val="0080289F"/>
    <w:rsid w:val="00802A7B"/>
    <w:rsid w:val="00803254"/>
    <w:rsid w:val="008032BA"/>
    <w:rsid w:val="00803454"/>
    <w:rsid w:val="008035ED"/>
    <w:rsid w:val="00803B50"/>
    <w:rsid w:val="00803B6F"/>
    <w:rsid w:val="00803FDC"/>
    <w:rsid w:val="0080436B"/>
    <w:rsid w:val="008044EC"/>
    <w:rsid w:val="008046EE"/>
    <w:rsid w:val="00804D48"/>
    <w:rsid w:val="00804FA7"/>
    <w:rsid w:val="00805153"/>
    <w:rsid w:val="008057A0"/>
    <w:rsid w:val="00805824"/>
    <w:rsid w:val="00805888"/>
    <w:rsid w:val="00805CD4"/>
    <w:rsid w:val="00805FA8"/>
    <w:rsid w:val="0080600F"/>
    <w:rsid w:val="0080626A"/>
    <w:rsid w:val="008065E6"/>
    <w:rsid w:val="008067D7"/>
    <w:rsid w:val="0080691A"/>
    <w:rsid w:val="00807098"/>
    <w:rsid w:val="00807108"/>
    <w:rsid w:val="0080721B"/>
    <w:rsid w:val="008073D9"/>
    <w:rsid w:val="008075B2"/>
    <w:rsid w:val="0080769D"/>
    <w:rsid w:val="00807CDF"/>
    <w:rsid w:val="008103AE"/>
    <w:rsid w:val="008106E9"/>
    <w:rsid w:val="008107DE"/>
    <w:rsid w:val="00811656"/>
    <w:rsid w:val="008119B7"/>
    <w:rsid w:val="00811E9A"/>
    <w:rsid w:val="00812222"/>
    <w:rsid w:val="008127A5"/>
    <w:rsid w:val="00813393"/>
    <w:rsid w:val="0081344E"/>
    <w:rsid w:val="00813697"/>
    <w:rsid w:val="00813B9C"/>
    <w:rsid w:val="00813D8A"/>
    <w:rsid w:val="008140D0"/>
    <w:rsid w:val="008144FF"/>
    <w:rsid w:val="008145FB"/>
    <w:rsid w:val="00814823"/>
    <w:rsid w:val="0081488D"/>
    <w:rsid w:val="0081584E"/>
    <w:rsid w:val="00815ABF"/>
    <w:rsid w:val="00815B27"/>
    <w:rsid w:val="00815EEA"/>
    <w:rsid w:val="00816762"/>
    <w:rsid w:val="008167E0"/>
    <w:rsid w:val="00816A03"/>
    <w:rsid w:val="00817723"/>
    <w:rsid w:val="00817AC6"/>
    <w:rsid w:val="00817DF6"/>
    <w:rsid w:val="00817F2E"/>
    <w:rsid w:val="008203B8"/>
    <w:rsid w:val="008204E6"/>
    <w:rsid w:val="008205EA"/>
    <w:rsid w:val="0082106E"/>
    <w:rsid w:val="00821075"/>
    <w:rsid w:val="008212DD"/>
    <w:rsid w:val="00821564"/>
    <w:rsid w:val="00821700"/>
    <w:rsid w:val="00821B29"/>
    <w:rsid w:val="008222C7"/>
    <w:rsid w:val="00822ADB"/>
    <w:rsid w:val="00822F76"/>
    <w:rsid w:val="008237F0"/>
    <w:rsid w:val="008246A2"/>
    <w:rsid w:val="00824E50"/>
    <w:rsid w:val="00824F21"/>
    <w:rsid w:val="0082546A"/>
    <w:rsid w:val="00825D87"/>
    <w:rsid w:val="0082686E"/>
    <w:rsid w:val="008269EA"/>
    <w:rsid w:val="00826ABB"/>
    <w:rsid w:val="00826CF1"/>
    <w:rsid w:val="00826D4A"/>
    <w:rsid w:val="008270E2"/>
    <w:rsid w:val="00827912"/>
    <w:rsid w:val="00830572"/>
    <w:rsid w:val="00830AA1"/>
    <w:rsid w:val="008316FB"/>
    <w:rsid w:val="008317CE"/>
    <w:rsid w:val="0083198F"/>
    <w:rsid w:val="008326FC"/>
    <w:rsid w:val="00832B4B"/>
    <w:rsid w:val="00832DC2"/>
    <w:rsid w:val="00833099"/>
    <w:rsid w:val="00833F76"/>
    <w:rsid w:val="00834329"/>
    <w:rsid w:val="008343F8"/>
    <w:rsid w:val="0083452A"/>
    <w:rsid w:val="00834CE8"/>
    <w:rsid w:val="00835D88"/>
    <w:rsid w:val="008366E0"/>
    <w:rsid w:val="00836EA6"/>
    <w:rsid w:val="008377CD"/>
    <w:rsid w:val="0083784D"/>
    <w:rsid w:val="008407AF"/>
    <w:rsid w:val="00840BF1"/>
    <w:rsid w:val="00842031"/>
    <w:rsid w:val="008420BA"/>
    <w:rsid w:val="0084227A"/>
    <w:rsid w:val="00842DE8"/>
    <w:rsid w:val="0084413F"/>
    <w:rsid w:val="008444AA"/>
    <w:rsid w:val="008445C0"/>
    <w:rsid w:val="0084497A"/>
    <w:rsid w:val="00844ABB"/>
    <w:rsid w:val="008460B0"/>
    <w:rsid w:val="0084641F"/>
    <w:rsid w:val="00850399"/>
    <w:rsid w:val="00850AEB"/>
    <w:rsid w:val="00850C4D"/>
    <w:rsid w:val="00851400"/>
    <w:rsid w:val="00851ACA"/>
    <w:rsid w:val="00851C93"/>
    <w:rsid w:val="008525E0"/>
    <w:rsid w:val="00852E93"/>
    <w:rsid w:val="00853356"/>
    <w:rsid w:val="00853848"/>
    <w:rsid w:val="00853C81"/>
    <w:rsid w:val="0085456B"/>
    <w:rsid w:val="0085488A"/>
    <w:rsid w:val="008549AC"/>
    <w:rsid w:val="00854A22"/>
    <w:rsid w:val="00854B68"/>
    <w:rsid w:val="00854FE5"/>
    <w:rsid w:val="00855246"/>
    <w:rsid w:val="00855283"/>
    <w:rsid w:val="0085573C"/>
    <w:rsid w:val="008557BD"/>
    <w:rsid w:val="00855D3F"/>
    <w:rsid w:val="008561CB"/>
    <w:rsid w:val="008575C9"/>
    <w:rsid w:val="00857CFD"/>
    <w:rsid w:val="00857DB3"/>
    <w:rsid w:val="00857DD6"/>
    <w:rsid w:val="008608D4"/>
    <w:rsid w:val="00860A55"/>
    <w:rsid w:val="00860DCC"/>
    <w:rsid w:val="008618F0"/>
    <w:rsid w:val="008619DF"/>
    <w:rsid w:val="00861EB0"/>
    <w:rsid w:val="00861EDA"/>
    <w:rsid w:val="00862369"/>
    <w:rsid w:val="0086283E"/>
    <w:rsid w:val="00862A41"/>
    <w:rsid w:val="00862AA1"/>
    <w:rsid w:val="00862E96"/>
    <w:rsid w:val="00863466"/>
    <w:rsid w:val="008638D2"/>
    <w:rsid w:val="0086390C"/>
    <w:rsid w:val="00863E7A"/>
    <w:rsid w:val="00864234"/>
    <w:rsid w:val="00864791"/>
    <w:rsid w:val="0086545E"/>
    <w:rsid w:val="00865893"/>
    <w:rsid w:val="00865F32"/>
    <w:rsid w:val="008671F2"/>
    <w:rsid w:val="00867255"/>
    <w:rsid w:val="008674F3"/>
    <w:rsid w:val="008678F1"/>
    <w:rsid w:val="00867E51"/>
    <w:rsid w:val="008702F2"/>
    <w:rsid w:val="00870F77"/>
    <w:rsid w:val="00871365"/>
    <w:rsid w:val="00871371"/>
    <w:rsid w:val="008715B4"/>
    <w:rsid w:val="00871D1A"/>
    <w:rsid w:val="0087221C"/>
    <w:rsid w:val="00872936"/>
    <w:rsid w:val="00872B98"/>
    <w:rsid w:val="00872BED"/>
    <w:rsid w:val="00872E59"/>
    <w:rsid w:val="0087354E"/>
    <w:rsid w:val="00873E22"/>
    <w:rsid w:val="008740E0"/>
    <w:rsid w:val="00874620"/>
    <w:rsid w:val="00874D8D"/>
    <w:rsid w:val="00874FFD"/>
    <w:rsid w:val="00875685"/>
    <w:rsid w:val="00875904"/>
    <w:rsid w:val="00876437"/>
    <w:rsid w:val="00876BBE"/>
    <w:rsid w:val="00876F93"/>
    <w:rsid w:val="008775F2"/>
    <w:rsid w:val="008778D3"/>
    <w:rsid w:val="00877AC1"/>
    <w:rsid w:val="00877C52"/>
    <w:rsid w:val="00880554"/>
    <w:rsid w:val="00880A6A"/>
    <w:rsid w:val="00881629"/>
    <w:rsid w:val="0088196E"/>
    <w:rsid w:val="00881E57"/>
    <w:rsid w:val="00882365"/>
    <w:rsid w:val="00882BA8"/>
    <w:rsid w:val="008831E1"/>
    <w:rsid w:val="008837D4"/>
    <w:rsid w:val="0088388C"/>
    <w:rsid w:val="0088395F"/>
    <w:rsid w:val="00883A61"/>
    <w:rsid w:val="008841D8"/>
    <w:rsid w:val="0088583B"/>
    <w:rsid w:val="00885C46"/>
    <w:rsid w:val="00886A27"/>
    <w:rsid w:val="008870F4"/>
    <w:rsid w:val="00887155"/>
    <w:rsid w:val="008876DA"/>
    <w:rsid w:val="00890054"/>
    <w:rsid w:val="008903DD"/>
    <w:rsid w:val="0089049A"/>
    <w:rsid w:val="00890794"/>
    <w:rsid w:val="008907CA"/>
    <w:rsid w:val="00890BC6"/>
    <w:rsid w:val="008913D1"/>
    <w:rsid w:val="0089165A"/>
    <w:rsid w:val="008916EA"/>
    <w:rsid w:val="00891E26"/>
    <w:rsid w:val="00892531"/>
    <w:rsid w:val="008925FB"/>
    <w:rsid w:val="00892D13"/>
    <w:rsid w:val="00892FEB"/>
    <w:rsid w:val="0089325D"/>
    <w:rsid w:val="0089347E"/>
    <w:rsid w:val="008938A9"/>
    <w:rsid w:val="00893DFE"/>
    <w:rsid w:val="00894021"/>
    <w:rsid w:val="008941BB"/>
    <w:rsid w:val="008944C5"/>
    <w:rsid w:val="00894673"/>
    <w:rsid w:val="008949B6"/>
    <w:rsid w:val="0089547C"/>
    <w:rsid w:val="008955EE"/>
    <w:rsid w:val="00895B32"/>
    <w:rsid w:val="00896003"/>
    <w:rsid w:val="0089696B"/>
    <w:rsid w:val="008970CA"/>
    <w:rsid w:val="008A0308"/>
    <w:rsid w:val="008A0408"/>
    <w:rsid w:val="008A0744"/>
    <w:rsid w:val="008A0F71"/>
    <w:rsid w:val="008A15E5"/>
    <w:rsid w:val="008A186B"/>
    <w:rsid w:val="008A1E6E"/>
    <w:rsid w:val="008A2188"/>
    <w:rsid w:val="008A2598"/>
    <w:rsid w:val="008A29CA"/>
    <w:rsid w:val="008A3127"/>
    <w:rsid w:val="008A3260"/>
    <w:rsid w:val="008A3623"/>
    <w:rsid w:val="008A381C"/>
    <w:rsid w:val="008A3C4D"/>
    <w:rsid w:val="008A3FFB"/>
    <w:rsid w:val="008A4B94"/>
    <w:rsid w:val="008A588C"/>
    <w:rsid w:val="008A6689"/>
    <w:rsid w:val="008A66D7"/>
    <w:rsid w:val="008A685F"/>
    <w:rsid w:val="008A6DA6"/>
    <w:rsid w:val="008A721A"/>
    <w:rsid w:val="008A7C2F"/>
    <w:rsid w:val="008A7C43"/>
    <w:rsid w:val="008B0740"/>
    <w:rsid w:val="008B07B2"/>
    <w:rsid w:val="008B0989"/>
    <w:rsid w:val="008B0A7C"/>
    <w:rsid w:val="008B1681"/>
    <w:rsid w:val="008B1AA5"/>
    <w:rsid w:val="008B1D8B"/>
    <w:rsid w:val="008B1EEB"/>
    <w:rsid w:val="008B200E"/>
    <w:rsid w:val="008B24DF"/>
    <w:rsid w:val="008B3152"/>
    <w:rsid w:val="008B353D"/>
    <w:rsid w:val="008B3812"/>
    <w:rsid w:val="008B4404"/>
    <w:rsid w:val="008B471A"/>
    <w:rsid w:val="008B4BAE"/>
    <w:rsid w:val="008B52FB"/>
    <w:rsid w:val="008B5AA2"/>
    <w:rsid w:val="008B6303"/>
    <w:rsid w:val="008B6E7D"/>
    <w:rsid w:val="008B6EF8"/>
    <w:rsid w:val="008B7496"/>
    <w:rsid w:val="008B789C"/>
    <w:rsid w:val="008B7AA4"/>
    <w:rsid w:val="008B7CFA"/>
    <w:rsid w:val="008B7DF0"/>
    <w:rsid w:val="008C06CA"/>
    <w:rsid w:val="008C08D1"/>
    <w:rsid w:val="008C0D1F"/>
    <w:rsid w:val="008C0ECF"/>
    <w:rsid w:val="008C0F31"/>
    <w:rsid w:val="008C0FC4"/>
    <w:rsid w:val="008C1126"/>
    <w:rsid w:val="008C19D1"/>
    <w:rsid w:val="008C1E91"/>
    <w:rsid w:val="008C219C"/>
    <w:rsid w:val="008C2473"/>
    <w:rsid w:val="008C2573"/>
    <w:rsid w:val="008C2626"/>
    <w:rsid w:val="008C288A"/>
    <w:rsid w:val="008C3041"/>
    <w:rsid w:val="008C3219"/>
    <w:rsid w:val="008C3EB3"/>
    <w:rsid w:val="008C4216"/>
    <w:rsid w:val="008C4577"/>
    <w:rsid w:val="008C4661"/>
    <w:rsid w:val="008C4666"/>
    <w:rsid w:val="008C48FC"/>
    <w:rsid w:val="008C4C8D"/>
    <w:rsid w:val="008C4E64"/>
    <w:rsid w:val="008C4E93"/>
    <w:rsid w:val="008C58D8"/>
    <w:rsid w:val="008C59B6"/>
    <w:rsid w:val="008C5E6D"/>
    <w:rsid w:val="008C613B"/>
    <w:rsid w:val="008C6924"/>
    <w:rsid w:val="008C693A"/>
    <w:rsid w:val="008C6AAD"/>
    <w:rsid w:val="008C74AF"/>
    <w:rsid w:val="008C754F"/>
    <w:rsid w:val="008C796B"/>
    <w:rsid w:val="008C7DEE"/>
    <w:rsid w:val="008C7E04"/>
    <w:rsid w:val="008D01D6"/>
    <w:rsid w:val="008D029A"/>
    <w:rsid w:val="008D081E"/>
    <w:rsid w:val="008D0AE4"/>
    <w:rsid w:val="008D0C57"/>
    <w:rsid w:val="008D1285"/>
    <w:rsid w:val="008D16A1"/>
    <w:rsid w:val="008D16D1"/>
    <w:rsid w:val="008D19C0"/>
    <w:rsid w:val="008D215C"/>
    <w:rsid w:val="008D24DA"/>
    <w:rsid w:val="008D2816"/>
    <w:rsid w:val="008D3250"/>
    <w:rsid w:val="008D4299"/>
    <w:rsid w:val="008D492D"/>
    <w:rsid w:val="008D4949"/>
    <w:rsid w:val="008D5523"/>
    <w:rsid w:val="008D57ED"/>
    <w:rsid w:val="008D5812"/>
    <w:rsid w:val="008D5B46"/>
    <w:rsid w:val="008D63FA"/>
    <w:rsid w:val="008D64EB"/>
    <w:rsid w:val="008D6710"/>
    <w:rsid w:val="008D6EAB"/>
    <w:rsid w:val="008D74C5"/>
    <w:rsid w:val="008D77B4"/>
    <w:rsid w:val="008D7884"/>
    <w:rsid w:val="008E06E7"/>
    <w:rsid w:val="008E06E9"/>
    <w:rsid w:val="008E087A"/>
    <w:rsid w:val="008E0EEF"/>
    <w:rsid w:val="008E10DD"/>
    <w:rsid w:val="008E24D0"/>
    <w:rsid w:val="008E2994"/>
    <w:rsid w:val="008E3F07"/>
    <w:rsid w:val="008E4BAF"/>
    <w:rsid w:val="008E5550"/>
    <w:rsid w:val="008E5916"/>
    <w:rsid w:val="008E606A"/>
    <w:rsid w:val="008E70E3"/>
    <w:rsid w:val="008E7351"/>
    <w:rsid w:val="008E7922"/>
    <w:rsid w:val="008E7F14"/>
    <w:rsid w:val="008F038D"/>
    <w:rsid w:val="008F0D1A"/>
    <w:rsid w:val="008F1479"/>
    <w:rsid w:val="008F1649"/>
    <w:rsid w:val="008F182F"/>
    <w:rsid w:val="008F1C0B"/>
    <w:rsid w:val="008F21E6"/>
    <w:rsid w:val="008F26C1"/>
    <w:rsid w:val="008F26F2"/>
    <w:rsid w:val="008F2FE1"/>
    <w:rsid w:val="008F3FE6"/>
    <w:rsid w:val="008F4619"/>
    <w:rsid w:val="008F4F5D"/>
    <w:rsid w:val="008F4FEA"/>
    <w:rsid w:val="008F5628"/>
    <w:rsid w:val="008F59C1"/>
    <w:rsid w:val="008F5B20"/>
    <w:rsid w:val="008F5BD9"/>
    <w:rsid w:val="008F5CDD"/>
    <w:rsid w:val="008F5E20"/>
    <w:rsid w:val="008F633A"/>
    <w:rsid w:val="008F64FA"/>
    <w:rsid w:val="008F6F40"/>
    <w:rsid w:val="008F710A"/>
    <w:rsid w:val="008F77B0"/>
    <w:rsid w:val="00900322"/>
    <w:rsid w:val="00901857"/>
    <w:rsid w:val="00901C42"/>
    <w:rsid w:val="00903806"/>
    <w:rsid w:val="00903C09"/>
    <w:rsid w:val="00903DCC"/>
    <w:rsid w:val="00903EF2"/>
    <w:rsid w:val="009044B2"/>
    <w:rsid w:val="009050FC"/>
    <w:rsid w:val="009051C6"/>
    <w:rsid w:val="00905283"/>
    <w:rsid w:val="009058F2"/>
    <w:rsid w:val="00906245"/>
    <w:rsid w:val="009063E6"/>
    <w:rsid w:val="009064BE"/>
    <w:rsid w:val="00906C3E"/>
    <w:rsid w:val="009070B4"/>
    <w:rsid w:val="00907928"/>
    <w:rsid w:val="00907E92"/>
    <w:rsid w:val="009102D3"/>
    <w:rsid w:val="0091047D"/>
    <w:rsid w:val="0091050C"/>
    <w:rsid w:val="009108AD"/>
    <w:rsid w:val="00910F6D"/>
    <w:rsid w:val="009117F9"/>
    <w:rsid w:val="009119C9"/>
    <w:rsid w:val="00911A54"/>
    <w:rsid w:val="00911FCD"/>
    <w:rsid w:val="00912100"/>
    <w:rsid w:val="0091247F"/>
    <w:rsid w:val="00912678"/>
    <w:rsid w:val="00912BB8"/>
    <w:rsid w:val="00912E1D"/>
    <w:rsid w:val="00913013"/>
    <w:rsid w:val="0091326E"/>
    <w:rsid w:val="00913325"/>
    <w:rsid w:val="0091334C"/>
    <w:rsid w:val="00913CDF"/>
    <w:rsid w:val="009141D8"/>
    <w:rsid w:val="00914283"/>
    <w:rsid w:val="0091466F"/>
    <w:rsid w:val="00914849"/>
    <w:rsid w:val="00914B14"/>
    <w:rsid w:val="00915342"/>
    <w:rsid w:val="00915480"/>
    <w:rsid w:val="00915612"/>
    <w:rsid w:val="00915706"/>
    <w:rsid w:val="009159B6"/>
    <w:rsid w:val="00915A4C"/>
    <w:rsid w:val="00915BCA"/>
    <w:rsid w:val="00915DDB"/>
    <w:rsid w:val="00915FC2"/>
    <w:rsid w:val="00916073"/>
    <w:rsid w:val="009165B8"/>
    <w:rsid w:val="00916A31"/>
    <w:rsid w:val="0091716E"/>
    <w:rsid w:val="00917936"/>
    <w:rsid w:val="009179B8"/>
    <w:rsid w:val="00917B77"/>
    <w:rsid w:val="00917E3F"/>
    <w:rsid w:val="00920174"/>
    <w:rsid w:val="00920278"/>
    <w:rsid w:val="00920B1D"/>
    <w:rsid w:val="009212D0"/>
    <w:rsid w:val="009214FA"/>
    <w:rsid w:val="00922290"/>
    <w:rsid w:val="0092239F"/>
    <w:rsid w:val="009223B7"/>
    <w:rsid w:val="009236A1"/>
    <w:rsid w:val="00923F33"/>
    <w:rsid w:val="00924333"/>
    <w:rsid w:val="00924649"/>
    <w:rsid w:val="00924A0D"/>
    <w:rsid w:val="00925447"/>
    <w:rsid w:val="009256D9"/>
    <w:rsid w:val="00925EE7"/>
    <w:rsid w:val="009261F0"/>
    <w:rsid w:val="00926672"/>
    <w:rsid w:val="00926696"/>
    <w:rsid w:val="0092673A"/>
    <w:rsid w:val="009268C7"/>
    <w:rsid w:val="009270D9"/>
    <w:rsid w:val="009271F2"/>
    <w:rsid w:val="00927468"/>
    <w:rsid w:val="0092764D"/>
    <w:rsid w:val="00927F11"/>
    <w:rsid w:val="0093007E"/>
    <w:rsid w:val="00930406"/>
    <w:rsid w:val="009310C2"/>
    <w:rsid w:val="0093138D"/>
    <w:rsid w:val="009315FB"/>
    <w:rsid w:val="00931AD7"/>
    <w:rsid w:val="00931F94"/>
    <w:rsid w:val="009329FE"/>
    <w:rsid w:val="00933E45"/>
    <w:rsid w:val="009347D2"/>
    <w:rsid w:val="00934809"/>
    <w:rsid w:val="00935BE4"/>
    <w:rsid w:val="00935C94"/>
    <w:rsid w:val="00936AAF"/>
    <w:rsid w:val="00936EF9"/>
    <w:rsid w:val="00937121"/>
    <w:rsid w:val="00937234"/>
    <w:rsid w:val="00937E15"/>
    <w:rsid w:val="009400D3"/>
    <w:rsid w:val="0094060F"/>
    <w:rsid w:val="0094084E"/>
    <w:rsid w:val="00941B41"/>
    <w:rsid w:val="009422FA"/>
    <w:rsid w:val="0094254B"/>
    <w:rsid w:val="009426FF"/>
    <w:rsid w:val="00942BC0"/>
    <w:rsid w:val="009431DB"/>
    <w:rsid w:val="00943510"/>
    <w:rsid w:val="00943CF3"/>
    <w:rsid w:val="00943D0D"/>
    <w:rsid w:val="00944268"/>
    <w:rsid w:val="0094439F"/>
    <w:rsid w:val="00944486"/>
    <w:rsid w:val="00944595"/>
    <w:rsid w:val="00944DBF"/>
    <w:rsid w:val="00945462"/>
    <w:rsid w:val="009454E1"/>
    <w:rsid w:val="00945953"/>
    <w:rsid w:val="00945C16"/>
    <w:rsid w:val="00946491"/>
    <w:rsid w:val="009469E6"/>
    <w:rsid w:val="0094745B"/>
    <w:rsid w:val="0094749D"/>
    <w:rsid w:val="00950160"/>
    <w:rsid w:val="00950734"/>
    <w:rsid w:val="00950B2A"/>
    <w:rsid w:val="00950B7C"/>
    <w:rsid w:val="00950CCC"/>
    <w:rsid w:val="0095104F"/>
    <w:rsid w:val="0095169F"/>
    <w:rsid w:val="00951A63"/>
    <w:rsid w:val="00952144"/>
    <w:rsid w:val="00952747"/>
    <w:rsid w:val="009528C6"/>
    <w:rsid w:val="00953CB9"/>
    <w:rsid w:val="009541F0"/>
    <w:rsid w:val="00954C9F"/>
    <w:rsid w:val="00955046"/>
    <w:rsid w:val="00955077"/>
    <w:rsid w:val="009552AB"/>
    <w:rsid w:val="0095641B"/>
    <w:rsid w:val="00956900"/>
    <w:rsid w:val="00956A75"/>
    <w:rsid w:val="00956B17"/>
    <w:rsid w:val="00956BEA"/>
    <w:rsid w:val="00957015"/>
    <w:rsid w:val="00957669"/>
    <w:rsid w:val="0096084A"/>
    <w:rsid w:val="009608D1"/>
    <w:rsid w:val="009608FA"/>
    <w:rsid w:val="00960B3E"/>
    <w:rsid w:val="00961360"/>
    <w:rsid w:val="00961378"/>
    <w:rsid w:val="00961988"/>
    <w:rsid w:val="00961DA7"/>
    <w:rsid w:val="00961ED0"/>
    <w:rsid w:val="00962469"/>
    <w:rsid w:val="00962DB9"/>
    <w:rsid w:val="00963829"/>
    <w:rsid w:val="00964079"/>
    <w:rsid w:val="00964A84"/>
    <w:rsid w:val="00964B09"/>
    <w:rsid w:val="00964B6B"/>
    <w:rsid w:val="009652A4"/>
    <w:rsid w:val="00965372"/>
    <w:rsid w:val="00965707"/>
    <w:rsid w:val="0096580D"/>
    <w:rsid w:val="00965982"/>
    <w:rsid w:val="0096617F"/>
    <w:rsid w:val="009666DE"/>
    <w:rsid w:val="009669B5"/>
    <w:rsid w:val="0096794F"/>
    <w:rsid w:val="0097016B"/>
    <w:rsid w:val="009703B1"/>
    <w:rsid w:val="0097045C"/>
    <w:rsid w:val="0097066A"/>
    <w:rsid w:val="0097084D"/>
    <w:rsid w:val="0097095C"/>
    <w:rsid w:val="00970A05"/>
    <w:rsid w:val="00970A71"/>
    <w:rsid w:val="00970B09"/>
    <w:rsid w:val="00970DD7"/>
    <w:rsid w:val="00971039"/>
    <w:rsid w:val="00971271"/>
    <w:rsid w:val="009718AF"/>
    <w:rsid w:val="00972493"/>
    <w:rsid w:val="009727A2"/>
    <w:rsid w:val="00972842"/>
    <w:rsid w:val="00972BAC"/>
    <w:rsid w:val="00973145"/>
    <w:rsid w:val="00973A4C"/>
    <w:rsid w:val="00973B72"/>
    <w:rsid w:val="00973FE5"/>
    <w:rsid w:val="00975397"/>
    <w:rsid w:val="0097550C"/>
    <w:rsid w:val="00975D01"/>
    <w:rsid w:val="009767FB"/>
    <w:rsid w:val="009770EA"/>
    <w:rsid w:val="00977519"/>
    <w:rsid w:val="00977A5F"/>
    <w:rsid w:val="00977F15"/>
    <w:rsid w:val="00980155"/>
    <w:rsid w:val="0098044C"/>
    <w:rsid w:val="00980D71"/>
    <w:rsid w:val="00980E6D"/>
    <w:rsid w:val="009810DA"/>
    <w:rsid w:val="009811DE"/>
    <w:rsid w:val="0098191F"/>
    <w:rsid w:val="00981F17"/>
    <w:rsid w:val="00982943"/>
    <w:rsid w:val="00982DE9"/>
    <w:rsid w:val="00983296"/>
    <w:rsid w:val="009836BA"/>
    <w:rsid w:val="00983B45"/>
    <w:rsid w:val="00983CD7"/>
    <w:rsid w:val="00983D2D"/>
    <w:rsid w:val="00984033"/>
    <w:rsid w:val="0098474D"/>
    <w:rsid w:val="009849E9"/>
    <w:rsid w:val="009850C9"/>
    <w:rsid w:val="00985155"/>
    <w:rsid w:val="00985C9F"/>
    <w:rsid w:val="009864C7"/>
    <w:rsid w:val="00987136"/>
    <w:rsid w:val="00987BD3"/>
    <w:rsid w:val="00987D04"/>
    <w:rsid w:val="00990021"/>
    <w:rsid w:val="00990246"/>
    <w:rsid w:val="00990646"/>
    <w:rsid w:val="009906E5"/>
    <w:rsid w:val="00990EDA"/>
    <w:rsid w:val="009917EB"/>
    <w:rsid w:val="00991834"/>
    <w:rsid w:val="00991B53"/>
    <w:rsid w:val="00991EA1"/>
    <w:rsid w:val="00992826"/>
    <w:rsid w:val="00992863"/>
    <w:rsid w:val="00992D50"/>
    <w:rsid w:val="009934F3"/>
    <w:rsid w:val="009935A2"/>
    <w:rsid w:val="00993618"/>
    <w:rsid w:val="00993775"/>
    <w:rsid w:val="00994116"/>
    <w:rsid w:val="00994141"/>
    <w:rsid w:val="00994264"/>
    <w:rsid w:val="0099493B"/>
    <w:rsid w:val="00994B73"/>
    <w:rsid w:val="0099509E"/>
    <w:rsid w:val="00995547"/>
    <w:rsid w:val="00995D03"/>
    <w:rsid w:val="009969EE"/>
    <w:rsid w:val="00996A7C"/>
    <w:rsid w:val="0099705A"/>
    <w:rsid w:val="0099776D"/>
    <w:rsid w:val="009A07E9"/>
    <w:rsid w:val="009A097A"/>
    <w:rsid w:val="009A0B83"/>
    <w:rsid w:val="009A0CD3"/>
    <w:rsid w:val="009A1044"/>
    <w:rsid w:val="009A126B"/>
    <w:rsid w:val="009A1270"/>
    <w:rsid w:val="009A12D4"/>
    <w:rsid w:val="009A15D5"/>
    <w:rsid w:val="009A18BA"/>
    <w:rsid w:val="009A1B96"/>
    <w:rsid w:val="009A1D6E"/>
    <w:rsid w:val="009A1E5A"/>
    <w:rsid w:val="009A25EB"/>
    <w:rsid w:val="009A2671"/>
    <w:rsid w:val="009A2D5F"/>
    <w:rsid w:val="009A33D9"/>
    <w:rsid w:val="009A40B0"/>
    <w:rsid w:val="009A4495"/>
    <w:rsid w:val="009A465F"/>
    <w:rsid w:val="009A55FB"/>
    <w:rsid w:val="009A59ED"/>
    <w:rsid w:val="009A6399"/>
    <w:rsid w:val="009A65A6"/>
    <w:rsid w:val="009A7D3D"/>
    <w:rsid w:val="009A7DB8"/>
    <w:rsid w:val="009B011D"/>
    <w:rsid w:val="009B0165"/>
    <w:rsid w:val="009B0E96"/>
    <w:rsid w:val="009B16C9"/>
    <w:rsid w:val="009B2A0C"/>
    <w:rsid w:val="009B339A"/>
    <w:rsid w:val="009B3CCA"/>
    <w:rsid w:val="009B4907"/>
    <w:rsid w:val="009B52BB"/>
    <w:rsid w:val="009B53D8"/>
    <w:rsid w:val="009B5566"/>
    <w:rsid w:val="009B5E24"/>
    <w:rsid w:val="009B612E"/>
    <w:rsid w:val="009B6395"/>
    <w:rsid w:val="009B7011"/>
    <w:rsid w:val="009B70DE"/>
    <w:rsid w:val="009C07B3"/>
    <w:rsid w:val="009C0976"/>
    <w:rsid w:val="009C0BF4"/>
    <w:rsid w:val="009C137A"/>
    <w:rsid w:val="009C1BCC"/>
    <w:rsid w:val="009C2253"/>
    <w:rsid w:val="009C2A86"/>
    <w:rsid w:val="009C2B5A"/>
    <w:rsid w:val="009C39DA"/>
    <w:rsid w:val="009C3A63"/>
    <w:rsid w:val="009C4057"/>
    <w:rsid w:val="009C438E"/>
    <w:rsid w:val="009C47A4"/>
    <w:rsid w:val="009C50CF"/>
    <w:rsid w:val="009C628F"/>
    <w:rsid w:val="009C6D7A"/>
    <w:rsid w:val="009D0140"/>
    <w:rsid w:val="009D0501"/>
    <w:rsid w:val="009D0721"/>
    <w:rsid w:val="009D0801"/>
    <w:rsid w:val="009D0D2F"/>
    <w:rsid w:val="009D0DD1"/>
    <w:rsid w:val="009D10F7"/>
    <w:rsid w:val="009D11CD"/>
    <w:rsid w:val="009D12B5"/>
    <w:rsid w:val="009D145F"/>
    <w:rsid w:val="009D31E8"/>
    <w:rsid w:val="009D34D6"/>
    <w:rsid w:val="009D4ED8"/>
    <w:rsid w:val="009D5286"/>
    <w:rsid w:val="009D576C"/>
    <w:rsid w:val="009D5926"/>
    <w:rsid w:val="009D59AF"/>
    <w:rsid w:val="009D6361"/>
    <w:rsid w:val="009D64A2"/>
    <w:rsid w:val="009D6C8B"/>
    <w:rsid w:val="009D752E"/>
    <w:rsid w:val="009D7533"/>
    <w:rsid w:val="009D75C4"/>
    <w:rsid w:val="009D7B04"/>
    <w:rsid w:val="009D7F33"/>
    <w:rsid w:val="009E0C35"/>
    <w:rsid w:val="009E1237"/>
    <w:rsid w:val="009E1F99"/>
    <w:rsid w:val="009E2344"/>
    <w:rsid w:val="009E2A22"/>
    <w:rsid w:val="009E318B"/>
    <w:rsid w:val="009E36AC"/>
    <w:rsid w:val="009E36DB"/>
    <w:rsid w:val="009E40CF"/>
    <w:rsid w:val="009E41C2"/>
    <w:rsid w:val="009E4B90"/>
    <w:rsid w:val="009E4E69"/>
    <w:rsid w:val="009E4EAB"/>
    <w:rsid w:val="009E5138"/>
    <w:rsid w:val="009E52DF"/>
    <w:rsid w:val="009E5A39"/>
    <w:rsid w:val="009E5A87"/>
    <w:rsid w:val="009E5B72"/>
    <w:rsid w:val="009E6362"/>
    <w:rsid w:val="009E654A"/>
    <w:rsid w:val="009E6FC7"/>
    <w:rsid w:val="009E7F82"/>
    <w:rsid w:val="009F071A"/>
    <w:rsid w:val="009F09D9"/>
    <w:rsid w:val="009F0C5D"/>
    <w:rsid w:val="009F0D03"/>
    <w:rsid w:val="009F0D2F"/>
    <w:rsid w:val="009F0DCB"/>
    <w:rsid w:val="009F13FA"/>
    <w:rsid w:val="009F15DE"/>
    <w:rsid w:val="009F1B73"/>
    <w:rsid w:val="009F2000"/>
    <w:rsid w:val="009F2004"/>
    <w:rsid w:val="009F2286"/>
    <w:rsid w:val="009F23BB"/>
    <w:rsid w:val="009F2954"/>
    <w:rsid w:val="009F2A20"/>
    <w:rsid w:val="009F2E46"/>
    <w:rsid w:val="009F3109"/>
    <w:rsid w:val="009F3623"/>
    <w:rsid w:val="009F3A28"/>
    <w:rsid w:val="009F3DEC"/>
    <w:rsid w:val="009F48D9"/>
    <w:rsid w:val="009F4AF1"/>
    <w:rsid w:val="009F5042"/>
    <w:rsid w:val="009F517C"/>
    <w:rsid w:val="009F583B"/>
    <w:rsid w:val="009F678E"/>
    <w:rsid w:val="009F76AC"/>
    <w:rsid w:val="00A00501"/>
    <w:rsid w:val="00A00557"/>
    <w:rsid w:val="00A01206"/>
    <w:rsid w:val="00A01241"/>
    <w:rsid w:val="00A0124B"/>
    <w:rsid w:val="00A013E3"/>
    <w:rsid w:val="00A01740"/>
    <w:rsid w:val="00A01873"/>
    <w:rsid w:val="00A01ABD"/>
    <w:rsid w:val="00A02761"/>
    <w:rsid w:val="00A027A3"/>
    <w:rsid w:val="00A02FA9"/>
    <w:rsid w:val="00A03321"/>
    <w:rsid w:val="00A03400"/>
    <w:rsid w:val="00A03B44"/>
    <w:rsid w:val="00A03FC6"/>
    <w:rsid w:val="00A04485"/>
    <w:rsid w:val="00A0471B"/>
    <w:rsid w:val="00A04D47"/>
    <w:rsid w:val="00A06631"/>
    <w:rsid w:val="00A072FE"/>
    <w:rsid w:val="00A07F65"/>
    <w:rsid w:val="00A10024"/>
    <w:rsid w:val="00A10068"/>
    <w:rsid w:val="00A103F3"/>
    <w:rsid w:val="00A1087F"/>
    <w:rsid w:val="00A10F03"/>
    <w:rsid w:val="00A1242F"/>
    <w:rsid w:val="00A12D8A"/>
    <w:rsid w:val="00A12F44"/>
    <w:rsid w:val="00A1318A"/>
    <w:rsid w:val="00A13D41"/>
    <w:rsid w:val="00A141A3"/>
    <w:rsid w:val="00A15B31"/>
    <w:rsid w:val="00A16799"/>
    <w:rsid w:val="00A16B73"/>
    <w:rsid w:val="00A16EA7"/>
    <w:rsid w:val="00A17270"/>
    <w:rsid w:val="00A17394"/>
    <w:rsid w:val="00A20231"/>
    <w:rsid w:val="00A21038"/>
    <w:rsid w:val="00A210AE"/>
    <w:rsid w:val="00A21E35"/>
    <w:rsid w:val="00A223C4"/>
    <w:rsid w:val="00A225AE"/>
    <w:rsid w:val="00A226C1"/>
    <w:rsid w:val="00A226FE"/>
    <w:rsid w:val="00A22860"/>
    <w:rsid w:val="00A22A49"/>
    <w:rsid w:val="00A22F6D"/>
    <w:rsid w:val="00A23D06"/>
    <w:rsid w:val="00A23D6B"/>
    <w:rsid w:val="00A23E7F"/>
    <w:rsid w:val="00A2402F"/>
    <w:rsid w:val="00A24D74"/>
    <w:rsid w:val="00A25231"/>
    <w:rsid w:val="00A253AD"/>
    <w:rsid w:val="00A2639D"/>
    <w:rsid w:val="00A263B8"/>
    <w:rsid w:val="00A2682F"/>
    <w:rsid w:val="00A26C6F"/>
    <w:rsid w:val="00A26E9B"/>
    <w:rsid w:val="00A2723B"/>
    <w:rsid w:val="00A2789A"/>
    <w:rsid w:val="00A27B38"/>
    <w:rsid w:val="00A27EA6"/>
    <w:rsid w:val="00A30135"/>
    <w:rsid w:val="00A3075C"/>
    <w:rsid w:val="00A30EC4"/>
    <w:rsid w:val="00A30F1B"/>
    <w:rsid w:val="00A315BE"/>
    <w:rsid w:val="00A31BE5"/>
    <w:rsid w:val="00A3223B"/>
    <w:rsid w:val="00A32BE3"/>
    <w:rsid w:val="00A32D84"/>
    <w:rsid w:val="00A32F6C"/>
    <w:rsid w:val="00A341BB"/>
    <w:rsid w:val="00A34319"/>
    <w:rsid w:val="00A345F9"/>
    <w:rsid w:val="00A34627"/>
    <w:rsid w:val="00A34E3F"/>
    <w:rsid w:val="00A35498"/>
    <w:rsid w:val="00A35A48"/>
    <w:rsid w:val="00A364FA"/>
    <w:rsid w:val="00A366D9"/>
    <w:rsid w:val="00A37117"/>
    <w:rsid w:val="00A372A7"/>
    <w:rsid w:val="00A37A47"/>
    <w:rsid w:val="00A37F75"/>
    <w:rsid w:val="00A40698"/>
    <w:rsid w:val="00A40CFC"/>
    <w:rsid w:val="00A40D88"/>
    <w:rsid w:val="00A40FF2"/>
    <w:rsid w:val="00A4148B"/>
    <w:rsid w:val="00A41677"/>
    <w:rsid w:val="00A41ECF"/>
    <w:rsid w:val="00A42004"/>
    <w:rsid w:val="00A42279"/>
    <w:rsid w:val="00A4281F"/>
    <w:rsid w:val="00A42A4E"/>
    <w:rsid w:val="00A4318D"/>
    <w:rsid w:val="00A43341"/>
    <w:rsid w:val="00A4340D"/>
    <w:rsid w:val="00A43B64"/>
    <w:rsid w:val="00A44056"/>
    <w:rsid w:val="00A44313"/>
    <w:rsid w:val="00A449D5"/>
    <w:rsid w:val="00A44F60"/>
    <w:rsid w:val="00A45643"/>
    <w:rsid w:val="00A45D76"/>
    <w:rsid w:val="00A4651E"/>
    <w:rsid w:val="00A47070"/>
    <w:rsid w:val="00A47889"/>
    <w:rsid w:val="00A5009D"/>
    <w:rsid w:val="00A50F06"/>
    <w:rsid w:val="00A50F0C"/>
    <w:rsid w:val="00A5140C"/>
    <w:rsid w:val="00A51455"/>
    <w:rsid w:val="00A519D5"/>
    <w:rsid w:val="00A51A20"/>
    <w:rsid w:val="00A51C78"/>
    <w:rsid w:val="00A52922"/>
    <w:rsid w:val="00A53501"/>
    <w:rsid w:val="00A536B7"/>
    <w:rsid w:val="00A5390C"/>
    <w:rsid w:val="00A53A22"/>
    <w:rsid w:val="00A53E0B"/>
    <w:rsid w:val="00A5415F"/>
    <w:rsid w:val="00A54404"/>
    <w:rsid w:val="00A54DEB"/>
    <w:rsid w:val="00A54E1E"/>
    <w:rsid w:val="00A55088"/>
    <w:rsid w:val="00A55271"/>
    <w:rsid w:val="00A5553B"/>
    <w:rsid w:val="00A55761"/>
    <w:rsid w:val="00A55DCE"/>
    <w:rsid w:val="00A5600C"/>
    <w:rsid w:val="00A56EE5"/>
    <w:rsid w:val="00A575AF"/>
    <w:rsid w:val="00A57A07"/>
    <w:rsid w:val="00A57E38"/>
    <w:rsid w:val="00A60D76"/>
    <w:rsid w:val="00A611E0"/>
    <w:rsid w:val="00A61FC8"/>
    <w:rsid w:val="00A62931"/>
    <w:rsid w:val="00A62CB5"/>
    <w:rsid w:val="00A63204"/>
    <w:rsid w:val="00A6358E"/>
    <w:rsid w:val="00A63822"/>
    <w:rsid w:val="00A63973"/>
    <w:rsid w:val="00A63C3A"/>
    <w:rsid w:val="00A63DE7"/>
    <w:rsid w:val="00A6416F"/>
    <w:rsid w:val="00A642F5"/>
    <w:rsid w:val="00A64D48"/>
    <w:rsid w:val="00A64E01"/>
    <w:rsid w:val="00A6513D"/>
    <w:rsid w:val="00A656EC"/>
    <w:rsid w:val="00A65AD6"/>
    <w:rsid w:val="00A65DC4"/>
    <w:rsid w:val="00A65DE5"/>
    <w:rsid w:val="00A660D4"/>
    <w:rsid w:val="00A66623"/>
    <w:rsid w:val="00A6698D"/>
    <w:rsid w:val="00A6734A"/>
    <w:rsid w:val="00A67651"/>
    <w:rsid w:val="00A70277"/>
    <w:rsid w:val="00A7083A"/>
    <w:rsid w:val="00A7121E"/>
    <w:rsid w:val="00A71353"/>
    <w:rsid w:val="00A718EA"/>
    <w:rsid w:val="00A71C9E"/>
    <w:rsid w:val="00A727C8"/>
    <w:rsid w:val="00A72A80"/>
    <w:rsid w:val="00A73094"/>
    <w:rsid w:val="00A738FD"/>
    <w:rsid w:val="00A73B04"/>
    <w:rsid w:val="00A73C67"/>
    <w:rsid w:val="00A73E55"/>
    <w:rsid w:val="00A7434D"/>
    <w:rsid w:val="00A745AC"/>
    <w:rsid w:val="00A7467D"/>
    <w:rsid w:val="00A746AD"/>
    <w:rsid w:val="00A7503D"/>
    <w:rsid w:val="00A751CB"/>
    <w:rsid w:val="00A759B5"/>
    <w:rsid w:val="00A765B3"/>
    <w:rsid w:val="00A77A04"/>
    <w:rsid w:val="00A77B87"/>
    <w:rsid w:val="00A8045B"/>
    <w:rsid w:val="00A80880"/>
    <w:rsid w:val="00A81445"/>
    <w:rsid w:val="00A81B68"/>
    <w:rsid w:val="00A81BF9"/>
    <w:rsid w:val="00A81F39"/>
    <w:rsid w:val="00A82639"/>
    <w:rsid w:val="00A82690"/>
    <w:rsid w:val="00A8275B"/>
    <w:rsid w:val="00A82AD9"/>
    <w:rsid w:val="00A82DFD"/>
    <w:rsid w:val="00A8336A"/>
    <w:rsid w:val="00A83459"/>
    <w:rsid w:val="00A8377C"/>
    <w:rsid w:val="00A837B1"/>
    <w:rsid w:val="00A838B6"/>
    <w:rsid w:val="00A83BC9"/>
    <w:rsid w:val="00A84307"/>
    <w:rsid w:val="00A84309"/>
    <w:rsid w:val="00A84666"/>
    <w:rsid w:val="00A84679"/>
    <w:rsid w:val="00A856B4"/>
    <w:rsid w:val="00A856B8"/>
    <w:rsid w:val="00A86686"/>
    <w:rsid w:val="00A86789"/>
    <w:rsid w:val="00A86B23"/>
    <w:rsid w:val="00A8791A"/>
    <w:rsid w:val="00A87B26"/>
    <w:rsid w:val="00A9021A"/>
    <w:rsid w:val="00A90372"/>
    <w:rsid w:val="00A909B9"/>
    <w:rsid w:val="00A9111F"/>
    <w:rsid w:val="00A919D3"/>
    <w:rsid w:val="00A9215D"/>
    <w:rsid w:val="00A921ED"/>
    <w:rsid w:val="00A92787"/>
    <w:rsid w:val="00A9300C"/>
    <w:rsid w:val="00A9424F"/>
    <w:rsid w:val="00A9483A"/>
    <w:rsid w:val="00A94ACE"/>
    <w:rsid w:val="00A95011"/>
    <w:rsid w:val="00A95148"/>
    <w:rsid w:val="00A9543E"/>
    <w:rsid w:val="00A956D2"/>
    <w:rsid w:val="00A95AAF"/>
    <w:rsid w:val="00A95AFD"/>
    <w:rsid w:val="00A96B1C"/>
    <w:rsid w:val="00A96BF3"/>
    <w:rsid w:val="00A96FB5"/>
    <w:rsid w:val="00A9700A"/>
    <w:rsid w:val="00A97C69"/>
    <w:rsid w:val="00AA1386"/>
    <w:rsid w:val="00AA1748"/>
    <w:rsid w:val="00AA1AB8"/>
    <w:rsid w:val="00AA1B8A"/>
    <w:rsid w:val="00AA2E58"/>
    <w:rsid w:val="00AA2F0E"/>
    <w:rsid w:val="00AA2F81"/>
    <w:rsid w:val="00AA3981"/>
    <w:rsid w:val="00AA41CA"/>
    <w:rsid w:val="00AA49A6"/>
    <w:rsid w:val="00AA4F65"/>
    <w:rsid w:val="00AA55B6"/>
    <w:rsid w:val="00AA5643"/>
    <w:rsid w:val="00AA5C05"/>
    <w:rsid w:val="00AA642E"/>
    <w:rsid w:val="00AA6734"/>
    <w:rsid w:val="00AA6B1B"/>
    <w:rsid w:val="00AA7273"/>
    <w:rsid w:val="00AA7BFB"/>
    <w:rsid w:val="00AB0325"/>
    <w:rsid w:val="00AB0770"/>
    <w:rsid w:val="00AB0863"/>
    <w:rsid w:val="00AB0ABE"/>
    <w:rsid w:val="00AB112B"/>
    <w:rsid w:val="00AB26A4"/>
    <w:rsid w:val="00AB271B"/>
    <w:rsid w:val="00AB350A"/>
    <w:rsid w:val="00AB3638"/>
    <w:rsid w:val="00AB3740"/>
    <w:rsid w:val="00AB3933"/>
    <w:rsid w:val="00AB3C83"/>
    <w:rsid w:val="00AB41C8"/>
    <w:rsid w:val="00AB433B"/>
    <w:rsid w:val="00AB484C"/>
    <w:rsid w:val="00AB5658"/>
    <w:rsid w:val="00AB57E2"/>
    <w:rsid w:val="00AB5EFC"/>
    <w:rsid w:val="00AB5F40"/>
    <w:rsid w:val="00AB6447"/>
    <w:rsid w:val="00AB6800"/>
    <w:rsid w:val="00AB6DA8"/>
    <w:rsid w:val="00AB6DB6"/>
    <w:rsid w:val="00AB6F70"/>
    <w:rsid w:val="00AB72FA"/>
    <w:rsid w:val="00AB73DF"/>
    <w:rsid w:val="00AB775B"/>
    <w:rsid w:val="00AB7827"/>
    <w:rsid w:val="00AB7DDC"/>
    <w:rsid w:val="00AC07A4"/>
    <w:rsid w:val="00AC09F3"/>
    <w:rsid w:val="00AC180C"/>
    <w:rsid w:val="00AC1C87"/>
    <w:rsid w:val="00AC2197"/>
    <w:rsid w:val="00AC22A1"/>
    <w:rsid w:val="00AC23F8"/>
    <w:rsid w:val="00AC2C6D"/>
    <w:rsid w:val="00AC2D0F"/>
    <w:rsid w:val="00AC2E48"/>
    <w:rsid w:val="00AC2F6C"/>
    <w:rsid w:val="00AC3152"/>
    <w:rsid w:val="00AC35F9"/>
    <w:rsid w:val="00AC3652"/>
    <w:rsid w:val="00AC3754"/>
    <w:rsid w:val="00AC37AB"/>
    <w:rsid w:val="00AC3B21"/>
    <w:rsid w:val="00AC3C8D"/>
    <w:rsid w:val="00AC3D45"/>
    <w:rsid w:val="00AC3DFD"/>
    <w:rsid w:val="00AC4536"/>
    <w:rsid w:val="00AC4AC6"/>
    <w:rsid w:val="00AC4F33"/>
    <w:rsid w:val="00AC503D"/>
    <w:rsid w:val="00AC5101"/>
    <w:rsid w:val="00AC5275"/>
    <w:rsid w:val="00AC56AA"/>
    <w:rsid w:val="00AC5978"/>
    <w:rsid w:val="00AC5FF3"/>
    <w:rsid w:val="00AC6025"/>
    <w:rsid w:val="00AC602D"/>
    <w:rsid w:val="00AC612D"/>
    <w:rsid w:val="00AC6BE6"/>
    <w:rsid w:val="00AC6EBB"/>
    <w:rsid w:val="00AC6ECF"/>
    <w:rsid w:val="00AC71F0"/>
    <w:rsid w:val="00AC73DF"/>
    <w:rsid w:val="00AC7878"/>
    <w:rsid w:val="00AC7D9D"/>
    <w:rsid w:val="00AD0BA7"/>
    <w:rsid w:val="00AD20CF"/>
    <w:rsid w:val="00AD371F"/>
    <w:rsid w:val="00AD38DB"/>
    <w:rsid w:val="00AD4437"/>
    <w:rsid w:val="00AD47D2"/>
    <w:rsid w:val="00AD4AD2"/>
    <w:rsid w:val="00AD530E"/>
    <w:rsid w:val="00AD55A8"/>
    <w:rsid w:val="00AD580A"/>
    <w:rsid w:val="00AD5AE1"/>
    <w:rsid w:val="00AD61FF"/>
    <w:rsid w:val="00AD75D8"/>
    <w:rsid w:val="00AD7AEF"/>
    <w:rsid w:val="00AD7CC1"/>
    <w:rsid w:val="00AD7CDB"/>
    <w:rsid w:val="00AD7D74"/>
    <w:rsid w:val="00AE2012"/>
    <w:rsid w:val="00AE2842"/>
    <w:rsid w:val="00AE2AB2"/>
    <w:rsid w:val="00AE2BE5"/>
    <w:rsid w:val="00AE3205"/>
    <w:rsid w:val="00AE3ED7"/>
    <w:rsid w:val="00AE3FFD"/>
    <w:rsid w:val="00AE432C"/>
    <w:rsid w:val="00AE448D"/>
    <w:rsid w:val="00AE4CB3"/>
    <w:rsid w:val="00AE4DD4"/>
    <w:rsid w:val="00AE4FE8"/>
    <w:rsid w:val="00AE5034"/>
    <w:rsid w:val="00AE5181"/>
    <w:rsid w:val="00AE5502"/>
    <w:rsid w:val="00AE59E7"/>
    <w:rsid w:val="00AE5A81"/>
    <w:rsid w:val="00AE5CDE"/>
    <w:rsid w:val="00AE5FDE"/>
    <w:rsid w:val="00AE61BC"/>
    <w:rsid w:val="00AE623B"/>
    <w:rsid w:val="00AE637E"/>
    <w:rsid w:val="00AE6425"/>
    <w:rsid w:val="00AE663C"/>
    <w:rsid w:val="00AE6684"/>
    <w:rsid w:val="00AE6F70"/>
    <w:rsid w:val="00AE70CA"/>
    <w:rsid w:val="00AE73A2"/>
    <w:rsid w:val="00AE77D4"/>
    <w:rsid w:val="00AF03AB"/>
    <w:rsid w:val="00AF0486"/>
    <w:rsid w:val="00AF0DA9"/>
    <w:rsid w:val="00AF0EF9"/>
    <w:rsid w:val="00AF1430"/>
    <w:rsid w:val="00AF15F1"/>
    <w:rsid w:val="00AF1743"/>
    <w:rsid w:val="00AF1870"/>
    <w:rsid w:val="00AF1FDA"/>
    <w:rsid w:val="00AF1FFD"/>
    <w:rsid w:val="00AF23AF"/>
    <w:rsid w:val="00AF33A3"/>
    <w:rsid w:val="00AF373E"/>
    <w:rsid w:val="00AF37A2"/>
    <w:rsid w:val="00AF4946"/>
    <w:rsid w:val="00AF4FD3"/>
    <w:rsid w:val="00AF54D2"/>
    <w:rsid w:val="00AF5986"/>
    <w:rsid w:val="00AF5D6F"/>
    <w:rsid w:val="00AF5E74"/>
    <w:rsid w:val="00AF676B"/>
    <w:rsid w:val="00AF6E7F"/>
    <w:rsid w:val="00AF711D"/>
    <w:rsid w:val="00AF7549"/>
    <w:rsid w:val="00AF7EA9"/>
    <w:rsid w:val="00B000B7"/>
    <w:rsid w:val="00B0017A"/>
    <w:rsid w:val="00B00212"/>
    <w:rsid w:val="00B0041B"/>
    <w:rsid w:val="00B009B8"/>
    <w:rsid w:val="00B00BD8"/>
    <w:rsid w:val="00B00D04"/>
    <w:rsid w:val="00B015AD"/>
    <w:rsid w:val="00B015FD"/>
    <w:rsid w:val="00B01FD5"/>
    <w:rsid w:val="00B021FC"/>
    <w:rsid w:val="00B022D4"/>
    <w:rsid w:val="00B024C5"/>
    <w:rsid w:val="00B025B5"/>
    <w:rsid w:val="00B02718"/>
    <w:rsid w:val="00B02AD6"/>
    <w:rsid w:val="00B02D65"/>
    <w:rsid w:val="00B0311C"/>
    <w:rsid w:val="00B03AD7"/>
    <w:rsid w:val="00B03E72"/>
    <w:rsid w:val="00B03F21"/>
    <w:rsid w:val="00B04232"/>
    <w:rsid w:val="00B044CD"/>
    <w:rsid w:val="00B04D08"/>
    <w:rsid w:val="00B056AF"/>
    <w:rsid w:val="00B05EE6"/>
    <w:rsid w:val="00B073C5"/>
    <w:rsid w:val="00B0752C"/>
    <w:rsid w:val="00B10070"/>
    <w:rsid w:val="00B1077D"/>
    <w:rsid w:val="00B10D24"/>
    <w:rsid w:val="00B110E8"/>
    <w:rsid w:val="00B118D5"/>
    <w:rsid w:val="00B11A85"/>
    <w:rsid w:val="00B11AC2"/>
    <w:rsid w:val="00B11D17"/>
    <w:rsid w:val="00B11E1E"/>
    <w:rsid w:val="00B122A1"/>
    <w:rsid w:val="00B127A8"/>
    <w:rsid w:val="00B12927"/>
    <w:rsid w:val="00B1321C"/>
    <w:rsid w:val="00B135FA"/>
    <w:rsid w:val="00B13614"/>
    <w:rsid w:val="00B1363E"/>
    <w:rsid w:val="00B13AF8"/>
    <w:rsid w:val="00B13F03"/>
    <w:rsid w:val="00B13F07"/>
    <w:rsid w:val="00B14084"/>
    <w:rsid w:val="00B14EFE"/>
    <w:rsid w:val="00B1509F"/>
    <w:rsid w:val="00B15AD5"/>
    <w:rsid w:val="00B15B29"/>
    <w:rsid w:val="00B160BB"/>
    <w:rsid w:val="00B160FB"/>
    <w:rsid w:val="00B17442"/>
    <w:rsid w:val="00B2047C"/>
    <w:rsid w:val="00B20C6C"/>
    <w:rsid w:val="00B21539"/>
    <w:rsid w:val="00B22144"/>
    <w:rsid w:val="00B222E7"/>
    <w:rsid w:val="00B22760"/>
    <w:rsid w:val="00B228E8"/>
    <w:rsid w:val="00B22A3B"/>
    <w:rsid w:val="00B22B6B"/>
    <w:rsid w:val="00B22D79"/>
    <w:rsid w:val="00B22F7E"/>
    <w:rsid w:val="00B23A44"/>
    <w:rsid w:val="00B23D10"/>
    <w:rsid w:val="00B23F18"/>
    <w:rsid w:val="00B24057"/>
    <w:rsid w:val="00B2444E"/>
    <w:rsid w:val="00B247C4"/>
    <w:rsid w:val="00B24DB8"/>
    <w:rsid w:val="00B250C9"/>
    <w:rsid w:val="00B25274"/>
    <w:rsid w:val="00B2550D"/>
    <w:rsid w:val="00B25677"/>
    <w:rsid w:val="00B260A3"/>
    <w:rsid w:val="00B2627A"/>
    <w:rsid w:val="00B262D1"/>
    <w:rsid w:val="00B268BE"/>
    <w:rsid w:val="00B26934"/>
    <w:rsid w:val="00B27560"/>
    <w:rsid w:val="00B27588"/>
    <w:rsid w:val="00B27AF3"/>
    <w:rsid w:val="00B307C8"/>
    <w:rsid w:val="00B31399"/>
    <w:rsid w:val="00B31D27"/>
    <w:rsid w:val="00B31DD2"/>
    <w:rsid w:val="00B3234C"/>
    <w:rsid w:val="00B32ACC"/>
    <w:rsid w:val="00B33D6B"/>
    <w:rsid w:val="00B33DEC"/>
    <w:rsid w:val="00B33E7E"/>
    <w:rsid w:val="00B341ED"/>
    <w:rsid w:val="00B34413"/>
    <w:rsid w:val="00B34737"/>
    <w:rsid w:val="00B347F2"/>
    <w:rsid w:val="00B349BD"/>
    <w:rsid w:val="00B34B64"/>
    <w:rsid w:val="00B35A4E"/>
    <w:rsid w:val="00B364AF"/>
    <w:rsid w:val="00B367C2"/>
    <w:rsid w:val="00B3746C"/>
    <w:rsid w:val="00B3757A"/>
    <w:rsid w:val="00B37652"/>
    <w:rsid w:val="00B40099"/>
    <w:rsid w:val="00B40AEF"/>
    <w:rsid w:val="00B40B27"/>
    <w:rsid w:val="00B40B3C"/>
    <w:rsid w:val="00B41CFD"/>
    <w:rsid w:val="00B41E96"/>
    <w:rsid w:val="00B41EB1"/>
    <w:rsid w:val="00B42001"/>
    <w:rsid w:val="00B42BA0"/>
    <w:rsid w:val="00B42BB0"/>
    <w:rsid w:val="00B42ED0"/>
    <w:rsid w:val="00B4326C"/>
    <w:rsid w:val="00B43BBC"/>
    <w:rsid w:val="00B43D79"/>
    <w:rsid w:val="00B4419F"/>
    <w:rsid w:val="00B442B1"/>
    <w:rsid w:val="00B44697"/>
    <w:rsid w:val="00B449D4"/>
    <w:rsid w:val="00B44D27"/>
    <w:rsid w:val="00B4504A"/>
    <w:rsid w:val="00B45186"/>
    <w:rsid w:val="00B46293"/>
    <w:rsid w:val="00B466C0"/>
    <w:rsid w:val="00B46868"/>
    <w:rsid w:val="00B46C48"/>
    <w:rsid w:val="00B470D8"/>
    <w:rsid w:val="00B47437"/>
    <w:rsid w:val="00B47607"/>
    <w:rsid w:val="00B47B0F"/>
    <w:rsid w:val="00B47C5E"/>
    <w:rsid w:val="00B47D15"/>
    <w:rsid w:val="00B47E83"/>
    <w:rsid w:val="00B505E3"/>
    <w:rsid w:val="00B508FB"/>
    <w:rsid w:val="00B50C4E"/>
    <w:rsid w:val="00B51267"/>
    <w:rsid w:val="00B5199A"/>
    <w:rsid w:val="00B51FF1"/>
    <w:rsid w:val="00B52B6D"/>
    <w:rsid w:val="00B53191"/>
    <w:rsid w:val="00B532DF"/>
    <w:rsid w:val="00B53A2F"/>
    <w:rsid w:val="00B53B19"/>
    <w:rsid w:val="00B54A5B"/>
    <w:rsid w:val="00B55648"/>
    <w:rsid w:val="00B556C9"/>
    <w:rsid w:val="00B55A70"/>
    <w:rsid w:val="00B56098"/>
    <w:rsid w:val="00B5681E"/>
    <w:rsid w:val="00B56A3F"/>
    <w:rsid w:val="00B56F18"/>
    <w:rsid w:val="00B56F8E"/>
    <w:rsid w:val="00B57302"/>
    <w:rsid w:val="00B57330"/>
    <w:rsid w:val="00B5789F"/>
    <w:rsid w:val="00B57E4C"/>
    <w:rsid w:val="00B57E51"/>
    <w:rsid w:val="00B60733"/>
    <w:rsid w:val="00B60DA1"/>
    <w:rsid w:val="00B60FC5"/>
    <w:rsid w:val="00B6125E"/>
    <w:rsid w:val="00B61468"/>
    <w:rsid w:val="00B61B23"/>
    <w:rsid w:val="00B61F0E"/>
    <w:rsid w:val="00B62088"/>
    <w:rsid w:val="00B626FC"/>
    <w:rsid w:val="00B6288A"/>
    <w:rsid w:val="00B634C5"/>
    <w:rsid w:val="00B638F8"/>
    <w:rsid w:val="00B63F41"/>
    <w:rsid w:val="00B64BD5"/>
    <w:rsid w:val="00B65017"/>
    <w:rsid w:val="00B65593"/>
    <w:rsid w:val="00B658AB"/>
    <w:rsid w:val="00B65997"/>
    <w:rsid w:val="00B65DDE"/>
    <w:rsid w:val="00B6692F"/>
    <w:rsid w:val="00B67154"/>
    <w:rsid w:val="00B6733E"/>
    <w:rsid w:val="00B67416"/>
    <w:rsid w:val="00B67A83"/>
    <w:rsid w:val="00B701A9"/>
    <w:rsid w:val="00B704BE"/>
    <w:rsid w:val="00B710AC"/>
    <w:rsid w:val="00B710E4"/>
    <w:rsid w:val="00B71162"/>
    <w:rsid w:val="00B71827"/>
    <w:rsid w:val="00B7193B"/>
    <w:rsid w:val="00B72BC5"/>
    <w:rsid w:val="00B73454"/>
    <w:rsid w:val="00B73463"/>
    <w:rsid w:val="00B73AC9"/>
    <w:rsid w:val="00B73F09"/>
    <w:rsid w:val="00B73FEF"/>
    <w:rsid w:val="00B74470"/>
    <w:rsid w:val="00B74EBB"/>
    <w:rsid w:val="00B74EDE"/>
    <w:rsid w:val="00B753F8"/>
    <w:rsid w:val="00B753F9"/>
    <w:rsid w:val="00B7646F"/>
    <w:rsid w:val="00B767D0"/>
    <w:rsid w:val="00B76CB9"/>
    <w:rsid w:val="00B7718B"/>
    <w:rsid w:val="00B77706"/>
    <w:rsid w:val="00B77ECB"/>
    <w:rsid w:val="00B80095"/>
    <w:rsid w:val="00B8034E"/>
    <w:rsid w:val="00B81305"/>
    <w:rsid w:val="00B81508"/>
    <w:rsid w:val="00B81555"/>
    <w:rsid w:val="00B823E5"/>
    <w:rsid w:val="00B828C5"/>
    <w:rsid w:val="00B83230"/>
    <w:rsid w:val="00B83717"/>
    <w:rsid w:val="00B83723"/>
    <w:rsid w:val="00B83CD6"/>
    <w:rsid w:val="00B84188"/>
    <w:rsid w:val="00B8433E"/>
    <w:rsid w:val="00B867C3"/>
    <w:rsid w:val="00B86E6E"/>
    <w:rsid w:val="00B9019F"/>
    <w:rsid w:val="00B9079C"/>
    <w:rsid w:val="00B907F1"/>
    <w:rsid w:val="00B90937"/>
    <w:rsid w:val="00B912C4"/>
    <w:rsid w:val="00B919BF"/>
    <w:rsid w:val="00B91DDF"/>
    <w:rsid w:val="00B91F11"/>
    <w:rsid w:val="00B91F58"/>
    <w:rsid w:val="00B92A05"/>
    <w:rsid w:val="00B92E1B"/>
    <w:rsid w:val="00B933CD"/>
    <w:rsid w:val="00B93597"/>
    <w:rsid w:val="00B9378E"/>
    <w:rsid w:val="00B940F6"/>
    <w:rsid w:val="00B94554"/>
    <w:rsid w:val="00B94831"/>
    <w:rsid w:val="00B950D8"/>
    <w:rsid w:val="00B959D3"/>
    <w:rsid w:val="00B95A90"/>
    <w:rsid w:val="00B95AD3"/>
    <w:rsid w:val="00B95CDE"/>
    <w:rsid w:val="00B9661A"/>
    <w:rsid w:val="00B96C2B"/>
    <w:rsid w:val="00B96E1A"/>
    <w:rsid w:val="00B96E87"/>
    <w:rsid w:val="00B97321"/>
    <w:rsid w:val="00B9762F"/>
    <w:rsid w:val="00BA0374"/>
    <w:rsid w:val="00BA0686"/>
    <w:rsid w:val="00BA0AA8"/>
    <w:rsid w:val="00BA0BCC"/>
    <w:rsid w:val="00BA140F"/>
    <w:rsid w:val="00BA17A8"/>
    <w:rsid w:val="00BA1D23"/>
    <w:rsid w:val="00BA1F45"/>
    <w:rsid w:val="00BA2017"/>
    <w:rsid w:val="00BA21F7"/>
    <w:rsid w:val="00BA29A3"/>
    <w:rsid w:val="00BA3240"/>
    <w:rsid w:val="00BA33FE"/>
    <w:rsid w:val="00BA34F5"/>
    <w:rsid w:val="00BA3904"/>
    <w:rsid w:val="00BA3DA2"/>
    <w:rsid w:val="00BA50D8"/>
    <w:rsid w:val="00BA535F"/>
    <w:rsid w:val="00BA56D5"/>
    <w:rsid w:val="00BA5A94"/>
    <w:rsid w:val="00BA65F8"/>
    <w:rsid w:val="00BA7310"/>
    <w:rsid w:val="00BA752A"/>
    <w:rsid w:val="00BB0167"/>
    <w:rsid w:val="00BB0654"/>
    <w:rsid w:val="00BB15C4"/>
    <w:rsid w:val="00BB15E7"/>
    <w:rsid w:val="00BB18F0"/>
    <w:rsid w:val="00BB19D8"/>
    <w:rsid w:val="00BB2086"/>
    <w:rsid w:val="00BB3272"/>
    <w:rsid w:val="00BB34ED"/>
    <w:rsid w:val="00BB3ED0"/>
    <w:rsid w:val="00BB407E"/>
    <w:rsid w:val="00BB4460"/>
    <w:rsid w:val="00BB5006"/>
    <w:rsid w:val="00BB5769"/>
    <w:rsid w:val="00BB5C43"/>
    <w:rsid w:val="00BB5C94"/>
    <w:rsid w:val="00BB5F7D"/>
    <w:rsid w:val="00BB614D"/>
    <w:rsid w:val="00BB640C"/>
    <w:rsid w:val="00BB6B66"/>
    <w:rsid w:val="00BB6C9D"/>
    <w:rsid w:val="00BB6E69"/>
    <w:rsid w:val="00BB70D6"/>
    <w:rsid w:val="00BB7399"/>
    <w:rsid w:val="00BB7DAF"/>
    <w:rsid w:val="00BC0257"/>
    <w:rsid w:val="00BC061E"/>
    <w:rsid w:val="00BC163E"/>
    <w:rsid w:val="00BC1A55"/>
    <w:rsid w:val="00BC2091"/>
    <w:rsid w:val="00BC2262"/>
    <w:rsid w:val="00BC22F2"/>
    <w:rsid w:val="00BC2B6D"/>
    <w:rsid w:val="00BC33A0"/>
    <w:rsid w:val="00BC366B"/>
    <w:rsid w:val="00BC374D"/>
    <w:rsid w:val="00BC3F6C"/>
    <w:rsid w:val="00BC4920"/>
    <w:rsid w:val="00BC4ABE"/>
    <w:rsid w:val="00BC4B16"/>
    <w:rsid w:val="00BC4B7B"/>
    <w:rsid w:val="00BC4D84"/>
    <w:rsid w:val="00BC4FB9"/>
    <w:rsid w:val="00BC52AC"/>
    <w:rsid w:val="00BC5898"/>
    <w:rsid w:val="00BC5DF4"/>
    <w:rsid w:val="00BC5FF1"/>
    <w:rsid w:val="00BC6174"/>
    <w:rsid w:val="00BC62FD"/>
    <w:rsid w:val="00BC6706"/>
    <w:rsid w:val="00BC6C81"/>
    <w:rsid w:val="00BC7812"/>
    <w:rsid w:val="00BC78A3"/>
    <w:rsid w:val="00BC78F9"/>
    <w:rsid w:val="00BC7B2F"/>
    <w:rsid w:val="00BC7E34"/>
    <w:rsid w:val="00BD04B2"/>
    <w:rsid w:val="00BD1984"/>
    <w:rsid w:val="00BD1C0D"/>
    <w:rsid w:val="00BD2C9C"/>
    <w:rsid w:val="00BD2D2F"/>
    <w:rsid w:val="00BD2ED7"/>
    <w:rsid w:val="00BD31EA"/>
    <w:rsid w:val="00BD3407"/>
    <w:rsid w:val="00BD34FF"/>
    <w:rsid w:val="00BD3918"/>
    <w:rsid w:val="00BD4179"/>
    <w:rsid w:val="00BD44EA"/>
    <w:rsid w:val="00BD46D3"/>
    <w:rsid w:val="00BD4D52"/>
    <w:rsid w:val="00BD4F61"/>
    <w:rsid w:val="00BD5126"/>
    <w:rsid w:val="00BD5AE4"/>
    <w:rsid w:val="00BD5FC9"/>
    <w:rsid w:val="00BD608D"/>
    <w:rsid w:val="00BD6370"/>
    <w:rsid w:val="00BD6F27"/>
    <w:rsid w:val="00BD76E1"/>
    <w:rsid w:val="00BD7AA7"/>
    <w:rsid w:val="00BD7B90"/>
    <w:rsid w:val="00BE068D"/>
    <w:rsid w:val="00BE0F0D"/>
    <w:rsid w:val="00BE1164"/>
    <w:rsid w:val="00BE1982"/>
    <w:rsid w:val="00BE1EB7"/>
    <w:rsid w:val="00BE218C"/>
    <w:rsid w:val="00BE2A3A"/>
    <w:rsid w:val="00BE2DBA"/>
    <w:rsid w:val="00BE2DE8"/>
    <w:rsid w:val="00BE2DE9"/>
    <w:rsid w:val="00BE2E11"/>
    <w:rsid w:val="00BE33F4"/>
    <w:rsid w:val="00BE5049"/>
    <w:rsid w:val="00BE5179"/>
    <w:rsid w:val="00BE5307"/>
    <w:rsid w:val="00BE5CF6"/>
    <w:rsid w:val="00BE69C7"/>
    <w:rsid w:val="00BE6B4F"/>
    <w:rsid w:val="00BE6C69"/>
    <w:rsid w:val="00BE6D5C"/>
    <w:rsid w:val="00BE6E05"/>
    <w:rsid w:val="00BE75D4"/>
    <w:rsid w:val="00BE7FA3"/>
    <w:rsid w:val="00BF07C4"/>
    <w:rsid w:val="00BF0864"/>
    <w:rsid w:val="00BF0C1A"/>
    <w:rsid w:val="00BF1826"/>
    <w:rsid w:val="00BF19A6"/>
    <w:rsid w:val="00BF1DE0"/>
    <w:rsid w:val="00BF23DA"/>
    <w:rsid w:val="00BF33BB"/>
    <w:rsid w:val="00BF35DC"/>
    <w:rsid w:val="00BF45D1"/>
    <w:rsid w:val="00BF4AA3"/>
    <w:rsid w:val="00BF4C0F"/>
    <w:rsid w:val="00BF4C87"/>
    <w:rsid w:val="00BF4D1F"/>
    <w:rsid w:val="00BF531F"/>
    <w:rsid w:val="00BF5CEF"/>
    <w:rsid w:val="00BF5E8A"/>
    <w:rsid w:val="00BF6684"/>
    <w:rsid w:val="00BF67DF"/>
    <w:rsid w:val="00BF6BC0"/>
    <w:rsid w:val="00BF6EB0"/>
    <w:rsid w:val="00BF7CCF"/>
    <w:rsid w:val="00C00422"/>
    <w:rsid w:val="00C01301"/>
    <w:rsid w:val="00C01848"/>
    <w:rsid w:val="00C0186F"/>
    <w:rsid w:val="00C018BE"/>
    <w:rsid w:val="00C01BF4"/>
    <w:rsid w:val="00C032A5"/>
    <w:rsid w:val="00C03CFA"/>
    <w:rsid w:val="00C041D5"/>
    <w:rsid w:val="00C05ED4"/>
    <w:rsid w:val="00C0643A"/>
    <w:rsid w:val="00C06597"/>
    <w:rsid w:val="00C0671E"/>
    <w:rsid w:val="00C06C64"/>
    <w:rsid w:val="00C06C7C"/>
    <w:rsid w:val="00C06DD3"/>
    <w:rsid w:val="00C07AC2"/>
    <w:rsid w:val="00C07B0F"/>
    <w:rsid w:val="00C07BAA"/>
    <w:rsid w:val="00C10308"/>
    <w:rsid w:val="00C104D8"/>
    <w:rsid w:val="00C10668"/>
    <w:rsid w:val="00C106E5"/>
    <w:rsid w:val="00C10AE6"/>
    <w:rsid w:val="00C10C90"/>
    <w:rsid w:val="00C1162C"/>
    <w:rsid w:val="00C11953"/>
    <w:rsid w:val="00C11AE0"/>
    <w:rsid w:val="00C11DDC"/>
    <w:rsid w:val="00C11FDA"/>
    <w:rsid w:val="00C12671"/>
    <w:rsid w:val="00C12709"/>
    <w:rsid w:val="00C1307B"/>
    <w:rsid w:val="00C13817"/>
    <w:rsid w:val="00C1382B"/>
    <w:rsid w:val="00C13B6B"/>
    <w:rsid w:val="00C13CF1"/>
    <w:rsid w:val="00C13F2B"/>
    <w:rsid w:val="00C1483B"/>
    <w:rsid w:val="00C14A18"/>
    <w:rsid w:val="00C14A1E"/>
    <w:rsid w:val="00C14ADF"/>
    <w:rsid w:val="00C14B7A"/>
    <w:rsid w:val="00C1607D"/>
    <w:rsid w:val="00C16336"/>
    <w:rsid w:val="00C166AE"/>
    <w:rsid w:val="00C166EE"/>
    <w:rsid w:val="00C16877"/>
    <w:rsid w:val="00C16C5D"/>
    <w:rsid w:val="00C16FDA"/>
    <w:rsid w:val="00C1721F"/>
    <w:rsid w:val="00C17F48"/>
    <w:rsid w:val="00C20419"/>
    <w:rsid w:val="00C20678"/>
    <w:rsid w:val="00C21A52"/>
    <w:rsid w:val="00C223F8"/>
    <w:rsid w:val="00C2251B"/>
    <w:rsid w:val="00C22A50"/>
    <w:rsid w:val="00C23145"/>
    <w:rsid w:val="00C2394A"/>
    <w:rsid w:val="00C23DA8"/>
    <w:rsid w:val="00C24183"/>
    <w:rsid w:val="00C249CE"/>
    <w:rsid w:val="00C25146"/>
    <w:rsid w:val="00C25332"/>
    <w:rsid w:val="00C2544F"/>
    <w:rsid w:val="00C255E8"/>
    <w:rsid w:val="00C25CC5"/>
    <w:rsid w:val="00C26525"/>
    <w:rsid w:val="00C306B2"/>
    <w:rsid w:val="00C31B65"/>
    <w:rsid w:val="00C31E5B"/>
    <w:rsid w:val="00C32024"/>
    <w:rsid w:val="00C325C4"/>
    <w:rsid w:val="00C33312"/>
    <w:rsid w:val="00C33B43"/>
    <w:rsid w:val="00C33C18"/>
    <w:rsid w:val="00C33F01"/>
    <w:rsid w:val="00C34220"/>
    <w:rsid w:val="00C342FF"/>
    <w:rsid w:val="00C34C75"/>
    <w:rsid w:val="00C34F08"/>
    <w:rsid w:val="00C35239"/>
    <w:rsid w:val="00C353AB"/>
    <w:rsid w:val="00C35AF1"/>
    <w:rsid w:val="00C35B77"/>
    <w:rsid w:val="00C35DE7"/>
    <w:rsid w:val="00C361ED"/>
    <w:rsid w:val="00C374C3"/>
    <w:rsid w:val="00C37648"/>
    <w:rsid w:val="00C40010"/>
    <w:rsid w:val="00C40397"/>
    <w:rsid w:val="00C4050D"/>
    <w:rsid w:val="00C40623"/>
    <w:rsid w:val="00C40FAC"/>
    <w:rsid w:val="00C42457"/>
    <w:rsid w:val="00C429C7"/>
    <w:rsid w:val="00C42DA0"/>
    <w:rsid w:val="00C4359C"/>
    <w:rsid w:val="00C43DA4"/>
    <w:rsid w:val="00C446A4"/>
    <w:rsid w:val="00C449D5"/>
    <w:rsid w:val="00C44A7E"/>
    <w:rsid w:val="00C44C6D"/>
    <w:rsid w:val="00C452AC"/>
    <w:rsid w:val="00C453A8"/>
    <w:rsid w:val="00C45A17"/>
    <w:rsid w:val="00C46085"/>
    <w:rsid w:val="00C46421"/>
    <w:rsid w:val="00C46828"/>
    <w:rsid w:val="00C46A8B"/>
    <w:rsid w:val="00C46F1F"/>
    <w:rsid w:val="00C46F76"/>
    <w:rsid w:val="00C470DA"/>
    <w:rsid w:val="00C473F7"/>
    <w:rsid w:val="00C47746"/>
    <w:rsid w:val="00C47CD5"/>
    <w:rsid w:val="00C50214"/>
    <w:rsid w:val="00C51505"/>
    <w:rsid w:val="00C515D1"/>
    <w:rsid w:val="00C515E0"/>
    <w:rsid w:val="00C51D46"/>
    <w:rsid w:val="00C52509"/>
    <w:rsid w:val="00C52862"/>
    <w:rsid w:val="00C52938"/>
    <w:rsid w:val="00C52CEB"/>
    <w:rsid w:val="00C53C13"/>
    <w:rsid w:val="00C54498"/>
    <w:rsid w:val="00C54C10"/>
    <w:rsid w:val="00C54EA4"/>
    <w:rsid w:val="00C554DC"/>
    <w:rsid w:val="00C55512"/>
    <w:rsid w:val="00C55DB0"/>
    <w:rsid w:val="00C56578"/>
    <w:rsid w:val="00C566BC"/>
    <w:rsid w:val="00C56863"/>
    <w:rsid w:val="00C56884"/>
    <w:rsid w:val="00C56CBA"/>
    <w:rsid w:val="00C60451"/>
    <w:rsid w:val="00C609AC"/>
    <w:rsid w:val="00C60A23"/>
    <w:rsid w:val="00C60BB0"/>
    <w:rsid w:val="00C60CB0"/>
    <w:rsid w:val="00C60FE0"/>
    <w:rsid w:val="00C612FC"/>
    <w:rsid w:val="00C62B3E"/>
    <w:rsid w:val="00C631E9"/>
    <w:rsid w:val="00C63361"/>
    <w:rsid w:val="00C63973"/>
    <w:rsid w:val="00C63E51"/>
    <w:rsid w:val="00C6462E"/>
    <w:rsid w:val="00C64B10"/>
    <w:rsid w:val="00C64D4C"/>
    <w:rsid w:val="00C64FF4"/>
    <w:rsid w:val="00C6524B"/>
    <w:rsid w:val="00C6576B"/>
    <w:rsid w:val="00C66725"/>
    <w:rsid w:val="00C675AF"/>
    <w:rsid w:val="00C67D4D"/>
    <w:rsid w:val="00C67D85"/>
    <w:rsid w:val="00C70036"/>
    <w:rsid w:val="00C7045B"/>
    <w:rsid w:val="00C7060E"/>
    <w:rsid w:val="00C708E3"/>
    <w:rsid w:val="00C71756"/>
    <w:rsid w:val="00C717CF"/>
    <w:rsid w:val="00C71B37"/>
    <w:rsid w:val="00C71DA8"/>
    <w:rsid w:val="00C721D2"/>
    <w:rsid w:val="00C728B6"/>
    <w:rsid w:val="00C72A35"/>
    <w:rsid w:val="00C732F6"/>
    <w:rsid w:val="00C736B6"/>
    <w:rsid w:val="00C7391C"/>
    <w:rsid w:val="00C740BD"/>
    <w:rsid w:val="00C74553"/>
    <w:rsid w:val="00C74590"/>
    <w:rsid w:val="00C745D6"/>
    <w:rsid w:val="00C74B0C"/>
    <w:rsid w:val="00C74FBD"/>
    <w:rsid w:val="00C752B7"/>
    <w:rsid w:val="00C75536"/>
    <w:rsid w:val="00C756C7"/>
    <w:rsid w:val="00C756EC"/>
    <w:rsid w:val="00C7599E"/>
    <w:rsid w:val="00C759D4"/>
    <w:rsid w:val="00C75B23"/>
    <w:rsid w:val="00C75BD2"/>
    <w:rsid w:val="00C76754"/>
    <w:rsid w:val="00C76808"/>
    <w:rsid w:val="00C76AEE"/>
    <w:rsid w:val="00C76E5A"/>
    <w:rsid w:val="00C810B3"/>
    <w:rsid w:val="00C81113"/>
    <w:rsid w:val="00C81193"/>
    <w:rsid w:val="00C81221"/>
    <w:rsid w:val="00C812C6"/>
    <w:rsid w:val="00C8163F"/>
    <w:rsid w:val="00C83F53"/>
    <w:rsid w:val="00C8420B"/>
    <w:rsid w:val="00C846D8"/>
    <w:rsid w:val="00C8538D"/>
    <w:rsid w:val="00C857B7"/>
    <w:rsid w:val="00C85A4B"/>
    <w:rsid w:val="00C86022"/>
    <w:rsid w:val="00C861DD"/>
    <w:rsid w:val="00C8677D"/>
    <w:rsid w:val="00C87845"/>
    <w:rsid w:val="00C87926"/>
    <w:rsid w:val="00C912D2"/>
    <w:rsid w:val="00C91878"/>
    <w:rsid w:val="00C92147"/>
    <w:rsid w:val="00C923ED"/>
    <w:rsid w:val="00C925F6"/>
    <w:rsid w:val="00C92FC3"/>
    <w:rsid w:val="00C93836"/>
    <w:rsid w:val="00C93CFA"/>
    <w:rsid w:val="00C93D64"/>
    <w:rsid w:val="00C93DBA"/>
    <w:rsid w:val="00C94435"/>
    <w:rsid w:val="00C9455B"/>
    <w:rsid w:val="00C94B77"/>
    <w:rsid w:val="00C94FA0"/>
    <w:rsid w:val="00C94FC8"/>
    <w:rsid w:val="00C951DB"/>
    <w:rsid w:val="00C9520C"/>
    <w:rsid w:val="00C95A31"/>
    <w:rsid w:val="00C95AAF"/>
    <w:rsid w:val="00C95DA9"/>
    <w:rsid w:val="00C9640E"/>
    <w:rsid w:val="00C9685B"/>
    <w:rsid w:val="00C96F37"/>
    <w:rsid w:val="00C9711E"/>
    <w:rsid w:val="00C974E8"/>
    <w:rsid w:val="00C97D74"/>
    <w:rsid w:val="00CA0493"/>
    <w:rsid w:val="00CA0B64"/>
    <w:rsid w:val="00CA0C1B"/>
    <w:rsid w:val="00CA1423"/>
    <w:rsid w:val="00CA1DFB"/>
    <w:rsid w:val="00CA291D"/>
    <w:rsid w:val="00CA3243"/>
    <w:rsid w:val="00CA3850"/>
    <w:rsid w:val="00CA3F21"/>
    <w:rsid w:val="00CA4959"/>
    <w:rsid w:val="00CA4F8B"/>
    <w:rsid w:val="00CA4FC3"/>
    <w:rsid w:val="00CA50D8"/>
    <w:rsid w:val="00CA5FEA"/>
    <w:rsid w:val="00CA6BA2"/>
    <w:rsid w:val="00CA6CD6"/>
    <w:rsid w:val="00CA6D0D"/>
    <w:rsid w:val="00CA71C7"/>
    <w:rsid w:val="00CB02B7"/>
    <w:rsid w:val="00CB0E8D"/>
    <w:rsid w:val="00CB0FA9"/>
    <w:rsid w:val="00CB13E4"/>
    <w:rsid w:val="00CB211A"/>
    <w:rsid w:val="00CB23AD"/>
    <w:rsid w:val="00CB28AA"/>
    <w:rsid w:val="00CB2F3B"/>
    <w:rsid w:val="00CB39E8"/>
    <w:rsid w:val="00CB3F7A"/>
    <w:rsid w:val="00CB429B"/>
    <w:rsid w:val="00CB43BC"/>
    <w:rsid w:val="00CB58C1"/>
    <w:rsid w:val="00CB5D9E"/>
    <w:rsid w:val="00CB670C"/>
    <w:rsid w:val="00CB690D"/>
    <w:rsid w:val="00CB744F"/>
    <w:rsid w:val="00CB77F9"/>
    <w:rsid w:val="00CB7ABC"/>
    <w:rsid w:val="00CC00A3"/>
    <w:rsid w:val="00CC057C"/>
    <w:rsid w:val="00CC068B"/>
    <w:rsid w:val="00CC074D"/>
    <w:rsid w:val="00CC0A77"/>
    <w:rsid w:val="00CC1F76"/>
    <w:rsid w:val="00CC27C8"/>
    <w:rsid w:val="00CC2FB9"/>
    <w:rsid w:val="00CC3785"/>
    <w:rsid w:val="00CC40EE"/>
    <w:rsid w:val="00CC441A"/>
    <w:rsid w:val="00CC48C6"/>
    <w:rsid w:val="00CC5AC8"/>
    <w:rsid w:val="00CC5B90"/>
    <w:rsid w:val="00CC5F33"/>
    <w:rsid w:val="00CC6490"/>
    <w:rsid w:val="00CC671E"/>
    <w:rsid w:val="00CC678F"/>
    <w:rsid w:val="00CC7032"/>
    <w:rsid w:val="00CC7FBC"/>
    <w:rsid w:val="00CD0F4E"/>
    <w:rsid w:val="00CD1533"/>
    <w:rsid w:val="00CD1A3F"/>
    <w:rsid w:val="00CD2502"/>
    <w:rsid w:val="00CD2D69"/>
    <w:rsid w:val="00CD3F91"/>
    <w:rsid w:val="00CD3FD2"/>
    <w:rsid w:val="00CD51BC"/>
    <w:rsid w:val="00CD5A43"/>
    <w:rsid w:val="00CD63AC"/>
    <w:rsid w:val="00CD6482"/>
    <w:rsid w:val="00CD781D"/>
    <w:rsid w:val="00CD7FA5"/>
    <w:rsid w:val="00CE000A"/>
    <w:rsid w:val="00CE02B1"/>
    <w:rsid w:val="00CE0A42"/>
    <w:rsid w:val="00CE0AED"/>
    <w:rsid w:val="00CE0D26"/>
    <w:rsid w:val="00CE1E01"/>
    <w:rsid w:val="00CE1EB3"/>
    <w:rsid w:val="00CE29E4"/>
    <w:rsid w:val="00CE342B"/>
    <w:rsid w:val="00CE375A"/>
    <w:rsid w:val="00CE376B"/>
    <w:rsid w:val="00CE37AD"/>
    <w:rsid w:val="00CE38D3"/>
    <w:rsid w:val="00CE3B03"/>
    <w:rsid w:val="00CE48A5"/>
    <w:rsid w:val="00CE4A97"/>
    <w:rsid w:val="00CE4BAB"/>
    <w:rsid w:val="00CE4DEE"/>
    <w:rsid w:val="00CE50F3"/>
    <w:rsid w:val="00CE55FD"/>
    <w:rsid w:val="00CE5881"/>
    <w:rsid w:val="00CE6A50"/>
    <w:rsid w:val="00CE6BF2"/>
    <w:rsid w:val="00CE70EA"/>
    <w:rsid w:val="00CE7371"/>
    <w:rsid w:val="00CE7854"/>
    <w:rsid w:val="00CE7B66"/>
    <w:rsid w:val="00CF007C"/>
    <w:rsid w:val="00CF03DF"/>
    <w:rsid w:val="00CF07F3"/>
    <w:rsid w:val="00CF09E8"/>
    <w:rsid w:val="00CF0DD3"/>
    <w:rsid w:val="00CF1145"/>
    <w:rsid w:val="00CF1692"/>
    <w:rsid w:val="00CF2888"/>
    <w:rsid w:val="00CF330B"/>
    <w:rsid w:val="00CF5D79"/>
    <w:rsid w:val="00CF5E7A"/>
    <w:rsid w:val="00CF66D0"/>
    <w:rsid w:val="00CF686D"/>
    <w:rsid w:val="00CF7013"/>
    <w:rsid w:val="00CF7692"/>
    <w:rsid w:val="00D0014D"/>
    <w:rsid w:val="00D001F0"/>
    <w:rsid w:val="00D002C6"/>
    <w:rsid w:val="00D003BF"/>
    <w:rsid w:val="00D004FA"/>
    <w:rsid w:val="00D00607"/>
    <w:rsid w:val="00D0079C"/>
    <w:rsid w:val="00D009B4"/>
    <w:rsid w:val="00D01B64"/>
    <w:rsid w:val="00D01BD3"/>
    <w:rsid w:val="00D01F6F"/>
    <w:rsid w:val="00D02865"/>
    <w:rsid w:val="00D02878"/>
    <w:rsid w:val="00D0293F"/>
    <w:rsid w:val="00D02964"/>
    <w:rsid w:val="00D02D90"/>
    <w:rsid w:val="00D0321D"/>
    <w:rsid w:val="00D03422"/>
    <w:rsid w:val="00D040EB"/>
    <w:rsid w:val="00D04646"/>
    <w:rsid w:val="00D0482A"/>
    <w:rsid w:val="00D04B7E"/>
    <w:rsid w:val="00D04BF0"/>
    <w:rsid w:val="00D059C5"/>
    <w:rsid w:val="00D05D72"/>
    <w:rsid w:val="00D060B0"/>
    <w:rsid w:val="00D06593"/>
    <w:rsid w:val="00D07E22"/>
    <w:rsid w:val="00D07F00"/>
    <w:rsid w:val="00D10496"/>
    <w:rsid w:val="00D11186"/>
    <w:rsid w:val="00D11237"/>
    <w:rsid w:val="00D116FB"/>
    <w:rsid w:val="00D11976"/>
    <w:rsid w:val="00D119E4"/>
    <w:rsid w:val="00D11F21"/>
    <w:rsid w:val="00D11F73"/>
    <w:rsid w:val="00D127C9"/>
    <w:rsid w:val="00D12ADA"/>
    <w:rsid w:val="00D132C4"/>
    <w:rsid w:val="00D133A6"/>
    <w:rsid w:val="00D13CDF"/>
    <w:rsid w:val="00D13E5D"/>
    <w:rsid w:val="00D14298"/>
    <w:rsid w:val="00D14580"/>
    <w:rsid w:val="00D1491C"/>
    <w:rsid w:val="00D15087"/>
    <w:rsid w:val="00D152CA"/>
    <w:rsid w:val="00D15AD1"/>
    <w:rsid w:val="00D15B08"/>
    <w:rsid w:val="00D15B85"/>
    <w:rsid w:val="00D1612E"/>
    <w:rsid w:val="00D1620F"/>
    <w:rsid w:val="00D1628A"/>
    <w:rsid w:val="00D16D62"/>
    <w:rsid w:val="00D170D7"/>
    <w:rsid w:val="00D17488"/>
    <w:rsid w:val="00D206E9"/>
    <w:rsid w:val="00D2110D"/>
    <w:rsid w:val="00D2124D"/>
    <w:rsid w:val="00D2158D"/>
    <w:rsid w:val="00D216EF"/>
    <w:rsid w:val="00D2211D"/>
    <w:rsid w:val="00D22121"/>
    <w:rsid w:val="00D223A7"/>
    <w:rsid w:val="00D22A92"/>
    <w:rsid w:val="00D22D9D"/>
    <w:rsid w:val="00D22E00"/>
    <w:rsid w:val="00D2303B"/>
    <w:rsid w:val="00D23276"/>
    <w:rsid w:val="00D2379F"/>
    <w:rsid w:val="00D239CD"/>
    <w:rsid w:val="00D23D90"/>
    <w:rsid w:val="00D242F0"/>
    <w:rsid w:val="00D2472C"/>
    <w:rsid w:val="00D247EA"/>
    <w:rsid w:val="00D24A0F"/>
    <w:rsid w:val="00D24A4E"/>
    <w:rsid w:val="00D24BC0"/>
    <w:rsid w:val="00D24C17"/>
    <w:rsid w:val="00D24F05"/>
    <w:rsid w:val="00D24F34"/>
    <w:rsid w:val="00D25663"/>
    <w:rsid w:val="00D25891"/>
    <w:rsid w:val="00D25AF1"/>
    <w:rsid w:val="00D25CEB"/>
    <w:rsid w:val="00D25F3C"/>
    <w:rsid w:val="00D26107"/>
    <w:rsid w:val="00D2612A"/>
    <w:rsid w:val="00D263E7"/>
    <w:rsid w:val="00D269A5"/>
    <w:rsid w:val="00D274A8"/>
    <w:rsid w:val="00D27F42"/>
    <w:rsid w:val="00D3026A"/>
    <w:rsid w:val="00D306F6"/>
    <w:rsid w:val="00D313A2"/>
    <w:rsid w:val="00D316AA"/>
    <w:rsid w:val="00D320A4"/>
    <w:rsid w:val="00D32726"/>
    <w:rsid w:val="00D32CAF"/>
    <w:rsid w:val="00D32DAF"/>
    <w:rsid w:val="00D33120"/>
    <w:rsid w:val="00D335B9"/>
    <w:rsid w:val="00D335D0"/>
    <w:rsid w:val="00D3373B"/>
    <w:rsid w:val="00D337D4"/>
    <w:rsid w:val="00D338D4"/>
    <w:rsid w:val="00D33AB8"/>
    <w:rsid w:val="00D33BDA"/>
    <w:rsid w:val="00D33E67"/>
    <w:rsid w:val="00D34059"/>
    <w:rsid w:val="00D34350"/>
    <w:rsid w:val="00D345BC"/>
    <w:rsid w:val="00D34D5C"/>
    <w:rsid w:val="00D36137"/>
    <w:rsid w:val="00D36BC8"/>
    <w:rsid w:val="00D36CF4"/>
    <w:rsid w:val="00D37643"/>
    <w:rsid w:val="00D3776D"/>
    <w:rsid w:val="00D37C2A"/>
    <w:rsid w:val="00D40323"/>
    <w:rsid w:val="00D41406"/>
    <w:rsid w:val="00D4185E"/>
    <w:rsid w:val="00D423FA"/>
    <w:rsid w:val="00D4266E"/>
    <w:rsid w:val="00D42FBD"/>
    <w:rsid w:val="00D43049"/>
    <w:rsid w:val="00D438E0"/>
    <w:rsid w:val="00D43AC5"/>
    <w:rsid w:val="00D43AD0"/>
    <w:rsid w:val="00D43C45"/>
    <w:rsid w:val="00D43D0E"/>
    <w:rsid w:val="00D44182"/>
    <w:rsid w:val="00D441FD"/>
    <w:rsid w:val="00D44FEA"/>
    <w:rsid w:val="00D450BF"/>
    <w:rsid w:val="00D458DD"/>
    <w:rsid w:val="00D45B19"/>
    <w:rsid w:val="00D4679A"/>
    <w:rsid w:val="00D46BF6"/>
    <w:rsid w:val="00D46C9C"/>
    <w:rsid w:val="00D47049"/>
    <w:rsid w:val="00D47728"/>
    <w:rsid w:val="00D50897"/>
    <w:rsid w:val="00D50B78"/>
    <w:rsid w:val="00D5117A"/>
    <w:rsid w:val="00D518E3"/>
    <w:rsid w:val="00D52610"/>
    <w:rsid w:val="00D529F4"/>
    <w:rsid w:val="00D52DA0"/>
    <w:rsid w:val="00D52DBD"/>
    <w:rsid w:val="00D53060"/>
    <w:rsid w:val="00D534A3"/>
    <w:rsid w:val="00D539FD"/>
    <w:rsid w:val="00D53CA5"/>
    <w:rsid w:val="00D53CBF"/>
    <w:rsid w:val="00D53E90"/>
    <w:rsid w:val="00D5464B"/>
    <w:rsid w:val="00D54976"/>
    <w:rsid w:val="00D54D1B"/>
    <w:rsid w:val="00D54FDB"/>
    <w:rsid w:val="00D5510A"/>
    <w:rsid w:val="00D552D2"/>
    <w:rsid w:val="00D55CC1"/>
    <w:rsid w:val="00D55E82"/>
    <w:rsid w:val="00D56047"/>
    <w:rsid w:val="00D561E8"/>
    <w:rsid w:val="00D56507"/>
    <w:rsid w:val="00D56A96"/>
    <w:rsid w:val="00D5712C"/>
    <w:rsid w:val="00D60013"/>
    <w:rsid w:val="00D609D2"/>
    <w:rsid w:val="00D60BE5"/>
    <w:rsid w:val="00D610D0"/>
    <w:rsid w:val="00D61577"/>
    <w:rsid w:val="00D623B2"/>
    <w:rsid w:val="00D624CC"/>
    <w:rsid w:val="00D62504"/>
    <w:rsid w:val="00D63E27"/>
    <w:rsid w:val="00D6411D"/>
    <w:rsid w:val="00D64358"/>
    <w:rsid w:val="00D646BB"/>
    <w:rsid w:val="00D65123"/>
    <w:rsid w:val="00D65AD0"/>
    <w:rsid w:val="00D66253"/>
    <w:rsid w:val="00D667E4"/>
    <w:rsid w:val="00D66BF4"/>
    <w:rsid w:val="00D673C2"/>
    <w:rsid w:val="00D67AA8"/>
    <w:rsid w:val="00D706D8"/>
    <w:rsid w:val="00D709B4"/>
    <w:rsid w:val="00D70A3B"/>
    <w:rsid w:val="00D70ABF"/>
    <w:rsid w:val="00D70D72"/>
    <w:rsid w:val="00D711AB"/>
    <w:rsid w:val="00D7177E"/>
    <w:rsid w:val="00D727EA"/>
    <w:rsid w:val="00D7280E"/>
    <w:rsid w:val="00D729F2"/>
    <w:rsid w:val="00D72CE4"/>
    <w:rsid w:val="00D731A9"/>
    <w:rsid w:val="00D73326"/>
    <w:rsid w:val="00D73497"/>
    <w:rsid w:val="00D73F6B"/>
    <w:rsid w:val="00D7401A"/>
    <w:rsid w:val="00D743B6"/>
    <w:rsid w:val="00D74697"/>
    <w:rsid w:val="00D74DAC"/>
    <w:rsid w:val="00D75351"/>
    <w:rsid w:val="00D758E6"/>
    <w:rsid w:val="00D75A12"/>
    <w:rsid w:val="00D75C63"/>
    <w:rsid w:val="00D75E01"/>
    <w:rsid w:val="00D75E8E"/>
    <w:rsid w:val="00D760BC"/>
    <w:rsid w:val="00D76339"/>
    <w:rsid w:val="00D763A2"/>
    <w:rsid w:val="00D7642F"/>
    <w:rsid w:val="00D774E1"/>
    <w:rsid w:val="00D77850"/>
    <w:rsid w:val="00D77BC7"/>
    <w:rsid w:val="00D77C3F"/>
    <w:rsid w:val="00D77E62"/>
    <w:rsid w:val="00D80277"/>
    <w:rsid w:val="00D807BC"/>
    <w:rsid w:val="00D809B4"/>
    <w:rsid w:val="00D80AC0"/>
    <w:rsid w:val="00D80C09"/>
    <w:rsid w:val="00D80E0F"/>
    <w:rsid w:val="00D810BA"/>
    <w:rsid w:val="00D81750"/>
    <w:rsid w:val="00D81A3A"/>
    <w:rsid w:val="00D82A35"/>
    <w:rsid w:val="00D82CE5"/>
    <w:rsid w:val="00D8361B"/>
    <w:rsid w:val="00D836E0"/>
    <w:rsid w:val="00D83BA3"/>
    <w:rsid w:val="00D83C3E"/>
    <w:rsid w:val="00D84642"/>
    <w:rsid w:val="00D8469A"/>
    <w:rsid w:val="00D8486F"/>
    <w:rsid w:val="00D84C7C"/>
    <w:rsid w:val="00D85183"/>
    <w:rsid w:val="00D85440"/>
    <w:rsid w:val="00D855AD"/>
    <w:rsid w:val="00D85620"/>
    <w:rsid w:val="00D85788"/>
    <w:rsid w:val="00D85BCB"/>
    <w:rsid w:val="00D85C7B"/>
    <w:rsid w:val="00D85E87"/>
    <w:rsid w:val="00D869C1"/>
    <w:rsid w:val="00D86AB1"/>
    <w:rsid w:val="00D86AB7"/>
    <w:rsid w:val="00D86AC5"/>
    <w:rsid w:val="00D86EBB"/>
    <w:rsid w:val="00D87220"/>
    <w:rsid w:val="00D876B5"/>
    <w:rsid w:val="00D87B63"/>
    <w:rsid w:val="00D87D4C"/>
    <w:rsid w:val="00D90353"/>
    <w:rsid w:val="00D9134C"/>
    <w:rsid w:val="00D9143C"/>
    <w:rsid w:val="00D915AF"/>
    <w:rsid w:val="00D91808"/>
    <w:rsid w:val="00D91FE9"/>
    <w:rsid w:val="00D9216F"/>
    <w:rsid w:val="00D9286A"/>
    <w:rsid w:val="00D929C4"/>
    <w:rsid w:val="00D92FB2"/>
    <w:rsid w:val="00D947BE"/>
    <w:rsid w:val="00D96066"/>
    <w:rsid w:val="00D960FB"/>
    <w:rsid w:val="00D962DE"/>
    <w:rsid w:val="00D96803"/>
    <w:rsid w:val="00D96B31"/>
    <w:rsid w:val="00D97208"/>
    <w:rsid w:val="00D979CA"/>
    <w:rsid w:val="00DA0005"/>
    <w:rsid w:val="00DA0077"/>
    <w:rsid w:val="00DA0208"/>
    <w:rsid w:val="00DA0AD9"/>
    <w:rsid w:val="00DA0E8A"/>
    <w:rsid w:val="00DA184A"/>
    <w:rsid w:val="00DA1F19"/>
    <w:rsid w:val="00DA23A3"/>
    <w:rsid w:val="00DA25A3"/>
    <w:rsid w:val="00DA2888"/>
    <w:rsid w:val="00DA2904"/>
    <w:rsid w:val="00DA2D2A"/>
    <w:rsid w:val="00DA2E53"/>
    <w:rsid w:val="00DA3126"/>
    <w:rsid w:val="00DA336B"/>
    <w:rsid w:val="00DA3911"/>
    <w:rsid w:val="00DA3D9A"/>
    <w:rsid w:val="00DA3E34"/>
    <w:rsid w:val="00DA413C"/>
    <w:rsid w:val="00DA41F2"/>
    <w:rsid w:val="00DA428F"/>
    <w:rsid w:val="00DA42E1"/>
    <w:rsid w:val="00DA49DC"/>
    <w:rsid w:val="00DA4A91"/>
    <w:rsid w:val="00DA5501"/>
    <w:rsid w:val="00DA5C86"/>
    <w:rsid w:val="00DA5FB6"/>
    <w:rsid w:val="00DA6579"/>
    <w:rsid w:val="00DA6640"/>
    <w:rsid w:val="00DA6DE8"/>
    <w:rsid w:val="00DA7146"/>
    <w:rsid w:val="00DA73AE"/>
    <w:rsid w:val="00DB08D3"/>
    <w:rsid w:val="00DB0A4F"/>
    <w:rsid w:val="00DB0D39"/>
    <w:rsid w:val="00DB1420"/>
    <w:rsid w:val="00DB15DE"/>
    <w:rsid w:val="00DB1BFE"/>
    <w:rsid w:val="00DB1F53"/>
    <w:rsid w:val="00DB1F82"/>
    <w:rsid w:val="00DB27A4"/>
    <w:rsid w:val="00DB3880"/>
    <w:rsid w:val="00DB40BB"/>
    <w:rsid w:val="00DB410B"/>
    <w:rsid w:val="00DB42E6"/>
    <w:rsid w:val="00DB48CF"/>
    <w:rsid w:val="00DB497B"/>
    <w:rsid w:val="00DB55D6"/>
    <w:rsid w:val="00DB5E1A"/>
    <w:rsid w:val="00DB611E"/>
    <w:rsid w:val="00DB64F7"/>
    <w:rsid w:val="00DB6AB8"/>
    <w:rsid w:val="00DB6E78"/>
    <w:rsid w:val="00DC0162"/>
    <w:rsid w:val="00DC026F"/>
    <w:rsid w:val="00DC038A"/>
    <w:rsid w:val="00DC0644"/>
    <w:rsid w:val="00DC0A4D"/>
    <w:rsid w:val="00DC1161"/>
    <w:rsid w:val="00DC13A1"/>
    <w:rsid w:val="00DC169D"/>
    <w:rsid w:val="00DC16BC"/>
    <w:rsid w:val="00DC1B76"/>
    <w:rsid w:val="00DC26B8"/>
    <w:rsid w:val="00DC27E2"/>
    <w:rsid w:val="00DC2A73"/>
    <w:rsid w:val="00DC2AAB"/>
    <w:rsid w:val="00DC3012"/>
    <w:rsid w:val="00DC320F"/>
    <w:rsid w:val="00DC35F2"/>
    <w:rsid w:val="00DC3B3F"/>
    <w:rsid w:val="00DC3F43"/>
    <w:rsid w:val="00DC4030"/>
    <w:rsid w:val="00DC4731"/>
    <w:rsid w:val="00DC4765"/>
    <w:rsid w:val="00DC4D80"/>
    <w:rsid w:val="00DC50C1"/>
    <w:rsid w:val="00DC52CD"/>
    <w:rsid w:val="00DC5A18"/>
    <w:rsid w:val="00DC5D13"/>
    <w:rsid w:val="00DC5FF8"/>
    <w:rsid w:val="00DC6952"/>
    <w:rsid w:val="00DC6BC5"/>
    <w:rsid w:val="00DC6EC8"/>
    <w:rsid w:val="00DC72D9"/>
    <w:rsid w:val="00DD02BA"/>
    <w:rsid w:val="00DD03BA"/>
    <w:rsid w:val="00DD0415"/>
    <w:rsid w:val="00DD083E"/>
    <w:rsid w:val="00DD0D17"/>
    <w:rsid w:val="00DD0E75"/>
    <w:rsid w:val="00DD1360"/>
    <w:rsid w:val="00DD1C58"/>
    <w:rsid w:val="00DD1E85"/>
    <w:rsid w:val="00DD22EF"/>
    <w:rsid w:val="00DD2B47"/>
    <w:rsid w:val="00DD30F7"/>
    <w:rsid w:val="00DD3286"/>
    <w:rsid w:val="00DD36A6"/>
    <w:rsid w:val="00DD42F9"/>
    <w:rsid w:val="00DD432A"/>
    <w:rsid w:val="00DD4430"/>
    <w:rsid w:val="00DD4A38"/>
    <w:rsid w:val="00DD4B87"/>
    <w:rsid w:val="00DD4C29"/>
    <w:rsid w:val="00DD51FF"/>
    <w:rsid w:val="00DD5350"/>
    <w:rsid w:val="00DD55EA"/>
    <w:rsid w:val="00DD6386"/>
    <w:rsid w:val="00DD6A9A"/>
    <w:rsid w:val="00DD6CE5"/>
    <w:rsid w:val="00DD6D20"/>
    <w:rsid w:val="00DD6EB7"/>
    <w:rsid w:val="00DD72EB"/>
    <w:rsid w:val="00DD768E"/>
    <w:rsid w:val="00DD7949"/>
    <w:rsid w:val="00DE02AD"/>
    <w:rsid w:val="00DE054B"/>
    <w:rsid w:val="00DE121B"/>
    <w:rsid w:val="00DE14A2"/>
    <w:rsid w:val="00DE1902"/>
    <w:rsid w:val="00DE224C"/>
    <w:rsid w:val="00DE2986"/>
    <w:rsid w:val="00DE3180"/>
    <w:rsid w:val="00DE327E"/>
    <w:rsid w:val="00DE3352"/>
    <w:rsid w:val="00DE349A"/>
    <w:rsid w:val="00DE3AEC"/>
    <w:rsid w:val="00DE4025"/>
    <w:rsid w:val="00DE46E8"/>
    <w:rsid w:val="00DE482F"/>
    <w:rsid w:val="00DE4B53"/>
    <w:rsid w:val="00DE522F"/>
    <w:rsid w:val="00DE5C02"/>
    <w:rsid w:val="00DE5D0D"/>
    <w:rsid w:val="00DE65E8"/>
    <w:rsid w:val="00DE6746"/>
    <w:rsid w:val="00DE6A6F"/>
    <w:rsid w:val="00DE6D55"/>
    <w:rsid w:val="00DE6D65"/>
    <w:rsid w:val="00DE6F1B"/>
    <w:rsid w:val="00DE766F"/>
    <w:rsid w:val="00DE78ED"/>
    <w:rsid w:val="00DE79A0"/>
    <w:rsid w:val="00DF0101"/>
    <w:rsid w:val="00DF0745"/>
    <w:rsid w:val="00DF08EE"/>
    <w:rsid w:val="00DF0986"/>
    <w:rsid w:val="00DF0CE7"/>
    <w:rsid w:val="00DF0DED"/>
    <w:rsid w:val="00DF0FA5"/>
    <w:rsid w:val="00DF1A7A"/>
    <w:rsid w:val="00DF1C6B"/>
    <w:rsid w:val="00DF1D0D"/>
    <w:rsid w:val="00DF1D86"/>
    <w:rsid w:val="00DF1E6D"/>
    <w:rsid w:val="00DF209C"/>
    <w:rsid w:val="00DF2957"/>
    <w:rsid w:val="00DF2DE7"/>
    <w:rsid w:val="00DF39C2"/>
    <w:rsid w:val="00DF40BC"/>
    <w:rsid w:val="00DF4A6B"/>
    <w:rsid w:val="00DF5B58"/>
    <w:rsid w:val="00DF699E"/>
    <w:rsid w:val="00DF6EBE"/>
    <w:rsid w:val="00DF6F26"/>
    <w:rsid w:val="00DF76D1"/>
    <w:rsid w:val="00DF7ADB"/>
    <w:rsid w:val="00E00515"/>
    <w:rsid w:val="00E0118E"/>
    <w:rsid w:val="00E012A2"/>
    <w:rsid w:val="00E01904"/>
    <w:rsid w:val="00E01B2D"/>
    <w:rsid w:val="00E02027"/>
    <w:rsid w:val="00E020F3"/>
    <w:rsid w:val="00E02520"/>
    <w:rsid w:val="00E02B58"/>
    <w:rsid w:val="00E02E19"/>
    <w:rsid w:val="00E03469"/>
    <w:rsid w:val="00E038EA"/>
    <w:rsid w:val="00E04323"/>
    <w:rsid w:val="00E046DF"/>
    <w:rsid w:val="00E049DF"/>
    <w:rsid w:val="00E04BD7"/>
    <w:rsid w:val="00E04CE8"/>
    <w:rsid w:val="00E04E3C"/>
    <w:rsid w:val="00E05134"/>
    <w:rsid w:val="00E05203"/>
    <w:rsid w:val="00E05979"/>
    <w:rsid w:val="00E0639C"/>
    <w:rsid w:val="00E06C77"/>
    <w:rsid w:val="00E07249"/>
    <w:rsid w:val="00E0750C"/>
    <w:rsid w:val="00E07E78"/>
    <w:rsid w:val="00E10568"/>
    <w:rsid w:val="00E10890"/>
    <w:rsid w:val="00E1095C"/>
    <w:rsid w:val="00E10B5B"/>
    <w:rsid w:val="00E11213"/>
    <w:rsid w:val="00E112E0"/>
    <w:rsid w:val="00E114AF"/>
    <w:rsid w:val="00E11933"/>
    <w:rsid w:val="00E11D1C"/>
    <w:rsid w:val="00E12371"/>
    <w:rsid w:val="00E12405"/>
    <w:rsid w:val="00E1262D"/>
    <w:rsid w:val="00E12834"/>
    <w:rsid w:val="00E134CB"/>
    <w:rsid w:val="00E13C53"/>
    <w:rsid w:val="00E13EB9"/>
    <w:rsid w:val="00E13F1A"/>
    <w:rsid w:val="00E148FC"/>
    <w:rsid w:val="00E1505A"/>
    <w:rsid w:val="00E1535A"/>
    <w:rsid w:val="00E15508"/>
    <w:rsid w:val="00E16533"/>
    <w:rsid w:val="00E16543"/>
    <w:rsid w:val="00E1655A"/>
    <w:rsid w:val="00E16BAC"/>
    <w:rsid w:val="00E16CF0"/>
    <w:rsid w:val="00E16ECD"/>
    <w:rsid w:val="00E1743B"/>
    <w:rsid w:val="00E178C3"/>
    <w:rsid w:val="00E1793D"/>
    <w:rsid w:val="00E17E21"/>
    <w:rsid w:val="00E17EB7"/>
    <w:rsid w:val="00E204B3"/>
    <w:rsid w:val="00E209A0"/>
    <w:rsid w:val="00E209E0"/>
    <w:rsid w:val="00E20A16"/>
    <w:rsid w:val="00E20B8C"/>
    <w:rsid w:val="00E20F3E"/>
    <w:rsid w:val="00E21683"/>
    <w:rsid w:val="00E216DE"/>
    <w:rsid w:val="00E22153"/>
    <w:rsid w:val="00E222E5"/>
    <w:rsid w:val="00E22449"/>
    <w:rsid w:val="00E22478"/>
    <w:rsid w:val="00E226AE"/>
    <w:rsid w:val="00E22DEB"/>
    <w:rsid w:val="00E22E3A"/>
    <w:rsid w:val="00E22E3C"/>
    <w:rsid w:val="00E23591"/>
    <w:rsid w:val="00E23C68"/>
    <w:rsid w:val="00E23D84"/>
    <w:rsid w:val="00E24653"/>
    <w:rsid w:val="00E24EB5"/>
    <w:rsid w:val="00E251FF"/>
    <w:rsid w:val="00E253A3"/>
    <w:rsid w:val="00E2547A"/>
    <w:rsid w:val="00E257C2"/>
    <w:rsid w:val="00E2629F"/>
    <w:rsid w:val="00E269C5"/>
    <w:rsid w:val="00E2771C"/>
    <w:rsid w:val="00E3027F"/>
    <w:rsid w:val="00E302C2"/>
    <w:rsid w:val="00E31E8C"/>
    <w:rsid w:val="00E322DD"/>
    <w:rsid w:val="00E32C21"/>
    <w:rsid w:val="00E32C3D"/>
    <w:rsid w:val="00E32C41"/>
    <w:rsid w:val="00E32F08"/>
    <w:rsid w:val="00E33845"/>
    <w:rsid w:val="00E33C18"/>
    <w:rsid w:val="00E33D38"/>
    <w:rsid w:val="00E33F96"/>
    <w:rsid w:val="00E34061"/>
    <w:rsid w:val="00E3422D"/>
    <w:rsid w:val="00E343A9"/>
    <w:rsid w:val="00E346D2"/>
    <w:rsid w:val="00E3471A"/>
    <w:rsid w:val="00E34C0C"/>
    <w:rsid w:val="00E34E73"/>
    <w:rsid w:val="00E35132"/>
    <w:rsid w:val="00E35139"/>
    <w:rsid w:val="00E353AF"/>
    <w:rsid w:val="00E3542A"/>
    <w:rsid w:val="00E354AC"/>
    <w:rsid w:val="00E35CDA"/>
    <w:rsid w:val="00E3651F"/>
    <w:rsid w:val="00E36BFF"/>
    <w:rsid w:val="00E37333"/>
    <w:rsid w:val="00E379DF"/>
    <w:rsid w:val="00E400B9"/>
    <w:rsid w:val="00E403B1"/>
    <w:rsid w:val="00E40B79"/>
    <w:rsid w:val="00E40C69"/>
    <w:rsid w:val="00E40D50"/>
    <w:rsid w:val="00E41244"/>
    <w:rsid w:val="00E41C4D"/>
    <w:rsid w:val="00E41EC9"/>
    <w:rsid w:val="00E42305"/>
    <w:rsid w:val="00E424BF"/>
    <w:rsid w:val="00E43634"/>
    <w:rsid w:val="00E438C1"/>
    <w:rsid w:val="00E43B11"/>
    <w:rsid w:val="00E43E08"/>
    <w:rsid w:val="00E43EAD"/>
    <w:rsid w:val="00E43EB2"/>
    <w:rsid w:val="00E44994"/>
    <w:rsid w:val="00E449F6"/>
    <w:rsid w:val="00E44EB0"/>
    <w:rsid w:val="00E44F54"/>
    <w:rsid w:val="00E4594F"/>
    <w:rsid w:val="00E45D43"/>
    <w:rsid w:val="00E46467"/>
    <w:rsid w:val="00E4651C"/>
    <w:rsid w:val="00E4664E"/>
    <w:rsid w:val="00E46784"/>
    <w:rsid w:val="00E4768B"/>
    <w:rsid w:val="00E4788A"/>
    <w:rsid w:val="00E50AB1"/>
    <w:rsid w:val="00E50B99"/>
    <w:rsid w:val="00E50D84"/>
    <w:rsid w:val="00E51003"/>
    <w:rsid w:val="00E518EA"/>
    <w:rsid w:val="00E526DC"/>
    <w:rsid w:val="00E53092"/>
    <w:rsid w:val="00E536F5"/>
    <w:rsid w:val="00E5409E"/>
    <w:rsid w:val="00E54430"/>
    <w:rsid w:val="00E544B5"/>
    <w:rsid w:val="00E5468B"/>
    <w:rsid w:val="00E54B53"/>
    <w:rsid w:val="00E54BE2"/>
    <w:rsid w:val="00E54FED"/>
    <w:rsid w:val="00E558E3"/>
    <w:rsid w:val="00E55E15"/>
    <w:rsid w:val="00E56036"/>
    <w:rsid w:val="00E56585"/>
    <w:rsid w:val="00E56EC2"/>
    <w:rsid w:val="00E57430"/>
    <w:rsid w:val="00E6034D"/>
    <w:rsid w:val="00E604BD"/>
    <w:rsid w:val="00E60F7E"/>
    <w:rsid w:val="00E6183C"/>
    <w:rsid w:val="00E6211E"/>
    <w:rsid w:val="00E62977"/>
    <w:rsid w:val="00E62C4A"/>
    <w:rsid w:val="00E6394A"/>
    <w:rsid w:val="00E63D37"/>
    <w:rsid w:val="00E64810"/>
    <w:rsid w:val="00E65184"/>
    <w:rsid w:val="00E65722"/>
    <w:rsid w:val="00E65CA7"/>
    <w:rsid w:val="00E65D04"/>
    <w:rsid w:val="00E667A8"/>
    <w:rsid w:val="00E66CDA"/>
    <w:rsid w:val="00E67101"/>
    <w:rsid w:val="00E67A69"/>
    <w:rsid w:val="00E67B0B"/>
    <w:rsid w:val="00E67D2A"/>
    <w:rsid w:val="00E67FF2"/>
    <w:rsid w:val="00E7042F"/>
    <w:rsid w:val="00E70A3B"/>
    <w:rsid w:val="00E70AB8"/>
    <w:rsid w:val="00E70AF5"/>
    <w:rsid w:val="00E710E0"/>
    <w:rsid w:val="00E7181C"/>
    <w:rsid w:val="00E71845"/>
    <w:rsid w:val="00E71BE0"/>
    <w:rsid w:val="00E72938"/>
    <w:rsid w:val="00E73F47"/>
    <w:rsid w:val="00E74113"/>
    <w:rsid w:val="00E74255"/>
    <w:rsid w:val="00E744B4"/>
    <w:rsid w:val="00E75A3B"/>
    <w:rsid w:val="00E75BD0"/>
    <w:rsid w:val="00E76C05"/>
    <w:rsid w:val="00E770B9"/>
    <w:rsid w:val="00E77F6A"/>
    <w:rsid w:val="00E80689"/>
    <w:rsid w:val="00E817E9"/>
    <w:rsid w:val="00E81C36"/>
    <w:rsid w:val="00E82276"/>
    <w:rsid w:val="00E8251F"/>
    <w:rsid w:val="00E826A6"/>
    <w:rsid w:val="00E82976"/>
    <w:rsid w:val="00E82E70"/>
    <w:rsid w:val="00E8376F"/>
    <w:rsid w:val="00E84142"/>
    <w:rsid w:val="00E8442D"/>
    <w:rsid w:val="00E844B8"/>
    <w:rsid w:val="00E846A0"/>
    <w:rsid w:val="00E847FE"/>
    <w:rsid w:val="00E8482E"/>
    <w:rsid w:val="00E84AA5"/>
    <w:rsid w:val="00E85C7C"/>
    <w:rsid w:val="00E85DA0"/>
    <w:rsid w:val="00E866E0"/>
    <w:rsid w:val="00E8673A"/>
    <w:rsid w:val="00E879D3"/>
    <w:rsid w:val="00E90487"/>
    <w:rsid w:val="00E91A24"/>
    <w:rsid w:val="00E91F14"/>
    <w:rsid w:val="00E925D6"/>
    <w:rsid w:val="00E92AEF"/>
    <w:rsid w:val="00E92AFD"/>
    <w:rsid w:val="00E92D6C"/>
    <w:rsid w:val="00E93C90"/>
    <w:rsid w:val="00E94100"/>
    <w:rsid w:val="00E94549"/>
    <w:rsid w:val="00E946B7"/>
    <w:rsid w:val="00E94B00"/>
    <w:rsid w:val="00E94E48"/>
    <w:rsid w:val="00E9518D"/>
    <w:rsid w:val="00E952A4"/>
    <w:rsid w:val="00E9552E"/>
    <w:rsid w:val="00E955F7"/>
    <w:rsid w:val="00E95655"/>
    <w:rsid w:val="00E956C4"/>
    <w:rsid w:val="00E95761"/>
    <w:rsid w:val="00E957C2"/>
    <w:rsid w:val="00E95EA1"/>
    <w:rsid w:val="00E95ED9"/>
    <w:rsid w:val="00E96217"/>
    <w:rsid w:val="00E96A50"/>
    <w:rsid w:val="00E96C66"/>
    <w:rsid w:val="00E96E60"/>
    <w:rsid w:val="00E9766A"/>
    <w:rsid w:val="00EA0144"/>
    <w:rsid w:val="00EA0394"/>
    <w:rsid w:val="00EA03A4"/>
    <w:rsid w:val="00EA04B8"/>
    <w:rsid w:val="00EA0511"/>
    <w:rsid w:val="00EA077D"/>
    <w:rsid w:val="00EA07D5"/>
    <w:rsid w:val="00EA085E"/>
    <w:rsid w:val="00EA0C68"/>
    <w:rsid w:val="00EA0C71"/>
    <w:rsid w:val="00EA11C2"/>
    <w:rsid w:val="00EA1C76"/>
    <w:rsid w:val="00EA221C"/>
    <w:rsid w:val="00EA2C68"/>
    <w:rsid w:val="00EA2E47"/>
    <w:rsid w:val="00EA341C"/>
    <w:rsid w:val="00EA3933"/>
    <w:rsid w:val="00EA3DE6"/>
    <w:rsid w:val="00EA4381"/>
    <w:rsid w:val="00EA43B6"/>
    <w:rsid w:val="00EA453F"/>
    <w:rsid w:val="00EA4CE7"/>
    <w:rsid w:val="00EA5826"/>
    <w:rsid w:val="00EA5B42"/>
    <w:rsid w:val="00EA60F4"/>
    <w:rsid w:val="00EA6343"/>
    <w:rsid w:val="00EA72FC"/>
    <w:rsid w:val="00EA75FC"/>
    <w:rsid w:val="00EA7F75"/>
    <w:rsid w:val="00EB0741"/>
    <w:rsid w:val="00EB0AC3"/>
    <w:rsid w:val="00EB0B47"/>
    <w:rsid w:val="00EB0C9A"/>
    <w:rsid w:val="00EB0E1B"/>
    <w:rsid w:val="00EB1F36"/>
    <w:rsid w:val="00EB2085"/>
    <w:rsid w:val="00EB26E3"/>
    <w:rsid w:val="00EB2EC0"/>
    <w:rsid w:val="00EB341B"/>
    <w:rsid w:val="00EB34DA"/>
    <w:rsid w:val="00EB3639"/>
    <w:rsid w:val="00EB3BA8"/>
    <w:rsid w:val="00EB402C"/>
    <w:rsid w:val="00EB4308"/>
    <w:rsid w:val="00EB43A6"/>
    <w:rsid w:val="00EB47B8"/>
    <w:rsid w:val="00EB4C72"/>
    <w:rsid w:val="00EB561D"/>
    <w:rsid w:val="00EB57C3"/>
    <w:rsid w:val="00EB5D20"/>
    <w:rsid w:val="00EB5D22"/>
    <w:rsid w:val="00EB67EA"/>
    <w:rsid w:val="00EB6A6A"/>
    <w:rsid w:val="00EB6F73"/>
    <w:rsid w:val="00EB7886"/>
    <w:rsid w:val="00EB7B18"/>
    <w:rsid w:val="00EC0F86"/>
    <w:rsid w:val="00EC0FB0"/>
    <w:rsid w:val="00EC1082"/>
    <w:rsid w:val="00EC14AF"/>
    <w:rsid w:val="00EC172F"/>
    <w:rsid w:val="00EC19D2"/>
    <w:rsid w:val="00EC20BC"/>
    <w:rsid w:val="00EC2AF4"/>
    <w:rsid w:val="00EC2D55"/>
    <w:rsid w:val="00EC3808"/>
    <w:rsid w:val="00EC3A41"/>
    <w:rsid w:val="00EC3C65"/>
    <w:rsid w:val="00EC43FF"/>
    <w:rsid w:val="00EC453C"/>
    <w:rsid w:val="00EC4941"/>
    <w:rsid w:val="00EC49B3"/>
    <w:rsid w:val="00EC4E93"/>
    <w:rsid w:val="00EC5AFB"/>
    <w:rsid w:val="00EC5E45"/>
    <w:rsid w:val="00EC6051"/>
    <w:rsid w:val="00EC641F"/>
    <w:rsid w:val="00EC6591"/>
    <w:rsid w:val="00EC6D2E"/>
    <w:rsid w:val="00EC6F95"/>
    <w:rsid w:val="00EC6FAA"/>
    <w:rsid w:val="00EC728D"/>
    <w:rsid w:val="00EC75FC"/>
    <w:rsid w:val="00ED12DB"/>
    <w:rsid w:val="00ED12E6"/>
    <w:rsid w:val="00ED1833"/>
    <w:rsid w:val="00ED1D5E"/>
    <w:rsid w:val="00ED1EF7"/>
    <w:rsid w:val="00ED2080"/>
    <w:rsid w:val="00ED2280"/>
    <w:rsid w:val="00ED263A"/>
    <w:rsid w:val="00ED336C"/>
    <w:rsid w:val="00ED3DEB"/>
    <w:rsid w:val="00ED3EE8"/>
    <w:rsid w:val="00ED49CF"/>
    <w:rsid w:val="00ED4CF0"/>
    <w:rsid w:val="00ED563D"/>
    <w:rsid w:val="00ED60A4"/>
    <w:rsid w:val="00ED66F5"/>
    <w:rsid w:val="00ED729F"/>
    <w:rsid w:val="00ED7509"/>
    <w:rsid w:val="00ED750A"/>
    <w:rsid w:val="00ED768B"/>
    <w:rsid w:val="00ED78EB"/>
    <w:rsid w:val="00EE0005"/>
    <w:rsid w:val="00EE01B3"/>
    <w:rsid w:val="00EE08DB"/>
    <w:rsid w:val="00EE1058"/>
    <w:rsid w:val="00EE141E"/>
    <w:rsid w:val="00EE1A1C"/>
    <w:rsid w:val="00EE21FF"/>
    <w:rsid w:val="00EE2379"/>
    <w:rsid w:val="00EE292F"/>
    <w:rsid w:val="00EE2DCC"/>
    <w:rsid w:val="00EE2E28"/>
    <w:rsid w:val="00EE3464"/>
    <w:rsid w:val="00EE40E7"/>
    <w:rsid w:val="00EE4DA2"/>
    <w:rsid w:val="00EE5018"/>
    <w:rsid w:val="00EE5142"/>
    <w:rsid w:val="00EE60CE"/>
    <w:rsid w:val="00EE6270"/>
    <w:rsid w:val="00EE6545"/>
    <w:rsid w:val="00EE6550"/>
    <w:rsid w:val="00EE691A"/>
    <w:rsid w:val="00EE697D"/>
    <w:rsid w:val="00EE6AF4"/>
    <w:rsid w:val="00EE6C4D"/>
    <w:rsid w:val="00EE6D28"/>
    <w:rsid w:val="00EF0BDB"/>
    <w:rsid w:val="00EF0E2D"/>
    <w:rsid w:val="00EF1069"/>
    <w:rsid w:val="00EF1B93"/>
    <w:rsid w:val="00EF1BE6"/>
    <w:rsid w:val="00EF1D16"/>
    <w:rsid w:val="00EF1D9C"/>
    <w:rsid w:val="00EF2358"/>
    <w:rsid w:val="00EF2600"/>
    <w:rsid w:val="00EF377F"/>
    <w:rsid w:val="00EF3AB6"/>
    <w:rsid w:val="00EF3BD1"/>
    <w:rsid w:val="00EF4648"/>
    <w:rsid w:val="00EF49D2"/>
    <w:rsid w:val="00EF4B23"/>
    <w:rsid w:val="00EF4B9B"/>
    <w:rsid w:val="00EF4CCB"/>
    <w:rsid w:val="00EF50D2"/>
    <w:rsid w:val="00EF549C"/>
    <w:rsid w:val="00EF5A70"/>
    <w:rsid w:val="00EF60F8"/>
    <w:rsid w:val="00EF61AA"/>
    <w:rsid w:val="00EF64D2"/>
    <w:rsid w:val="00EF6E91"/>
    <w:rsid w:val="00EF6F97"/>
    <w:rsid w:val="00EF729A"/>
    <w:rsid w:val="00EF7CB5"/>
    <w:rsid w:val="00EF7DD5"/>
    <w:rsid w:val="00F00422"/>
    <w:rsid w:val="00F00872"/>
    <w:rsid w:val="00F015C9"/>
    <w:rsid w:val="00F01835"/>
    <w:rsid w:val="00F019C5"/>
    <w:rsid w:val="00F0235F"/>
    <w:rsid w:val="00F02474"/>
    <w:rsid w:val="00F025AA"/>
    <w:rsid w:val="00F028A2"/>
    <w:rsid w:val="00F029B5"/>
    <w:rsid w:val="00F02A74"/>
    <w:rsid w:val="00F02AB6"/>
    <w:rsid w:val="00F02AE4"/>
    <w:rsid w:val="00F035CB"/>
    <w:rsid w:val="00F036A4"/>
    <w:rsid w:val="00F04703"/>
    <w:rsid w:val="00F047EA"/>
    <w:rsid w:val="00F049A1"/>
    <w:rsid w:val="00F04DFD"/>
    <w:rsid w:val="00F05BE1"/>
    <w:rsid w:val="00F0622E"/>
    <w:rsid w:val="00F06284"/>
    <w:rsid w:val="00F067BE"/>
    <w:rsid w:val="00F067F4"/>
    <w:rsid w:val="00F06AAC"/>
    <w:rsid w:val="00F06ADF"/>
    <w:rsid w:val="00F06CE2"/>
    <w:rsid w:val="00F07D89"/>
    <w:rsid w:val="00F07F57"/>
    <w:rsid w:val="00F10D81"/>
    <w:rsid w:val="00F10E3E"/>
    <w:rsid w:val="00F11356"/>
    <w:rsid w:val="00F118E0"/>
    <w:rsid w:val="00F11EB3"/>
    <w:rsid w:val="00F1207C"/>
    <w:rsid w:val="00F125BC"/>
    <w:rsid w:val="00F126AD"/>
    <w:rsid w:val="00F12EA3"/>
    <w:rsid w:val="00F12ECC"/>
    <w:rsid w:val="00F1394E"/>
    <w:rsid w:val="00F14CC5"/>
    <w:rsid w:val="00F151E8"/>
    <w:rsid w:val="00F155C5"/>
    <w:rsid w:val="00F15639"/>
    <w:rsid w:val="00F1598B"/>
    <w:rsid w:val="00F15A9E"/>
    <w:rsid w:val="00F165A5"/>
    <w:rsid w:val="00F166DE"/>
    <w:rsid w:val="00F1741F"/>
    <w:rsid w:val="00F17596"/>
    <w:rsid w:val="00F1762B"/>
    <w:rsid w:val="00F179D7"/>
    <w:rsid w:val="00F17B9F"/>
    <w:rsid w:val="00F17BD7"/>
    <w:rsid w:val="00F17E88"/>
    <w:rsid w:val="00F20D70"/>
    <w:rsid w:val="00F2174F"/>
    <w:rsid w:val="00F21CA3"/>
    <w:rsid w:val="00F222EB"/>
    <w:rsid w:val="00F226F1"/>
    <w:rsid w:val="00F22C10"/>
    <w:rsid w:val="00F2302B"/>
    <w:rsid w:val="00F231A5"/>
    <w:rsid w:val="00F231E4"/>
    <w:rsid w:val="00F23226"/>
    <w:rsid w:val="00F239D1"/>
    <w:rsid w:val="00F247F7"/>
    <w:rsid w:val="00F24C1C"/>
    <w:rsid w:val="00F2515A"/>
    <w:rsid w:val="00F251FB"/>
    <w:rsid w:val="00F257E2"/>
    <w:rsid w:val="00F2631E"/>
    <w:rsid w:val="00F2659F"/>
    <w:rsid w:val="00F268F5"/>
    <w:rsid w:val="00F2786F"/>
    <w:rsid w:val="00F30504"/>
    <w:rsid w:val="00F30763"/>
    <w:rsid w:val="00F3090E"/>
    <w:rsid w:val="00F30A83"/>
    <w:rsid w:val="00F30D9C"/>
    <w:rsid w:val="00F313B1"/>
    <w:rsid w:val="00F31AFF"/>
    <w:rsid w:val="00F31C75"/>
    <w:rsid w:val="00F31E02"/>
    <w:rsid w:val="00F3229B"/>
    <w:rsid w:val="00F3243A"/>
    <w:rsid w:val="00F329A5"/>
    <w:rsid w:val="00F32BD6"/>
    <w:rsid w:val="00F32DB0"/>
    <w:rsid w:val="00F33138"/>
    <w:rsid w:val="00F334DE"/>
    <w:rsid w:val="00F34246"/>
    <w:rsid w:val="00F34C20"/>
    <w:rsid w:val="00F350FC"/>
    <w:rsid w:val="00F35234"/>
    <w:rsid w:val="00F352C1"/>
    <w:rsid w:val="00F354B3"/>
    <w:rsid w:val="00F3598B"/>
    <w:rsid w:val="00F35DF5"/>
    <w:rsid w:val="00F36982"/>
    <w:rsid w:val="00F371D5"/>
    <w:rsid w:val="00F372DD"/>
    <w:rsid w:val="00F37BDC"/>
    <w:rsid w:val="00F37F1B"/>
    <w:rsid w:val="00F40230"/>
    <w:rsid w:val="00F40816"/>
    <w:rsid w:val="00F41057"/>
    <w:rsid w:val="00F41B50"/>
    <w:rsid w:val="00F421D5"/>
    <w:rsid w:val="00F426E9"/>
    <w:rsid w:val="00F42999"/>
    <w:rsid w:val="00F42BCE"/>
    <w:rsid w:val="00F42E02"/>
    <w:rsid w:val="00F42F0D"/>
    <w:rsid w:val="00F4339E"/>
    <w:rsid w:val="00F435FD"/>
    <w:rsid w:val="00F43734"/>
    <w:rsid w:val="00F43BE3"/>
    <w:rsid w:val="00F44667"/>
    <w:rsid w:val="00F448E7"/>
    <w:rsid w:val="00F44EA1"/>
    <w:rsid w:val="00F452E2"/>
    <w:rsid w:val="00F4586E"/>
    <w:rsid w:val="00F45E12"/>
    <w:rsid w:val="00F46358"/>
    <w:rsid w:val="00F4652C"/>
    <w:rsid w:val="00F472F2"/>
    <w:rsid w:val="00F47B54"/>
    <w:rsid w:val="00F47D9D"/>
    <w:rsid w:val="00F500F8"/>
    <w:rsid w:val="00F5137B"/>
    <w:rsid w:val="00F51505"/>
    <w:rsid w:val="00F516F9"/>
    <w:rsid w:val="00F518BC"/>
    <w:rsid w:val="00F519F1"/>
    <w:rsid w:val="00F51F18"/>
    <w:rsid w:val="00F526FC"/>
    <w:rsid w:val="00F52A17"/>
    <w:rsid w:val="00F534C7"/>
    <w:rsid w:val="00F53589"/>
    <w:rsid w:val="00F53DD6"/>
    <w:rsid w:val="00F53EA4"/>
    <w:rsid w:val="00F54758"/>
    <w:rsid w:val="00F55250"/>
    <w:rsid w:val="00F55869"/>
    <w:rsid w:val="00F566AE"/>
    <w:rsid w:val="00F56857"/>
    <w:rsid w:val="00F568E4"/>
    <w:rsid w:val="00F56964"/>
    <w:rsid w:val="00F56A74"/>
    <w:rsid w:val="00F56B84"/>
    <w:rsid w:val="00F56E67"/>
    <w:rsid w:val="00F5725F"/>
    <w:rsid w:val="00F573FE"/>
    <w:rsid w:val="00F57526"/>
    <w:rsid w:val="00F57861"/>
    <w:rsid w:val="00F57C5C"/>
    <w:rsid w:val="00F60160"/>
    <w:rsid w:val="00F6083B"/>
    <w:rsid w:val="00F60A83"/>
    <w:rsid w:val="00F61220"/>
    <w:rsid w:val="00F61449"/>
    <w:rsid w:val="00F6172B"/>
    <w:rsid w:val="00F61D9C"/>
    <w:rsid w:val="00F6229B"/>
    <w:rsid w:val="00F6235B"/>
    <w:rsid w:val="00F625B3"/>
    <w:rsid w:val="00F62AB5"/>
    <w:rsid w:val="00F62D34"/>
    <w:rsid w:val="00F62F77"/>
    <w:rsid w:val="00F63361"/>
    <w:rsid w:val="00F63626"/>
    <w:rsid w:val="00F63CD9"/>
    <w:rsid w:val="00F64A5B"/>
    <w:rsid w:val="00F64CB9"/>
    <w:rsid w:val="00F65201"/>
    <w:rsid w:val="00F65818"/>
    <w:rsid w:val="00F65E3F"/>
    <w:rsid w:val="00F66B09"/>
    <w:rsid w:val="00F66FFB"/>
    <w:rsid w:val="00F67222"/>
    <w:rsid w:val="00F678FD"/>
    <w:rsid w:val="00F67BB9"/>
    <w:rsid w:val="00F7028D"/>
    <w:rsid w:val="00F7035F"/>
    <w:rsid w:val="00F7065F"/>
    <w:rsid w:val="00F70938"/>
    <w:rsid w:val="00F70F23"/>
    <w:rsid w:val="00F70F78"/>
    <w:rsid w:val="00F70FD9"/>
    <w:rsid w:val="00F712EC"/>
    <w:rsid w:val="00F7150B"/>
    <w:rsid w:val="00F715C1"/>
    <w:rsid w:val="00F71AF3"/>
    <w:rsid w:val="00F71F86"/>
    <w:rsid w:val="00F72424"/>
    <w:rsid w:val="00F72982"/>
    <w:rsid w:val="00F72AD1"/>
    <w:rsid w:val="00F73772"/>
    <w:rsid w:val="00F73929"/>
    <w:rsid w:val="00F74A21"/>
    <w:rsid w:val="00F74AB0"/>
    <w:rsid w:val="00F74E1D"/>
    <w:rsid w:val="00F75198"/>
    <w:rsid w:val="00F757B1"/>
    <w:rsid w:val="00F757E8"/>
    <w:rsid w:val="00F767EF"/>
    <w:rsid w:val="00F76803"/>
    <w:rsid w:val="00F76B7F"/>
    <w:rsid w:val="00F770B6"/>
    <w:rsid w:val="00F7756F"/>
    <w:rsid w:val="00F775A8"/>
    <w:rsid w:val="00F775D9"/>
    <w:rsid w:val="00F7783D"/>
    <w:rsid w:val="00F779B6"/>
    <w:rsid w:val="00F77A2E"/>
    <w:rsid w:val="00F80140"/>
    <w:rsid w:val="00F802DC"/>
    <w:rsid w:val="00F8032A"/>
    <w:rsid w:val="00F8069F"/>
    <w:rsid w:val="00F80A98"/>
    <w:rsid w:val="00F80C73"/>
    <w:rsid w:val="00F8127F"/>
    <w:rsid w:val="00F81D19"/>
    <w:rsid w:val="00F81F16"/>
    <w:rsid w:val="00F821ED"/>
    <w:rsid w:val="00F847A8"/>
    <w:rsid w:val="00F84C03"/>
    <w:rsid w:val="00F84E64"/>
    <w:rsid w:val="00F8545B"/>
    <w:rsid w:val="00F8553F"/>
    <w:rsid w:val="00F85A30"/>
    <w:rsid w:val="00F85B78"/>
    <w:rsid w:val="00F85D6D"/>
    <w:rsid w:val="00F85F5D"/>
    <w:rsid w:val="00F862DB"/>
    <w:rsid w:val="00F865F2"/>
    <w:rsid w:val="00F8684F"/>
    <w:rsid w:val="00F86929"/>
    <w:rsid w:val="00F86F0E"/>
    <w:rsid w:val="00F8702A"/>
    <w:rsid w:val="00F87D92"/>
    <w:rsid w:val="00F903A7"/>
    <w:rsid w:val="00F90876"/>
    <w:rsid w:val="00F911CE"/>
    <w:rsid w:val="00F917EC"/>
    <w:rsid w:val="00F9215A"/>
    <w:rsid w:val="00F92214"/>
    <w:rsid w:val="00F926F3"/>
    <w:rsid w:val="00F927C5"/>
    <w:rsid w:val="00F92FCA"/>
    <w:rsid w:val="00F9333C"/>
    <w:rsid w:val="00F93BAF"/>
    <w:rsid w:val="00F93EEC"/>
    <w:rsid w:val="00F9425A"/>
    <w:rsid w:val="00F9461D"/>
    <w:rsid w:val="00F947CD"/>
    <w:rsid w:val="00F94C5B"/>
    <w:rsid w:val="00F96475"/>
    <w:rsid w:val="00F9652C"/>
    <w:rsid w:val="00F96677"/>
    <w:rsid w:val="00F96D6D"/>
    <w:rsid w:val="00F96D8D"/>
    <w:rsid w:val="00F96FA8"/>
    <w:rsid w:val="00F9708E"/>
    <w:rsid w:val="00F97E26"/>
    <w:rsid w:val="00FA0099"/>
    <w:rsid w:val="00FA01B4"/>
    <w:rsid w:val="00FA01D8"/>
    <w:rsid w:val="00FA143E"/>
    <w:rsid w:val="00FA1A93"/>
    <w:rsid w:val="00FA1D93"/>
    <w:rsid w:val="00FA1E02"/>
    <w:rsid w:val="00FA1F6E"/>
    <w:rsid w:val="00FA1FDD"/>
    <w:rsid w:val="00FA25C5"/>
    <w:rsid w:val="00FA27BB"/>
    <w:rsid w:val="00FA2954"/>
    <w:rsid w:val="00FA2AD3"/>
    <w:rsid w:val="00FA2B5E"/>
    <w:rsid w:val="00FA2DA4"/>
    <w:rsid w:val="00FA2E56"/>
    <w:rsid w:val="00FA2F88"/>
    <w:rsid w:val="00FA3248"/>
    <w:rsid w:val="00FA3716"/>
    <w:rsid w:val="00FA37E8"/>
    <w:rsid w:val="00FA4BAA"/>
    <w:rsid w:val="00FA4C15"/>
    <w:rsid w:val="00FA4DC6"/>
    <w:rsid w:val="00FA5D43"/>
    <w:rsid w:val="00FA602C"/>
    <w:rsid w:val="00FA61AE"/>
    <w:rsid w:val="00FA7202"/>
    <w:rsid w:val="00FA730D"/>
    <w:rsid w:val="00FA76C9"/>
    <w:rsid w:val="00FA789F"/>
    <w:rsid w:val="00FA7AF3"/>
    <w:rsid w:val="00FA7BA7"/>
    <w:rsid w:val="00FB00BD"/>
    <w:rsid w:val="00FB0750"/>
    <w:rsid w:val="00FB11CC"/>
    <w:rsid w:val="00FB1252"/>
    <w:rsid w:val="00FB15EC"/>
    <w:rsid w:val="00FB1851"/>
    <w:rsid w:val="00FB1D4D"/>
    <w:rsid w:val="00FB1ED1"/>
    <w:rsid w:val="00FB1F8F"/>
    <w:rsid w:val="00FB2767"/>
    <w:rsid w:val="00FB2AF0"/>
    <w:rsid w:val="00FB3209"/>
    <w:rsid w:val="00FB409D"/>
    <w:rsid w:val="00FB4513"/>
    <w:rsid w:val="00FB45F0"/>
    <w:rsid w:val="00FB530E"/>
    <w:rsid w:val="00FB5671"/>
    <w:rsid w:val="00FB575D"/>
    <w:rsid w:val="00FB5900"/>
    <w:rsid w:val="00FB5C64"/>
    <w:rsid w:val="00FB5EEE"/>
    <w:rsid w:val="00FB6C2F"/>
    <w:rsid w:val="00FB6EB4"/>
    <w:rsid w:val="00FB6F27"/>
    <w:rsid w:val="00FB708C"/>
    <w:rsid w:val="00FB78EC"/>
    <w:rsid w:val="00FB7B00"/>
    <w:rsid w:val="00FC17D6"/>
    <w:rsid w:val="00FC1F3B"/>
    <w:rsid w:val="00FC21C4"/>
    <w:rsid w:val="00FC25DE"/>
    <w:rsid w:val="00FC273F"/>
    <w:rsid w:val="00FC2B48"/>
    <w:rsid w:val="00FC2E4F"/>
    <w:rsid w:val="00FC4328"/>
    <w:rsid w:val="00FC5421"/>
    <w:rsid w:val="00FC58B5"/>
    <w:rsid w:val="00FC5C66"/>
    <w:rsid w:val="00FC66A3"/>
    <w:rsid w:val="00FC6B65"/>
    <w:rsid w:val="00FC7400"/>
    <w:rsid w:val="00FC78EC"/>
    <w:rsid w:val="00FC7F2D"/>
    <w:rsid w:val="00FD011D"/>
    <w:rsid w:val="00FD0662"/>
    <w:rsid w:val="00FD0763"/>
    <w:rsid w:val="00FD0EFB"/>
    <w:rsid w:val="00FD11CE"/>
    <w:rsid w:val="00FD1542"/>
    <w:rsid w:val="00FD16AE"/>
    <w:rsid w:val="00FD1778"/>
    <w:rsid w:val="00FD1840"/>
    <w:rsid w:val="00FD1DDD"/>
    <w:rsid w:val="00FD2C00"/>
    <w:rsid w:val="00FD2C2F"/>
    <w:rsid w:val="00FD33BB"/>
    <w:rsid w:val="00FD3563"/>
    <w:rsid w:val="00FD359B"/>
    <w:rsid w:val="00FD3940"/>
    <w:rsid w:val="00FD3BFA"/>
    <w:rsid w:val="00FD4073"/>
    <w:rsid w:val="00FD45C3"/>
    <w:rsid w:val="00FD48F3"/>
    <w:rsid w:val="00FD4B15"/>
    <w:rsid w:val="00FD5534"/>
    <w:rsid w:val="00FD5A25"/>
    <w:rsid w:val="00FD5B2D"/>
    <w:rsid w:val="00FD5F6E"/>
    <w:rsid w:val="00FD6009"/>
    <w:rsid w:val="00FD6A13"/>
    <w:rsid w:val="00FD6E52"/>
    <w:rsid w:val="00FD7958"/>
    <w:rsid w:val="00FD7EEB"/>
    <w:rsid w:val="00FE0282"/>
    <w:rsid w:val="00FE06A7"/>
    <w:rsid w:val="00FE07FA"/>
    <w:rsid w:val="00FE0C95"/>
    <w:rsid w:val="00FE0E7D"/>
    <w:rsid w:val="00FE1025"/>
    <w:rsid w:val="00FE12A9"/>
    <w:rsid w:val="00FE1876"/>
    <w:rsid w:val="00FE1F24"/>
    <w:rsid w:val="00FE2214"/>
    <w:rsid w:val="00FE24C4"/>
    <w:rsid w:val="00FE25FA"/>
    <w:rsid w:val="00FE323F"/>
    <w:rsid w:val="00FE3378"/>
    <w:rsid w:val="00FE3722"/>
    <w:rsid w:val="00FE47F4"/>
    <w:rsid w:val="00FE4D30"/>
    <w:rsid w:val="00FE5672"/>
    <w:rsid w:val="00FE58E9"/>
    <w:rsid w:val="00FE59B4"/>
    <w:rsid w:val="00FE5A7D"/>
    <w:rsid w:val="00FE5B60"/>
    <w:rsid w:val="00FE64CF"/>
    <w:rsid w:val="00FE6ABE"/>
    <w:rsid w:val="00FE6D10"/>
    <w:rsid w:val="00FE74F9"/>
    <w:rsid w:val="00FE7593"/>
    <w:rsid w:val="00FE75DC"/>
    <w:rsid w:val="00FE7B13"/>
    <w:rsid w:val="00FE7C20"/>
    <w:rsid w:val="00FE7E74"/>
    <w:rsid w:val="00FE7F83"/>
    <w:rsid w:val="00FF0F58"/>
    <w:rsid w:val="00FF1DE2"/>
    <w:rsid w:val="00FF20F6"/>
    <w:rsid w:val="00FF22E4"/>
    <w:rsid w:val="00FF307C"/>
    <w:rsid w:val="00FF30D1"/>
    <w:rsid w:val="00FF31AA"/>
    <w:rsid w:val="00FF33F8"/>
    <w:rsid w:val="00FF3449"/>
    <w:rsid w:val="00FF35A3"/>
    <w:rsid w:val="00FF36E8"/>
    <w:rsid w:val="00FF370F"/>
    <w:rsid w:val="00FF3D8A"/>
    <w:rsid w:val="00FF3E7C"/>
    <w:rsid w:val="00FF421D"/>
    <w:rsid w:val="00FF4378"/>
    <w:rsid w:val="00FF488F"/>
    <w:rsid w:val="00FF496A"/>
    <w:rsid w:val="00FF4FF4"/>
    <w:rsid w:val="00FF5330"/>
    <w:rsid w:val="00FF5D09"/>
    <w:rsid w:val="00FF6A7A"/>
    <w:rsid w:val="00FF6DE8"/>
    <w:rsid w:val="00FF6DF0"/>
    <w:rsid w:val="00FF7393"/>
    <w:rsid w:val="00FF7EAD"/>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55223"/>
  <w15:docId w15:val="{96D73932-3847-43B1-91FF-8C5C8AE3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90"/>
    <w:pPr>
      <w:spacing w:line="240" w:lineRule="auto"/>
    </w:pPr>
  </w:style>
  <w:style w:type="paragraph" w:styleId="Heading2">
    <w:name w:val="heading 2"/>
    <w:basedOn w:val="Normal"/>
    <w:link w:val="Heading2Char"/>
    <w:uiPriority w:val="9"/>
    <w:qFormat/>
    <w:rsid w:val="0063570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66A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66AE"/>
    <w:pPr>
      <w:spacing w:before="100" w:beforeAutospacing="1" w:after="100" w:afterAutospacing="1"/>
    </w:pPr>
    <w:rPr>
      <w:rFonts w:ascii="Times New Roman" w:eastAsiaTheme="minorEastAsia" w:hAnsi="Times New Roman" w:cs="Times New Roman"/>
      <w:sz w:val="24"/>
      <w:szCs w:val="24"/>
      <w:lang w:val="en-GB"/>
    </w:rPr>
  </w:style>
  <w:style w:type="character" w:styleId="Strong">
    <w:name w:val="Strong"/>
    <w:basedOn w:val="DefaultParagraphFont"/>
    <w:uiPriority w:val="22"/>
    <w:qFormat/>
    <w:rsid w:val="00C166AE"/>
    <w:rPr>
      <w:b/>
      <w:bCs/>
    </w:rPr>
  </w:style>
  <w:style w:type="paragraph" w:styleId="Header">
    <w:name w:val="header"/>
    <w:basedOn w:val="Normal"/>
    <w:link w:val="HeaderChar"/>
    <w:uiPriority w:val="99"/>
    <w:unhideWhenUsed/>
    <w:rsid w:val="00C166AE"/>
    <w:pPr>
      <w:tabs>
        <w:tab w:val="center" w:pos="4680"/>
        <w:tab w:val="right" w:pos="9360"/>
      </w:tabs>
      <w:spacing w:after="0"/>
    </w:pPr>
  </w:style>
  <w:style w:type="character" w:customStyle="1" w:styleId="HeaderChar">
    <w:name w:val="Header Char"/>
    <w:basedOn w:val="DefaultParagraphFont"/>
    <w:link w:val="Header"/>
    <w:uiPriority w:val="99"/>
    <w:rsid w:val="00C166AE"/>
  </w:style>
  <w:style w:type="paragraph" w:styleId="Footer">
    <w:name w:val="footer"/>
    <w:basedOn w:val="Normal"/>
    <w:link w:val="FooterChar"/>
    <w:uiPriority w:val="99"/>
    <w:unhideWhenUsed/>
    <w:rsid w:val="00C166AE"/>
    <w:pPr>
      <w:tabs>
        <w:tab w:val="center" w:pos="4680"/>
        <w:tab w:val="right" w:pos="9360"/>
      </w:tabs>
      <w:spacing w:after="0"/>
    </w:pPr>
  </w:style>
  <w:style w:type="character" w:customStyle="1" w:styleId="FooterChar">
    <w:name w:val="Footer Char"/>
    <w:basedOn w:val="DefaultParagraphFont"/>
    <w:link w:val="Footer"/>
    <w:uiPriority w:val="99"/>
    <w:rsid w:val="00C166AE"/>
  </w:style>
  <w:style w:type="character" w:styleId="Hyperlink">
    <w:name w:val="Hyperlink"/>
    <w:basedOn w:val="DefaultParagraphFont"/>
    <w:uiPriority w:val="99"/>
    <w:unhideWhenUsed/>
    <w:rsid w:val="00C166AE"/>
    <w:rPr>
      <w:color w:val="0563C1" w:themeColor="hyperlink"/>
      <w:u w:val="single"/>
    </w:rPr>
  </w:style>
  <w:style w:type="paragraph" w:styleId="BalloonText">
    <w:name w:val="Balloon Text"/>
    <w:basedOn w:val="Normal"/>
    <w:link w:val="BalloonTextChar"/>
    <w:uiPriority w:val="99"/>
    <w:semiHidden/>
    <w:unhideWhenUsed/>
    <w:rsid w:val="00C166A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6AE"/>
    <w:rPr>
      <w:rFonts w:ascii="Segoe UI" w:hAnsi="Segoe UI" w:cs="Segoe UI"/>
      <w:sz w:val="18"/>
      <w:szCs w:val="18"/>
    </w:rPr>
  </w:style>
  <w:style w:type="character" w:styleId="CommentReference">
    <w:name w:val="annotation reference"/>
    <w:basedOn w:val="DefaultParagraphFont"/>
    <w:uiPriority w:val="99"/>
    <w:semiHidden/>
    <w:unhideWhenUsed/>
    <w:rsid w:val="00C166AE"/>
    <w:rPr>
      <w:sz w:val="16"/>
      <w:szCs w:val="16"/>
    </w:rPr>
  </w:style>
  <w:style w:type="paragraph" w:styleId="CommentText">
    <w:name w:val="annotation text"/>
    <w:basedOn w:val="Normal"/>
    <w:link w:val="CommentTextChar"/>
    <w:uiPriority w:val="99"/>
    <w:unhideWhenUsed/>
    <w:rsid w:val="00C166AE"/>
    <w:rPr>
      <w:sz w:val="20"/>
      <w:szCs w:val="20"/>
    </w:rPr>
  </w:style>
  <w:style w:type="character" w:customStyle="1" w:styleId="CommentTextChar">
    <w:name w:val="Comment Text Char"/>
    <w:basedOn w:val="DefaultParagraphFont"/>
    <w:link w:val="CommentText"/>
    <w:uiPriority w:val="99"/>
    <w:rsid w:val="00C166AE"/>
    <w:rPr>
      <w:sz w:val="20"/>
      <w:szCs w:val="20"/>
    </w:rPr>
  </w:style>
  <w:style w:type="paragraph" w:styleId="CommentSubject">
    <w:name w:val="annotation subject"/>
    <w:basedOn w:val="CommentText"/>
    <w:next w:val="CommentText"/>
    <w:link w:val="CommentSubjectChar"/>
    <w:uiPriority w:val="99"/>
    <w:semiHidden/>
    <w:unhideWhenUsed/>
    <w:rsid w:val="00C166AE"/>
    <w:rPr>
      <w:b/>
      <w:bCs/>
    </w:rPr>
  </w:style>
  <w:style w:type="character" w:customStyle="1" w:styleId="CommentSubjectChar">
    <w:name w:val="Comment Subject Char"/>
    <w:basedOn w:val="CommentTextChar"/>
    <w:link w:val="CommentSubject"/>
    <w:uiPriority w:val="99"/>
    <w:semiHidden/>
    <w:rsid w:val="00C166AE"/>
    <w:rPr>
      <w:b/>
      <w:bCs/>
      <w:sz w:val="20"/>
      <w:szCs w:val="20"/>
    </w:rPr>
  </w:style>
  <w:style w:type="paragraph" w:styleId="ListParagraph">
    <w:name w:val="List Paragraph"/>
    <w:basedOn w:val="Normal"/>
    <w:uiPriority w:val="34"/>
    <w:qFormat/>
    <w:rsid w:val="00B23A44"/>
    <w:pPr>
      <w:ind w:left="720"/>
      <w:contextualSpacing/>
    </w:pPr>
  </w:style>
  <w:style w:type="character" w:styleId="Emphasis">
    <w:name w:val="Emphasis"/>
    <w:basedOn w:val="DefaultParagraphFont"/>
    <w:uiPriority w:val="20"/>
    <w:qFormat/>
    <w:rsid w:val="000F4077"/>
    <w:rPr>
      <w:i/>
      <w:iCs/>
    </w:rPr>
  </w:style>
  <w:style w:type="character" w:customStyle="1" w:styleId="creators">
    <w:name w:val="creators"/>
    <w:basedOn w:val="DefaultParagraphFont"/>
    <w:rsid w:val="00780D3C"/>
  </w:style>
  <w:style w:type="character" w:customStyle="1" w:styleId="personname">
    <w:name w:val="person_name"/>
    <w:basedOn w:val="DefaultParagraphFont"/>
    <w:rsid w:val="00780D3C"/>
  </w:style>
  <w:style w:type="character" w:customStyle="1" w:styleId="Date1">
    <w:name w:val="Date1"/>
    <w:basedOn w:val="DefaultParagraphFont"/>
    <w:rsid w:val="00780D3C"/>
  </w:style>
  <w:style w:type="character" w:customStyle="1" w:styleId="Title1">
    <w:name w:val="Title1"/>
    <w:basedOn w:val="DefaultParagraphFont"/>
    <w:rsid w:val="00780D3C"/>
  </w:style>
  <w:style w:type="paragraph" w:customStyle="1" w:styleId="Default">
    <w:name w:val="Default"/>
    <w:rsid w:val="000E3459"/>
    <w:pPr>
      <w:autoSpaceDE w:val="0"/>
      <w:autoSpaceDN w:val="0"/>
      <w:adjustRightInd w:val="0"/>
      <w:spacing w:after="0" w:line="240" w:lineRule="auto"/>
    </w:pPr>
    <w:rPr>
      <w:rFonts w:ascii="Calibri" w:hAnsi="Calibri" w:cs="Calibri"/>
      <w:color w:val="000000"/>
      <w:sz w:val="24"/>
      <w:szCs w:val="24"/>
      <w:lang w:bidi="bn-BD"/>
    </w:rPr>
  </w:style>
  <w:style w:type="paragraph" w:styleId="Revision">
    <w:name w:val="Revision"/>
    <w:hidden/>
    <w:uiPriority w:val="99"/>
    <w:semiHidden/>
    <w:rsid w:val="001F1FCC"/>
    <w:pPr>
      <w:spacing w:after="0" w:line="240" w:lineRule="auto"/>
    </w:pPr>
  </w:style>
  <w:style w:type="paragraph" w:styleId="FootnoteText">
    <w:name w:val="footnote text"/>
    <w:basedOn w:val="Normal"/>
    <w:link w:val="FootnoteTextChar"/>
    <w:uiPriority w:val="99"/>
    <w:semiHidden/>
    <w:unhideWhenUsed/>
    <w:rsid w:val="00EE2E28"/>
    <w:pPr>
      <w:spacing w:after="0"/>
    </w:pPr>
    <w:rPr>
      <w:sz w:val="20"/>
      <w:szCs w:val="20"/>
    </w:rPr>
  </w:style>
  <w:style w:type="character" w:customStyle="1" w:styleId="FootnoteTextChar">
    <w:name w:val="Footnote Text Char"/>
    <w:basedOn w:val="DefaultParagraphFont"/>
    <w:link w:val="FootnoteText"/>
    <w:uiPriority w:val="99"/>
    <w:semiHidden/>
    <w:rsid w:val="00EE2E28"/>
    <w:rPr>
      <w:sz w:val="20"/>
      <w:szCs w:val="20"/>
    </w:rPr>
  </w:style>
  <w:style w:type="character" w:styleId="FootnoteReference">
    <w:name w:val="footnote reference"/>
    <w:basedOn w:val="DefaultParagraphFont"/>
    <w:uiPriority w:val="99"/>
    <w:semiHidden/>
    <w:unhideWhenUsed/>
    <w:rsid w:val="00EE2E28"/>
    <w:rPr>
      <w:vertAlign w:val="superscript"/>
    </w:rPr>
  </w:style>
  <w:style w:type="table" w:customStyle="1" w:styleId="TableGrid1">
    <w:name w:val="Table Grid1"/>
    <w:basedOn w:val="TableNormal"/>
    <w:next w:val="TableGrid"/>
    <w:uiPriority w:val="39"/>
    <w:rsid w:val="00E54BE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45EB"/>
    <w:rPr>
      <w:color w:val="808080"/>
    </w:rPr>
  </w:style>
  <w:style w:type="character" w:styleId="FollowedHyperlink">
    <w:name w:val="FollowedHyperlink"/>
    <w:basedOn w:val="DefaultParagraphFont"/>
    <w:uiPriority w:val="99"/>
    <w:semiHidden/>
    <w:unhideWhenUsed/>
    <w:rsid w:val="00B3746C"/>
    <w:rPr>
      <w:color w:val="954F72" w:themeColor="followedHyperlink"/>
      <w:u w:val="single"/>
    </w:rPr>
  </w:style>
  <w:style w:type="character" w:customStyle="1" w:styleId="sw">
    <w:name w:val="sw"/>
    <w:basedOn w:val="DefaultParagraphFont"/>
    <w:rsid w:val="00F51F18"/>
  </w:style>
  <w:style w:type="paragraph" w:styleId="Bibliography">
    <w:name w:val="Bibliography"/>
    <w:basedOn w:val="Normal"/>
    <w:next w:val="Normal"/>
    <w:uiPriority w:val="37"/>
    <w:unhideWhenUsed/>
    <w:rsid w:val="002543F6"/>
    <w:pPr>
      <w:spacing w:after="0" w:line="480" w:lineRule="auto"/>
      <w:ind w:left="720" w:hanging="720"/>
    </w:pPr>
  </w:style>
  <w:style w:type="table" w:customStyle="1" w:styleId="GridTable21">
    <w:name w:val="Grid Table 21"/>
    <w:basedOn w:val="TableNormal"/>
    <w:uiPriority w:val="47"/>
    <w:rsid w:val="00637474"/>
    <w:pPr>
      <w:spacing w:after="0" w:line="240" w:lineRule="auto"/>
      <w:jc w:val="both"/>
    </w:pPr>
    <w:rPr>
      <w:rFonts w:ascii="Times New Roman" w:hAnsi="Times New Roman"/>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2">
    <w:name w:val="Grid Table 22"/>
    <w:basedOn w:val="TableNormal"/>
    <w:uiPriority w:val="47"/>
    <w:rsid w:val="001F1F04"/>
    <w:pPr>
      <w:spacing w:after="0" w:line="240" w:lineRule="auto"/>
      <w:jc w:val="both"/>
    </w:pPr>
    <w:rPr>
      <w:rFonts w:ascii="Times New Roman" w:hAnsi="Times New Roman"/>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3">
    <w:name w:val="Grid Table 23"/>
    <w:basedOn w:val="TableNormal"/>
    <w:uiPriority w:val="47"/>
    <w:rsid w:val="00161F6B"/>
    <w:pPr>
      <w:spacing w:after="0" w:line="240" w:lineRule="auto"/>
      <w:jc w:val="both"/>
    </w:pPr>
    <w:rPr>
      <w:rFonts w:ascii="Times New Roman" w:hAnsi="Times New Roman"/>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63570C"/>
    <w:rPr>
      <w:rFonts w:ascii="Times New Roman" w:eastAsia="Times New Roman" w:hAnsi="Times New Roman" w:cs="Times New Roman"/>
      <w:b/>
      <w:bCs/>
      <w:sz w:val="36"/>
      <w:szCs w:val="36"/>
    </w:rPr>
  </w:style>
  <w:style w:type="table" w:customStyle="1" w:styleId="ListTable3-Accent11">
    <w:name w:val="List Table 3 - Accent 11"/>
    <w:basedOn w:val="TableNormal"/>
    <w:uiPriority w:val="48"/>
    <w:rsid w:val="0063570C"/>
    <w:pPr>
      <w:spacing w:after="0" w:line="240" w:lineRule="auto"/>
    </w:pPr>
    <w:rPr>
      <w:rFonts w:ascii="Times New Roman" w:hAnsi="Times New Roman"/>
      <w:sz w:val="24"/>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CG-06-2023-0262" TargetMode="External"/><Relationship Id="rId13" Type="http://schemas.openxmlformats.org/officeDocument/2006/relationships/hyperlink" Target="https://www.sec.gov.bd/slaws/Corporate_Governance_Code_10.06.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balreporting.org/%20(access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gov.bd/slaws/Corporate_Governance_Code_10.06.201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kimran05@gmail.com" TargetMode="External"/><Relationship Id="rId4" Type="http://schemas.openxmlformats.org/officeDocument/2006/relationships/settings" Target="settings.xml"/><Relationship Id="rId9" Type="http://schemas.openxmlformats.org/officeDocument/2006/relationships/hyperlink" Target="mailto:a.saha1@keele.ac.uk" TargetMode="External"/><Relationship Id="rId14" Type="http://schemas.openxmlformats.org/officeDocument/2006/relationships/hyperlink" Target="mailto:permissions@emeral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c.gov.bd/slaws/Corporate_Governance_Code_10.06.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289F-8DBF-43FD-8629-9E890146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38</Pages>
  <Words>16715</Words>
  <Characters>99123</Characters>
  <Application>Microsoft Office Word</Application>
  <DocSecurity>0</DocSecurity>
  <Lines>3003</Lines>
  <Paragraphs>1755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Anup Kumar Saha</cp:lastModifiedBy>
  <cp:revision>97</cp:revision>
  <cp:lastPrinted>2024-01-28T14:35:00Z</cp:lastPrinted>
  <dcterms:created xsi:type="dcterms:W3CDTF">2024-02-04T09:30:00Z</dcterms:created>
  <dcterms:modified xsi:type="dcterms:W3CDTF">2024-03-04T18:41:00Z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b1a3f5bb9e66f480c5a24ca327a6619dd6f42e5cc72c4f98e17e6e657e5a4fa7</vt:lpwstr>
  </property>
  <property fmtid="{D5CDD505-2E9C-101B-9397-08002B2CF9AE}" pid="3" name="ZOTERO_PREF_1">
    <vt:lpwstr>&lt;data data-version="3" zotero-version="6.0.30"&gt;&lt;session id="oS3NVP3l"/&gt;&lt;style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