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ADB" w:rsidRPr="009231FE" w:rsidRDefault="003D0E8D" w:rsidP="002C5ADB">
      <w:pPr>
        <w:rPr>
          <w:rFonts w:ascii="Times New Roman" w:hAnsi="Times New Roman" w:cs="Times New Roman"/>
          <w:sz w:val="24"/>
          <w:szCs w:val="24"/>
          <w:lang w:val="en-US"/>
        </w:rPr>
      </w:pPr>
      <w:r w:rsidRPr="009231FE">
        <w:rPr>
          <w:rFonts w:ascii="Times New Roman" w:hAnsi="Times New Roman" w:cs="Times New Roman"/>
          <w:sz w:val="24"/>
          <w:szCs w:val="24"/>
          <w:lang w:val="en-US"/>
        </w:rPr>
        <w:t>Additional File One</w:t>
      </w:r>
      <w:r w:rsidR="002C5ADB" w:rsidRPr="009231FE">
        <w:rPr>
          <w:rFonts w:ascii="Times New Roman" w:hAnsi="Times New Roman" w:cs="Times New Roman"/>
          <w:sz w:val="24"/>
          <w:szCs w:val="24"/>
          <w:lang w:val="en-US"/>
        </w:rPr>
        <w:t>: The GRIPP2 Short Form</w:t>
      </w:r>
    </w:p>
    <w:tbl>
      <w:tblPr>
        <w:tblStyle w:val="TableGrid"/>
        <w:tblW w:w="0" w:type="auto"/>
        <w:tblLook w:val="04A0" w:firstRow="1" w:lastRow="0" w:firstColumn="1" w:lastColumn="0" w:noHBand="0" w:noVBand="1"/>
      </w:tblPr>
      <w:tblGrid>
        <w:gridCol w:w="2731"/>
        <w:gridCol w:w="6285"/>
      </w:tblGrid>
      <w:tr w:rsidR="002C5ADB" w:rsidRPr="009231FE"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Section and topic</w:t>
            </w:r>
          </w:p>
        </w:tc>
        <w:tc>
          <w:tcPr>
            <w:tcW w:w="6480"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Item</w:t>
            </w:r>
          </w:p>
        </w:tc>
      </w:tr>
      <w:tr w:rsidR="002C5ADB" w:rsidRPr="009231FE"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1: Aim</w:t>
            </w:r>
            <w:r w:rsidRPr="009231FE">
              <w:rPr>
                <w:rFonts w:ascii="Times New Roman" w:hAnsi="Times New Roman" w:cs="Times New Roman"/>
              </w:rPr>
              <w:br/>
            </w:r>
            <w:r w:rsidRPr="009231FE">
              <w:rPr>
                <w:rFonts w:ascii="Times New Roman" w:hAnsi="Times New Roman" w:cs="Times New Roman"/>
              </w:rPr>
              <w:t> </w:t>
            </w:r>
          </w:p>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 xml:space="preserve">Report the aim </w:t>
            </w:r>
          </w:p>
        </w:tc>
        <w:tc>
          <w:tcPr>
            <w:tcW w:w="6480" w:type="dxa"/>
          </w:tcPr>
          <w:p w:rsidR="003D0E8D" w:rsidRPr="009231FE" w:rsidRDefault="003D0E8D" w:rsidP="003D0E8D">
            <w:pPr>
              <w:rPr>
                <w:rFonts w:ascii="Times New Roman" w:hAnsi="Times New Roman" w:cs="Times New Roman"/>
              </w:rPr>
            </w:pPr>
            <w:r w:rsidRPr="009231FE">
              <w:rPr>
                <w:rFonts w:ascii="Times New Roman" w:hAnsi="Times New Roman" w:cs="Times New Roman"/>
              </w:rPr>
              <w:t>The aims were:</w:t>
            </w:r>
          </w:p>
          <w:p w:rsidR="003D0E8D" w:rsidRPr="009231FE" w:rsidRDefault="002C5ADB" w:rsidP="003D0E8D">
            <w:pPr>
              <w:pStyle w:val="ListParagraph"/>
              <w:numPr>
                <w:ilvl w:val="0"/>
                <w:numId w:val="1"/>
              </w:numPr>
              <w:rPr>
                <w:rFonts w:ascii="Times New Roman" w:hAnsi="Times New Roman" w:cs="Times New Roman"/>
              </w:rPr>
            </w:pPr>
            <w:r w:rsidRPr="009231FE">
              <w:rPr>
                <w:rFonts w:ascii="Times New Roman" w:hAnsi="Times New Roman" w:cs="Times New Roman"/>
              </w:rPr>
              <w:t xml:space="preserve">To </w:t>
            </w:r>
            <w:r w:rsidR="003D0E8D" w:rsidRPr="009231FE">
              <w:rPr>
                <w:rFonts w:ascii="Times New Roman" w:hAnsi="Times New Roman" w:cs="Times New Roman"/>
              </w:rPr>
              <w:t xml:space="preserve">co-design and run two workshops with the young people attending Eloquent </w:t>
            </w:r>
            <w:r w:rsidR="00817B87" w:rsidRPr="009231FE">
              <w:rPr>
                <w:rFonts w:ascii="Times New Roman" w:hAnsi="Times New Roman" w:cs="Times New Roman"/>
              </w:rPr>
              <w:t>(A1)</w:t>
            </w:r>
          </w:p>
          <w:p w:rsidR="003D0E8D" w:rsidRPr="009231FE" w:rsidRDefault="003D0E8D" w:rsidP="003D0E8D">
            <w:pPr>
              <w:pStyle w:val="ListParagraph"/>
              <w:numPr>
                <w:ilvl w:val="0"/>
                <w:numId w:val="1"/>
              </w:numPr>
              <w:rPr>
                <w:rFonts w:ascii="Times New Roman" w:hAnsi="Times New Roman" w:cs="Times New Roman"/>
              </w:rPr>
            </w:pPr>
            <w:r w:rsidRPr="009231FE">
              <w:rPr>
                <w:rFonts w:ascii="Times New Roman" w:hAnsi="Times New Roman" w:cs="Times New Roman"/>
              </w:rPr>
              <w:t xml:space="preserve">To co-design an evaluation of each workshop with the young people attending Eloquent </w:t>
            </w:r>
            <w:r w:rsidR="00817B87" w:rsidRPr="009231FE">
              <w:rPr>
                <w:rFonts w:ascii="Times New Roman" w:hAnsi="Times New Roman" w:cs="Times New Roman"/>
              </w:rPr>
              <w:t xml:space="preserve"> (A2)</w:t>
            </w:r>
          </w:p>
          <w:p w:rsidR="002C5ADB" w:rsidRPr="009231FE" w:rsidRDefault="002C5ADB" w:rsidP="009156BA">
            <w:pPr>
              <w:spacing w:after="160" w:line="259" w:lineRule="auto"/>
              <w:rPr>
                <w:rFonts w:ascii="Times New Roman" w:hAnsi="Times New Roman" w:cs="Times New Roman"/>
              </w:rPr>
            </w:pPr>
          </w:p>
        </w:tc>
      </w:tr>
      <w:tr w:rsidR="002C5ADB" w:rsidRPr="009231FE"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2: Methods</w:t>
            </w:r>
            <w:r w:rsidRPr="009231FE">
              <w:rPr>
                <w:rFonts w:ascii="Times New Roman" w:hAnsi="Times New Roman" w:cs="Times New Roman"/>
              </w:rPr>
              <w:br/>
            </w:r>
            <w:r w:rsidRPr="009231FE">
              <w:rPr>
                <w:rFonts w:ascii="Times New Roman" w:hAnsi="Times New Roman" w:cs="Times New Roman"/>
              </w:rPr>
              <w:t> </w:t>
            </w:r>
          </w:p>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Provide a clear description of the methods used for patient and public involvement (PPI) in the study</w:t>
            </w:r>
          </w:p>
        </w:tc>
        <w:tc>
          <w:tcPr>
            <w:tcW w:w="6480" w:type="dxa"/>
          </w:tcPr>
          <w:p w:rsidR="0039615D" w:rsidRPr="009231FE" w:rsidRDefault="003D0E8D" w:rsidP="003D0E8D">
            <w:pPr>
              <w:rPr>
                <w:rFonts w:ascii="Times New Roman" w:hAnsi="Times New Roman" w:cs="Times New Roman"/>
              </w:rPr>
            </w:pPr>
            <w:r w:rsidRPr="009231FE">
              <w:rPr>
                <w:rFonts w:ascii="Times New Roman" w:hAnsi="Times New Roman" w:cs="Times New Roman"/>
              </w:rPr>
              <w:t xml:space="preserve">The project developed a steering oversight group that included five young people, one academic (AM), NK and the director of Eloquent. </w:t>
            </w:r>
            <w:r w:rsidR="00817B87" w:rsidRPr="009231FE">
              <w:rPr>
                <w:rFonts w:ascii="Times New Roman" w:hAnsi="Times New Roman" w:cs="Times New Roman"/>
              </w:rPr>
              <w:t xml:space="preserve">We met in-person once with the objective to meet A1 and A2, however, it quickly became apparent that we would need more time and meetings. </w:t>
            </w:r>
          </w:p>
          <w:p w:rsidR="00817B87" w:rsidRPr="009231FE" w:rsidRDefault="003D0E8D" w:rsidP="003D0E8D">
            <w:pPr>
              <w:rPr>
                <w:rFonts w:ascii="Times New Roman" w:hAnsi="Times New Roman" w:cs="Times New Roman"/>
              </w:rPr>
            </w:pPr>
            <w:r w:rsidRPr="009231FE">
              <w:rPr>
                <w:rFonts w:ascii="Times New Roman" w:hAnsi="Times New Roman" w:cs="Times New Roman"/>
              </w:rPr>
              <w:t xml:space="preserve">This group met periodically throughout the project with NK also keeping in </w:t>
            </w:r>
            <w:r w:rsidR="00817B87" w:rsidRPr="009231FE">
              <w:rPr>
                <w:rFonts w:ascii="Times New Roman" w:hAnsi="Times New Roman" w:cs="Times New Roman"/>
              </w:rPr>
              <w:t xml:space="preserve">weekly </w:t>
            </w:r>
            <w:r w:rsidRPr="009231FE">
              <w:rPr>
                <w:rFonts w:ascii="Times New Roman" w:hAnsi="Times New Roman" w:cs="Times New Roman"/>
              </w:rPr>
              <w:t xml:space="preserve">contact via instant messaging. </w:t>
            </w:r>
          </w:p>
          <w:p w:rsidR="002C5ADB" w:rsidRPr="009231FE" w:rsidRDefault="003D0E8D" w:rsidP="00817B87">
            <w:pPr>
              <w:rPr>
                <w:rFonts w:ascii="Times New Roman" w:hAnsi="Times New Roman" w:cs="Times New Roman"/>
              </w:rPr>
            </w:pPr>
            <w:r w:rsidRPr="009231FE">
              <w:rPr>
                <w:rFonts w:ascii="Times New Roman" w:hAnsi="Times New Roman" w:cs="Times New Roman"/>
              </w:rPr>
              <w:t>At the beginning of the project the steering group met to decide to what extent their involvement would be. The steering group decided that a co-productive approach could be taken as this provided a voice to the young people. T</w:t>
            </w:r>
            <w:r w:rsidR="00817B87" w:rsidRPr="009231FE">
              <w:rPr>
                <w:rFonts w:ascii="Times New Roman" w:hAnsi="Times New Roman" w:cs="Times New Roman"/>
              </w:rPr>
              <w:t>he steering group co-produced an agenda for each workshop and the evaluation tools</w:t>
            </w:r>
            <w:r w:rsidRPr="009231FE">
              <w:rPr>
                <w:rFonts w:ascii="Times New Roman" w:hAnsi="Times New Roman" w:cs="Times New Roman"/>
              </w:rPr>
              <w:t>.</w:t>
            </w:r>
          </w:p>
        </w:tc>
      </w:tr>
      <w:tr w:rsidR="002C5ADB" w:rsidRPr="009231FE"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3: Results</w:t>
            </w:r>
            <w:r w:rsidRPr="009231FE">
              <w:rPr>
                <w:rFonts w:ascii="Times New Roman" w:hAnsi="Times New Roman" w:cs="Times New Roman"/>
              </w:rPr>
              <w:br/>
            </w:r>
            <w:r w:rsidRPr="009231FE">
              <w:rPr>
                <w:rFonts w:ascii="Times New Roman" w:hAnsi="Times New Roman" w:cs="Times New Roman"/>
              </w:rPr>
              <w:t> </w:t>
            </w:r>
          </w:p>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Outcomes—Report the results of PPI in the study, including both positive and negative outcomes</w:t>
            </w:r>
          </w:p>
        </w:tc>
        <w:tc>
          <w:tcPr>
            <w:tcW w:w="6480" w:type="dxa"/>
          </w:tcPr>
          <w:p w:rsidR="002C5ADB" w:rsidRPr="009231FE" w:rsidRDefault="003D0E8D" w:rsidP="003D0E8D">
            <w:pPr>
              <w:spacing w:after="160" w:line="259" w:lineRule="auto"/>
              <w:rPr>
                <w:rFonts w:ascii="Times New Roman" w:hAnsi="Times New Roman" w:cs="Times New Roman"/>
              </w:rPr>
            </w:pPr>
            <w:r w:rsidRPr="009231FE">
              <w:rPr>
                <w:rFonts w:ascii="Times New Roman" w:hAnsi="Times New Roman" w:cs="Times New Roman"/>
              </w:rPr>
              <w:t xml:space="preserve">On the whole, the content of the workshops were relevant to the young people and gave them a platform to share their voice. The co-produced evaluation methods helped researchers to learn from </w:t>
            </w:r>
            <w:r w:rsidR="001450FD" w:rsidRPr="009231FE">
              <w:rPr>
                <w:rFonts w:ascii="Times New Roman" w:hAnsi="Times New Roman" w:cs="Times New Roman"/>
              </w:rPr>
              <w:t>the workshops which may inform h</w:t>
            </w:r>
            <w:r w:rsidRPr="009231FE">
              <w:rPr>
                <w:rFonts w:ascii="Times New Roman" w:hAnsi="Times New Roman" w:cs="Times New Roman"/>
              </w:rPr>
              <w:t xml:space="preserve">ow they partner with other under-served groups. </w:t>
            </w:r>
          </w:p>
        </w:tc>
      </w:tr>
      <w:tr w:rsidR="002C5ADB" w:rsidRPr="009231FE"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4: Discussion</w:t>
            </w:r>
            <w:r w:rsidRPr="009231FE">
              <w:rPr>
                <w:rFonts w:ascii="Times New Roman" w:hAnsi="Times New Roman" w:cs="Times New Roman"/>
              </w:rPr>
              <w:br/>
            </w:r>
            <w:r w:rsidRPr="009231FE">
              <w:rPr>
                <w:rFonts w:ascii="Times New Roman" w:hAnsi="Times New Roman" w:cs="Times New Roman"/>
              </w:rPr>
              <w:t> </w:t>
            </w:r>
          </w:p>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Outcomes—Comment on the extent to which PPI influenced the study overall. Describe positive and negative effects</w:t>
            </w:r>
          </w:p>
        </w:tc>
        <w:tc>
          <w:tcPr>
            <w:tcW w:w="6480" w:type="dxa"/>
          </w:tcPr>
          <w:p w:rsidR="002C5ADB" w:rsidRPr="009231FE" w:rsidRDefault="003D0E8D" w:rsidP="00817B87">
            <w:pPr>
              <w:rPr>
                <w:rFonts w:ascii="Times New Roman" w:hAnsi="Times New Roman" w:cs="Times New Roman"/>
              </w:rPr>
            </w:pPr>
            <w:r w:rsidRPr="009231FE">
              <w:rPr>
                <w:rFonts w:ascii="Times New Roman" w:hAnsi="Times New Roman" w:cs="Times New Roman"/>
              </w:rPr>
              <w:t>The workshops and subsequent evaluations demonstrate the value of partnering with young people from an under-served community. The steering group influenced all aspects of the project and contributed vast amount</w:t>
            </w:r>
            <w:r w:rsidR="00817B87" w:rsidRPr="009231FE">
              <w:rPr>
                <w:rFonts w:ascii="Times New Roman" w:hAnsi="Times New Roman" w:cs="Times New Roman"/>
              </w:rPr>
              <w:t>s of their time to ensure the evaluation tools</w:t>
            </w:r>
            <w:r w:rsidRPr="009231FE">
              <w:rPr>
                <w:rFonts w:ascii="Times New Roman" w:hAnsi="Times New Roman" w:cs="Times New Roman"/>
              </w:rPr>
              <w:t xml:space="preserve"> were relevant and that other young people engaged throughout. </w:t>
            </w:r>
          </w:p>
        </w:tc>
      </w:tr>
      <w:tr w:rsidR="002C5ADB" w:rsidRPr="00946DE2" w:rsidTr="009156BA">
        <w:tc>
          <w:tcPr>
            <w:tcW w:w="2785" w:type="dxa"/>
          </w:tcPr>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5: Reflections</w:t>
            </w:r>
            <w:r w:rsidRPr="009231FE">
              <w:rPr>
                <w:rFonts w:ascii="Times New Roman" w:hAnsi="Times New Roman" w:cs="Times New Roman"/>
              </w:rPr>
              <w:br/>
            </w:r>
            <w:r w:rsidRPr="009231FE">
              <w:rPr>
                <w:rFonts w:ascii="Times New Roman" w:hAnsi="Times New Roman" w:cs="Times New Roman"/>
              </w:rPr>
              <w:t> </w:t>
            </w:r>
          </w:p>
          <w:p w:rsidR="002C5ADB" w:rsidRPr="009231FE" w:rsidRDefault="002C5ADB" w:rsidP="009156BA">
            <w:pPr>
              <w:spacing w:after="160" w:line="259" w:lineRule="auto"/>
              <w:rPr>
                <w:rFonts w:ascii="Times New Roman" w:hAnsi="Times New Roman" w:cs="Times New Roman"/>
              </w:rPr>
            </w:pPr>
            <w:r w:rsidRPr="009231FE">
              <w:rPr>
                <w:rFonts w:ascii="Times New Roman" w:hAnsi="Times New Roman" w:cs="Times New Roman"/>
              </w:rPr>
              <w:t xml:space="preserve">Critical perspective—Comment critically on the study, reflecting on the things that went well and those that did not, so </w:t>
            </w:r>
            <w:r w:rsidRPr="009231FE">
              <w:rPr>
                <w:rFonts w:ascii="Times New Roman" w:hAnsi="Times New Roman" w:cs="Times New Roman"/>
              </w:rPr>
              <w:lastRenderedPageBreak/>
              <w:t>others can learn from this experience</w:t>
            </w:r>
          </w:p>
          <w:p w:rsidR="002C5ADB" w:rsidRPr="009231FE" w:rsidRDefault="002C5ADB" w:rsidP="009156BA">
            <w:pPr>
              <w:spacing w:after="160" w:line="259" w:lineRule="auto"/>
              <w:rPr>
                <w:rFonts w:ascii="Times New Roman" w:hAnsi="Times New Roman" w:cs="Times New Roman"/>
              </w:rPr>
            </w:pPr>
          </w:p>
        </w:tc>
        <w:tc>
          <w:tcPr>
            <w:tcW w:w="6480" w:type="dxa"/>
          </w:tcPr>
          <w:p w:rsidR="002C5ADB" w:rsidRPr="009231FE" w:rsidRDefault="002C5ADB" w:rsidP="003D0E8D">
            <w:pPr>
              <w:spacing w:after="160" w:line="259" w:lineRule="auto"/>
              <w:rPr>
                <w:rFonts w:ascii="Times New Roman" w:hAnsi="Times New Roman" w:cs="Times New Roman"/>
              </w:rPr>
            </w:pPr>
            <w:r w:rsidRPr="009231FE">
              <w:rPr>
                <w:rFonts w:ascii="Times New Roman" w:hAnsi="Times New Roman" w:cs="Times New Roman"/>
              </w:rPr>
              <w:lastRenderedPageBreak/>
              <w:t xml:space="preserve">All </w:t>
            </w:r>
            <w:r w:rsidR="00817B87" w:rsidRPr="009231FE">
              <w:rPr>
                <w:rFonts w:ascii="Times New Roman" w:hAnsi="Times New Roman" w:cs="Times New Roman"/>
              </w:rPr>
              <w:t>young people within the steering group were female and aged 15 and above. R</w:t>
            </w:r>
            <w:r w:rsidRPr="009231FE">
              <w:rPr>
                <w:rFonts w:ascii="Times New Roman" w:hAnsi="Times New Roman" w:cs="Times New Roman"/>
              </w:rPr>
              <w:t xml:space="preserve">esearchers will try to seek a more diverse </w:t>
            </w:r>
            <w:r w:rsidR="00147D5D" w:rsidRPr="009231FE">
              <w:rPr>
                <w:rFonts w:ascii="Times New Roman" w:hAnsi="Times New Roman" w:cs="Times New Roman"/>
              </w:rPr>
              <w:t>age range</w:t>
            </w:r>
            <w:r w:rsidR="00817B87" w:rsidRPr="009231FE">
              <w:rPr>
                <w:rFonts w:ascii="Times New Roman" w:hAnsi="Times New Roman" w:cs="Times New Roman"/>
              </w:rPr>
              <w:t xml:space="preserve"> in the future. </w:t>
            </w:r>
          </w:p>
          <w:p w:rsidR="00147D5D" w:rsidRPr="009231FE" w:rsidRDefault="00817B87" w:rsidP="00817B87">
            <w:pPr>
              <w:rPr>
                <w:rFonts w:ascii="Times New Roman" w:hAnsi="Times New Roman" w:cs="Times New Roman"/>
              </w:rPr>
            </w:pPr>
            <w:r w:rsidRPr="009231FE">
              <w:rPr>
                <w:rFonts w:ascii="Times New Roman" w:hAnsi="Times New Roman" w:cs="Times New Roman"/>
              </w:rPr>
              <w:t xml:space="preserve">Some of the planned activities, which were co-produced with the steering group, changed on the day of the workshops in response to the young peoples’ agendas and preferences; seeking a more diverse steering group may prevent this in the future. </w:t>
            </w:r>
          </w:p>
          <w:p w:rsidR="00817B87" w:rsidRPr="009231FE" w:rsidRDefault="00817B87" w:rsidP="00817B87">
            <w:pPr>
              <w:rPr>
                <w:rFonts w:ascii="Times New Roman" w:hAnsi="Times New Roman" w:cs="Times New Roman"/>
              </w:rPr>
            </w:pPr>
          </w:p>
          <w:p w:rsidR="00817B87" w:rsidRPr="009231FE" w:rsidRDefault="00817B87" w:rsidP="00817B87">
            <w:pPr>
              <w:rPr>
                <w:rFonts w:ascii="Times New Roman" w:hAnsi="Times New Roman" w:cs="Times New Roman"/>
              </w:rPr>
            </w:pPr>
            <w:r w:rsidRPr="009231FE">
              <w:rPr>
                <w:rFonts w:ascii="Times New Roman" w:hAnsi="Times New Roman" w:cs="Times New Roman"/>
              </w:rPr>
              <w:t xml:space="preserve">The researchers noted that this space was an unfamiliar environment to them. AM reflected on her positionality within the steering group and Reinvent project in the following way: </w:t>
            </w:r>
          </w:p>
          <w:p w:rsidR="00946DE2" w:rsidRPr="009231FE" w:rsidRDefault="00946DE2" w:rsidP="00817B87">
            <w:pPr>
              <w:rPr>
                <w:rFonts w:ascii="Times New Roman" w:hAnsi="Times New Roman" w:cs="Times New Roman"/>
              </w:rPr>
            </w:pPr>
          </w:p>
          <w:p w:rsidR="00817B87" w:rsidRPr="00946DE2" w:rsidRDefault="00817B87" w:rsidP="00817B87">
            <w:pPr>
              <w:rPr>
                <w:rFonts w:ascii="Times New Roman" w:hAnsi="Times New Roman" w:cs="Times New Roman"/>
              </w:rPr>
            </w:pPr>
            <w:r w:rsidRPr="009231FE">
              <w:rPr>
                <w:rFonts w:ascii="Times New Roman" w:hAnsi="Times New Roman" w:cs="Times New Roman"/>
              </w:rPr>
              <w:t xml:space="preserve">It is important to reflect on the impact of my positionality may have on the project and steering group. Researchers working within their own cultures are classed as ‘insiders’, whereas those who study cultures different to their own are perceived as ‘outsiders’. I did not belong to the same ethic or age group as the young people I was </w:t>
            </w:r>
            <w:r w:rsidR="00946DE2" w:rsidRPr="009231FE">
              <w:rPr>
                <w:rFonts w:ascii="Times New Roman" w:hAnsi="Times New Roman" w:cs="Times New Roman"/>
              </w:rPr>
              <w:t xml:space="preserve">engaging with, and did not live within the same geographical region. I am a Caucasian, thirty year old researcher who lives in the Staffordshire Moorlands. I was concerned that as my ‘outsider’ status would influence interactions, however, the young people were extremely welcoming and all academics felt a sense of inclusion when at Eloquent (within the workshops and meetings with the steering group). The young people listened to each other, and the academics, without judgement and respected individual stories. I felt like the staff an Eloquent, and the researchers, has a shared commitment to the Reinvent project which supported the </w:t>
            </w:r>
            <w:proofErr w:type="spellStart"/>
            <w:r w:rsidR="00946DE2" w:rsidRPr="009231FE">
              <w:rPr>
                <w:rFonts w:ascii="Times New Roman" w:hAnsi="Times New Roman" w:cs="Times New Roman"/>
              </w:rPr>
              <w:t>organisation</w:t>
            </w:r>
            <w:proofErr w:type="spellEnd"/>
            <w:r w:rsidR="00946DE2" w:rsidRPr="009231FE">
              <w:rPr>
                <w:rFonts w:ascii="Times New Roman" w:hAnsi="Times New Roman" w:cs="Times New Roman"/>
              </w:rPr>
              <w:t xml:space="preserve"> and running of the workshops. I will take the learnings from Reinvent into future studies in which I work.</w:t>
            </w:r>
            <w:bookmarkStart w:id="0" w:name="_GoBack"/>
            <w:bookmarkEnd w:id="0"/>
          </w:p>
          <w:p w:rsidR="00817B87" w:rsidRPr="00946DE2" w:rsidRDefault="00817B87" w:rsidP="00946DE2">
            <w:pPr>
              <w:rPr>
                <w:rFonts w:ascii="Times New Roman" w:hAnsi="Times New Roman" w:cs="Times New Roman"/>
              </w:rPr>
            </w:pPr>
            <w:r w:rsidRPr="00946DE2">
              <w:rPr>
                <w:rFonts w:ascii="Times New Roman" w:hAnsi="Times New Roman" w:cs="Times New Roman"/>
              </w:rPr>
              <w:t xml:space="preserve"> </w:t>
            </w:r>
          </w:p>
        </w:tc>
      </w:tr>
    </w:tbl>
    <w:p w:rsidR="002C5ADB" w:rsidRPr="00737D8F" w:rsidRDefault="002C5ADB" w:rsidP="002C5ADB">
      <w:pPr>
        <w:rPr>
          <w:lang w:val="en-US"/>
        </w:rPr>
      </w:pPr>
    </w:p>
    <w:p w:rsidR="002C5ADB" w:rsidRDefault="002C5ADB" w:rsidP="002C5ADB"/>
    <w:p w:rsidR="002C5ADB" w:rsidRDefault="002C5ADB" w:rsidP="002C5ADB"/>
    <w:p w:rsidR="00D421BE" w:rsidRDefault="00D421BE"/>
    <w:sectPr w:rsidR="00D421BE" w:rsidSect="00737D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77294"/>
    <w:multiLevelType w:val="hybridMultilevel"/>
    <w:tmpl w:val="F4868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ADB"/>
    <w:rsid w:val="000C0476"/>
    <w:rsid w:val="001450FD"/>
    <w:rsid w:val="00147D5D"/>
    <w:rsid w:val="002C5ADB"/>
    <w:rsid w:val="0039615D"/>
    <w:rsid w:val="003D0E8D"/>
    <w:rsid w:val="00745010"/>
    <w:rsid w:val="0078276E"/>
    <w:rsid w:val="00817B87"/>
    <w:rsid w:val="009231FE"/>
    <w:rsid w:val="00946DE2"/>
    <w:rsid w:val="00D421BE"/>
    <w:rsid w:val="00F36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33762-D977-44F0-9DF4-171E783E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5AD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E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Moult</dc:creator>
  <cp:keywords/>
  <dc:description/>
  <cp:lastModifiedBy>Defi Christin Raj</cp:lastModifiedBy>
  <cp:revision>4</cp:revision>
  <dcterms:created xsi:type="dcterms:W3CDTF">2023-11-28T11:58:00Z</dcterms:created>
  <dcterms:modified xsi:type="dcterms:W3CDTF">2024-03-15T05:52:00Z</dcterms:modified>
</cp:coreProperties>
</file>