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page" w:tblpX="633" w:tblpY="731"/>
        <w:tblW w:w="99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2126"/>
        <w:gridCol w:w="1134"/>
        <w:gridCol w:w="2126"/>
        <w:gridCol w:w="1134"/>
      </w:tblGrid>
      <w:tr w:rsidR="003C79D3" w:rsidTr="003C79D3">
        <w:trPr>
          <w:trHeight w:val="324"/>
        </w:trPr>
        <w:tc>
          <w:tcPr>
            <w:tcW w:w="3412" w:type="dxa"/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20" w:after="5"/>
              <w:ind w:left="40" w:right="55"/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3260" w:type="dxa"/>
            <w:gridSpan w:val="2"/>
            <w:tcBorders>
              <w:left w:val="nil"/>
              <w:bottom w:val="single" w:sz="1" w:space="0" w:color="152935"/>
              <w:right w:val="single" w:sz="4" w:space="0" w:color="auto"/>
            </w:tcBorders>
            <w:shd w:val="clear" w:color="auto" w:fill="FFFFFF"/>
            <w:vAlign w:val="center"/>
          </w:tcPr>
          <w:p w:rsidR="003C79D3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>
              <w:rPr>
                <w:rFonts w:ascii="Helvetica Neue" w:eastAsia="Arial" w:hAnsi="Helvetica Neue" w:cs="Gill Sans"/>
                <w:color w:val="264A60"/>
              </w:rPr>
              <w:t>Pre-Radiotherapy</w:t>
            </w:r>
          </w:p>
        </w:tc>
        <w:tc>
          <w:tcPr>
            <w:tcW w:w="3260" w:type="dxa"/>
            <w:gridSpan w:val="2"/>
            <w:tcBorders>
              <w:top w:val="none" w:sz="1" w:space="0" w:color="152935"/>
              <w:left w:val="single" w:sz="4" w:space="0" w:color="auto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>
              <w:rPr>
                <w:rFonts w:ascii="Helvetica Neue" w:eastAsia="Arial" w:hAnsi="Helvetica Neue" w:cs="Gill Sans"/>
                <w:color w:val="264A60"/>
              </w:rPr>
              <w:t>Post-Radiotherapy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20" w:after="5"/>
              <w:ind w:left="40" w:right="55"/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3260" w:type="dxa"/>
            <w:gridSpan w:val="2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4" w:space="0" w:color="auto"/>
            </w:tcBorders>
            <w:shd w:val="clear" w:color="auto" w:fill="FFFFFF"/>
            <w:vAlign w:val="center"/>
          </w:tcPr>
          <w:p w:rsidR="003C79D3" w:rsidRPr="00870477" w:rsidRDefault="008459E7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>
              <w:rPr>
                <w:rFonts w:ascii="Helvetica Neue" w:eastAsia="Arial" w:hAnsi="Helvetica Neue" w:cs="Gill Sans"/>
                <w:color w:val="264A60"/>
              </w:rPr>
              <w:t>hs</w:t>
            </w:r>
            <w:r w:rsidR="003C79D3" w:rsidRPr="00EE1267">
              <w:rPr>
                <w:rFonts w:ascii="Helvetica Neue" w:eastAsia="Arial" w:hAnsi="Helvetica Neue" w:cs="Gill Sans"/>
                <w:color w:val="264A60"/>
              </w:rPr>
              <w:t>TnI</w:t>
            </w:r>
          </w:p>
        </w:tc>
        <w:tc>
          <w:tcPr>
            <w:tcW w:w="3260" w:type="dxa"/>
            <w:gridSpan w:val="2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8459E7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>
              <w:rPr>
                <w:rFonts w:ascii="Helvetica Neue" w:eastAsia="Arial" w:hAnsi="Helvetica Neue" w:cs="Gill Sans"/>
                <w:color w:val="264A60"/>
              </w:rPr>
              <w:t>hs</w:t>
            </w:r>
            <w:r w:rsidR="003C79D3" w:rsidRPr="00EE1267">
              <w:rPr>
                <w:rFonts w:ascii="Helvetica Neue" w:eastAsia="Arial" w:hAnsi="Helvetica Neue" w:cs="Gill Sans"/>
                <w:color w:val="264A60"/>
              </w:rPr>
              <w:t>TnI</w:t>
            </w:r>
          </w:p>
        </w:tc>
      </w:tr>
      <w:tr w:rsidR="003C79D3" w:rsidRPr="00BE1281" w:rsidTr="003C79D3">
        <w:trPr>
          <w:trHeight w:val="324"/>
        </w:trPr>
        <w:tc>
          <w:tcPr>
            <w:tcW w:w="3412" w:type="dxa"/>
            <w:tcBorders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20" w:after="5"/>
              <w:ind w:left="40" w:right="55"/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212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 w:rsidRPr="00BE1281">
              <w:rPr>
                <w:rFonts w:ascii="Helvetica Neue" w:eastAsia="Arial" w:hAnsi="Helvetica Neue" w:cs="Gill Sans"/>
                <w:color w:val="264A60"/>
              </w:rPr>
              <w:t>Estimate (SE)</w:t>
            </w:r>
          </w:p>
        </w:tc>
        <w:tc>
          <w:tcPr>
            <w:tcW w:w="1134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4" w:space="0" w:color="auto"/>
            </w:tcBorders>
            <w:shd w:val="clear" w:color="auto" w:fill="FFFFFF"/>
            <w:vAlign w:val="center"/>
          </w:tcPr>
          <w:p w:rsidR="003C79D3" w:rsidRPr="00BE1281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eastAsia="Arial" w:hAnsi="Helvetica Neue" w:cs="Gill Sans"/>
                <w:color w:val="264A60"/>
              </w:rPr>
            </w:pP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</w:rPr>
              <w:t>p</w:t>
            </w:r>
          </w:p>
        </w:tc>
        <w:tc>
          <w:tcPr>
            <w:tcW w:w="212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 w:rsidRPr="00BE1281">
              <w:rPr>
                <w:rFonts w:ascii="Helvetica Neue" w:eastAsia="Arial" w:hAnsi="Helvetica Neue" w:cs="Gill Sans"/>
                <w:color w:val="264A60"/>
              </w:rPr>
              <w:t>Estimate (SE)</w:t>
            </w:r>
          </w:p>
        </w:tc>
        <w:tc>
          <w:tcPr>
            <w:tcW w:w="1134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BE1281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eastAsia="Arial" w:hAnsi="Helvetica Neue" w:cs="Gill Sans"/>
                <w:color w:val="264A60"/>
              </w:rPr>
            </w:pP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</w:rPr>
              <w:t>p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Intercept</w:t>
            </w:r>
          </w:p>
        </w:tc>
        <w:tc>
          <w:tcPr>
            <w:tcW w:w="212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0.01 (0.00)</w:t>
            </w:r>
          </w:p>
        </w:tc>
        <w:tc>
          <w:tcPr>
            <w:tcW w:w="1134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 w:rsidRPr="004158D0"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&lt; 0.001</w:t>
            </w:r>
          </w:p>
        </w:tc>
        <w:tc>
          <w:tcPr>
            <w:tcW w:w="212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0.01 (0.01)</w:t>
            </w:r>
          </w:p>
        </w:tc>
        <w:tc>
          <w:tcPr>
            <w:tcW w:w="1134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0.111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rPr>
                <w:rFonts w:ascii="Helvetica Neue" w:hAnsi="Helvetica Neue" w:cs="Gill Sans"/>
                <w:sz w:val="22"/>
                <w:szCs w:val="22"/>
              </w:rPr>
            </w:pPr>
            <w:r w:rsidRPr="00870477"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Age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0.235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1.000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right="55"/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</w:pP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BMI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0.936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1.000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right="55"/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</w:pP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Hypertensive (</w:t>
            </w: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  <w:sz w:val="22"/>
                <w:szCs w:val="22"/>
              </w:rPr>
              <w:t>vs</w:t>
            </w: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 xml:space="preserve"> no)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0.249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1.000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right="55"/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</w:pP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Received A</w:t>
            </w:r>
            <w:r w:rsidRPr="00870477"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nthracycline</w:t>
            </w: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s (</w:t>
            </w: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  <w:sz w:val="22"/>
                <w:szCs w:val="22"/>
              </w:rPr>
              <w:t>vs</w:t>
            </w: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 xml:space="preserve"> no)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0.256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1.000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AEAEAE"/>
              <w:left w:val="none" w:sz="1" w:space="0" w:color="152935"/>
              <w:bottom w:val="single" w:sz="2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right="55"/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</w:pP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Received</w:t>
            </w:r>
            <w:r w:rsidRPr="00870477"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 xml:space="preserve"> Anti-Her2</w:t>
            </w: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 xml:space="preserve"> (</w:t>
            </w: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  <w:sz w:val="22"/>
                <w:szCs w:val="22"/>
              </w:rPr>
              <w:t>vs</w:t>
            </w: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 xml:space="preserve"> no)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2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2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0.659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2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2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1.000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2" w:space="0" w:color="AEAEAE"/>
              <w:bottom w:val="single" w:sz="4" w:space="0" w:color="auto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right="55"/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</w:pP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W</w:t>
            </w:r>
            <w:r w:rsidRPr="00870477"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hole heart D</w:t>
            </w:r>
            <w:r w:rsidRPr="00870477">
              <w:rPr>
                <w:rFonts w:ascii="Helvetica Neue" w:eastAsia="Arial" w:hAnsi="Helvetica Neue" w:cs="Gill Sans"/>
                <w:color w:val="264A60"/>
                <w:sz w:val="22"/>
                <w:szCs w:val="22"/>
                <w:vertAlign w:val="subscript"/>
              </w:rPr>
              <w:t>mean</w:t>
            </w:r>
          </w:p>
        </w:tc>
        <w:tc>
          <w:tcPr>
            <w:tcW w:w="2126" w:type="dxa"/>
            <w:tcBorders>
              <w:top w:val="single" w:sz="2" w:space="0" w:color="AEAEAE"/>
              <w:left w:val="single" w:sz="1" w:space="0" w:color="E0E0E0"/>
              <w:bottom w:val="single" w:sz="4" w:space="0" w:color="auto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NM</w:t>
            </w:r>
          </w:p>
        </w:tc>
        <w:tc>
          <w:tcPr>
            <w:tcW w:w="1134" w:type="dxa"/>
            <w:tcBorders>
              <w:top w:val="single" w:sz="2" w:space="0" w:color="AEAEAE"/>
              <w:left w:val="single" w:sz="1" w:space="0" w:color="E0E0E0"/>
              <w:bottom w:val="single" w:sz="4" w:space="0" w:color="auto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2" w:space="0" w:color="AEAEAE"/>
              <w:left w:val="single" w:sz="1" w:space="0" w:color="E0E0E0"/>
              <w:bottom w:val="single" w:sz="4" w:space="0" w:color="auto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(0.00)</w:t>
            </w:r>
          </w:p>
        </w:tc>
        <w:tc>
          <w:tcPr>
            <w:tcW w:w="1134" w:type="dxa"/>
            <w:tcBorders>
              <w:top w:val="single" w:sz="2" w:space="0" w:color="AEAEAE"/>
              <w:left w:val="single" w:sz="1" w:space="0" w:color="E0E0E0"/>
              <w:bottom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1.000</w:t>
            </w:r>
          </w:p>
        </w:tc>
      </w:tr>
      <w:tr w:rsidR="003C79D3" w:rsidRPr="00870477" w:rsidTr="003C79D3">
        <w:trPr>
          <w:trHeight w:val="324"/>
        </w:trPr>
        <w:tc>
          <w:tcPr>
            <w:tcW w:w="993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79D3" w:rsidRDefault="003C79D3" w:rsidP="003C79D3">
            <w:pPr>
              <w:spacing w:before="20" w:after="15"/>
              <w:ind w:left="40" w:right="55"/>
              <w:rPr>
                <w:rFonts w:ascii="Helvetica Neue" w:hAnsi="Helvetica Neue" w:cs="Gill Sans"/>
                <w:sz w:val="22"/>
                <w:szCs w:val="22"/>
              </w:rPr>
            </w:pPr>
            <w:r w:rsidRPr="00870477">
              <w:rPr>
                <w:rFonts w:ascii="Helvetica Neue" w:hAnsi="Helvetica Neue" w:cs="Gill Sans"/>
                <w:i/>
                <w:iCs/>
                <w:sz w:val="20"/>
                <w:szCs w:val="20"/>
              </w:rPr>
              <w:t>Abbreviations</w:t>
            </w:r>
            <w:r w:rsidRPr="00870477">
              <w:rPr>
                <w:rFonts w:ascii="Helvetica Neue" w:hAnsi="Helvetica Neue" w:cs="Gill Sans"/>
                <w:sz w:val="20"/>
                <w:szCs w:val="20"/>
              </w:rPr>
              <w:t xml:space="preserve">: </w:t>
            </w:r>
            <w:r>
              <w:rPr>
                <w:rFonts w:ascii="Helvetica Neue" w:hAnsi="Helvetica Neue" w:cs="Gill Sans"/>
                <w:sz w:val="20"/>
                <w:szCs w:val="20"/>
              </w:rPr>
              <w:t xml:space="preserve">BMI, Body Mass Index; </w:t>
            </w:r>
            <w:r w:rsidRPr="00870477">
              <w:rPr>
                <w:rFonts w:ascii="Helvetica Neue" w:hAnsi="Helvetica Neue" w:cs="Gill Sans"/>
                <w:sz w:val="20"/>
                <w:szCs w:val="20"/>
              </w:rPr>
              <w:t>D</w:t>
            </w:r>
            <w:r w:rsidRPr="00870477">
              <w:rPr>
                <w:rFonts w:ascii="Helvetica Neue" w:hAnsi="Helvetica Neue" w:cs="Gill Sans"/>
                <w:sz w:val="20"/>
                <w:szCs w:val="20"/>
                <w:vertAlign w:val="subscript"/>
              </w:rPr>
              <w:t>mean</w:t>
            </w:r>
            <w:r w:rsidRPr="00870477">
              <w:rPr>
                <w:rFonts w:ascii="Helvetica Neue" w:hAnsi="Helvetica Neue" w:cs="Gill Sans"/>
                <w:sz w:val="20"/>
                <w:szCs w:val="20"/>
              </w:rPr>
              <w:t>, Mean Dose</w:t>
            </w:r>
            <w:r>
              <w:rPr>
                <w:rFonts w:ascii="Helvetica Neue" w:hAnsi="Helvetica Neue" w:cs="Gill Sans"/>
                <w:sz w:val="20"/>
                <w:szCs w:val="20"/>
              </w:rPr>
              <w:t>; NM, Not Modelled</w:t>
            </w:r>
          </w:p>
        </w:tc>
      </w:tr>
    </w:tbl>
    <w:p w:rsidR="003C79D3" w:rsidRDefault="003C79D3"/>
    <w:p w:rsidR="003C79D3" w:rsidRDefault="003C79D3"/>
    <w:p w:rsidR="003C79D3" w:rsidRDefault="003C79D3"/>
    <w:p w:rsidR="003C79D3" w:rsidRDefault="003C79D3"/>
    <w:p w:rsidR="003C79D3" w:rsidRDefault="003C79D3"/>
    <w:p w:rsidR="003C79D3" w:rsidRDefault="003C79D3"/>
    <w:p w:rsidR="003C79D3" w:rsidRDefault="003C79D3"/>
    <w:p w:rsidR="003C79D3" w:rsidRDefault="003C79D3"/>
    <w:p w:rsidR="003C79D3" w:rsidRDefault="003C79D3"/>
    <w:p w:rsidR="003C79D3" w:rsidRDefault="003C79D3"/>
    <w:p w:rsidR="003C79D3" w:rsidRDefault="003C79D3">
      <w:pPr>
        <w:rPr>
          <w:rFonts w:ascii="Helvetica Neue" w:hAnsi="Helvetica Neue"/>
        </w:rPr>
      </w:pPr>
      <w:r w:rsidRPr="003C79D3">
        <w:rPr>
          <w:rFonts w:ascii="Helvetica Neue" w:hAnsi="Helvetica Neue"/>
        </w:rPr>
        <w:t xml:space="preserve">Supplementary Table 1: Multivariable quantile regression for </w:t>
      </w:r>
      <w:r w:rsidR="000632C3">
        <w:rPr>
          <w:rFonts w:ascii="Helvetica Neue" w:hAnsi="Helvetica Neue"/>
        </w:rPr>
        <w:t xml:space="preserve">high sensitivity </w:t>
      </w:r>
      <w:r w:rsidRPr="003C79D3">
        <w:rPr>
          <w:rFonts w:ascii="Helvetica Neue" w:hAnsi="Helvetica Neue"/>
        </w:rPr>
        <w:t>Troponin I.</w:t>
      </w:r>
    </w:p>
    <w:p w:rsidR="003C79D3" w:rsidRDefault="003C79D3">
      <w:pPr>
        <w:rPr>
          <w:rFonts w:ascii="Helvetica Neue" w:hAnsi="Helvetica Neue"/>
        </w:rPr>
      </w:pPr>
    </w:p>
    <w:p w:rsidR="003C79D3" w:rsidRDefault="003C79D3">
      <w:pPr>
        <w:rPr>
          <w:rFonts w:ascii="Helvetica Neue" w:hAnsi="Helvetica Neue"/>
        </w:rPr>
      </w:pPr>
    </w:p>
    <w:tbl>
      <w:tblPr>
        <w:tblpPr w:leftFromText="180" w:rightFromText="180" w:vertAnchor="page" w:horzAnchor="margin" w:tblpXSpec="center" w:tblpY="5189"/>
        <w:tblW w:w="229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2126"/>
        <w:gridCol w:w="1134"/>
        <w:gridCol w:w="2126"/>
        <w:gridCol w:w="1134"/>
        <w:gridCol w:w="2126"/>
        <w:gridCol w:w="1134"/>
        <w:gridCol w:w="2126"/>
        <w:gridCol w:w="1134"/>
        <w:gridCol w:w="2126"/>
        <w:gridCol w:w="1134"/>
        <w:gridCol w:w="2126"/>
        <w:gridCol w:w="1134"/>
      </w:tblGrid>
      <w:tr w:rsidR="003C79D3" w:rsidTr="003C79D3">
        <w:trPr>
          <w:trHeight w:val="324"/>
        </w:trPr>
        <w:tc>
          <w:tcPr>
            <w:tcW w:w="3412" w:type="dxa"/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20" w:after="5"/>
              <w:ind w:left="40" w:right="55"/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9780" w:type="dxa"/>
            <w:gridSpan w:val="6"/>
            <w:tcBorders>
              <w:left w:val="nil"/>
              <w:bottom w:val="single" w:sz="1" w:space="0" w:color="152935"/>
              <w:right w:val="single" w:sz="4" w:space="0" w:color="auto"/>
            </w:tcBorders>
            <w:shd w:val="clear" w:color="auto" w:fill="FFFFFF"/>
            <w:vAlign w:val="center"/>
          </w:tcPr>
          <w:p w:rsidR="003C79D3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>
              <w:rPr>
                <w:rFonts w:ascii="Helvetica Neue" w:eastAsia="Arial" w:hAnsi="Helvetica Neue" w:cs="Gill Sans"/>
                <w:color w:val="264A60"/>
              </w:rPr>
              <w:t>Pre-Radiotherapy</w:t>
            </w:r>
          </w:p>
        </w:tc>
        <w:tc>
          <w:tcPr>
            <w:tcW w:w="9780" w:type="dxa"/>
            <w:gridSpan w:val="6"/>
            <w:tcBorders>
              <w:top w:val="none" w:sz="1" w:space="0" w:color="152935"/>
              <w:left w:val="single" w:sz="4" w:space="0" w:color="auto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>
              <w:rPr>
                <w:rFonts w:ascii="Helvetica Neue" w:eastAsia="Arial" w:hAnsi="Helvetica Neue" w:cs="Gill Sans"/>
                <w:color w:val="264A60"/>
              </w:rPr>
              <w:t>Post-Radiotherapy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20" w:after="5"/>
              <w:ind w:left="40" w:right="55"/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3260" w:type="dxa"/>
            <w:gridSpan w:val="2"/>
            <w:tcBorders>
              <w:top w:val="none" w:sz="1" w:space="0" w:color="152935"/>
              <w:left w:val="nil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center"/>
          </w:tcPr>
          <w:p w:rsidR="003C79D3" w:rsidRPr="00BE1281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eastAsia="Arial" w:hAnsi="Helvetica Neue" w:cs="Gill Sans"/>
                <w:color w:val="264A60"/>
              </w:rPr>
            </w:pPr>
            <w:r>
              <w:rPr>
                <w:rFonts w:ascii="Helvetica Neue" w:eastAsia="Arial" w:hAnsi="Helvetica Neue" w:cs="Gill Sans"/>
                <w:color w:val="264A60"/>
              </w:rPr>
              <w:t>hsCRP</w:t>
            </w:r>
          </w:p>
        </w:tc>
        <w:tc>
          <w:tcPr>
            <w:tcW w:w="3260" w:type="dxa"/>
            <w:gridSpan w:val="2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 w:rsidRPr="00EE1267">
              <w:rPr>
                <w:rFonts w:ascii="Helvetica Neue" w:eastAsia="Arial" w:hAnsi="Helvetica Neue" w:cs="Gill Sans"/>
                <w:color w:val="264A60"/>
              </w:rPr>
              <w:t>NT-proBNP</w:t>
            </w:r>
          </w:p>
        </w:tc>
        <w:tc>
          <w:tcPr>
            <w:tcW w:w="3260" w:type="dxa"/>
            <w:gridSpan w:val="2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4" w:space="0" w:color="auto"/>
            </w:tcBorders>
            <w:shd w:val="clear" w:color="auto" w:fill="FFFFFF"/>
            <w:vAlign w:val="center"/>
          </w:tcPr>
          <w:p w:rsidR="003C79D3" w:rsidRPr="00870477" w:rsidRDefault="008459E7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>
              <w:rPr>
                <w:rFonts w:ascii="Helvetica Neue" w:eastAsia="Arial" w:hAnsi="Helvetica Neue" w:cs="Gill Sans"/>
                <w:color w:val="264A60"/>
              </w:rPr>
              <w:t>hs</w:t>
            </w:r>
            <w:r w:rsidR="003C79D3" w:rsidRPr="00EE1267">
              <w:rPr>
                <w:rFonts w:ascii="Helvetica Neue" w:eastAsia="Arial" w:hAnsi="Helvetica Neue" w:cs="Gill Sans"/>
                <w:color w:val="264A60"/>
              </w:rPr>
              <w:t>TnI</w:t>
            </w:r>
          </w:p>
        </w:tc>
        <w:tc>
          <w:tcPr>
            <w:tcW w:w="3260" w:type="dxa"/>
            <w:gridSpan w:val="2"/>
            <w:tcBorders>
              <w:top w:val="none" w:sz="1" w:space="0" w:color="152935"/>
              <w:left w:val="single" w:sz="4" w:space="0" w:color="auto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BE1281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eastAsia="Arial" w:hAnsi="Helvetica Neue" w:cs="Gill Sans"/>
                <w:color w:val="264A60"/>
              </w:rPr>
            </w:pPr>
            <w:r>
              <w:rPr>
                <w:rFonts w:ascii="Helvetica Neue" w:eastAsia="Arial" w:hAnsi="Helvetica Neue" w:cs="Gill Sans"/>
                <w:color w:val="264A60"/>
              </w:rPr>
              <w:t>hsCRP</w:t>
            </w:r>
          </w:p>
        </w:tc>
        <w:tc>
          <w:tcPr>
            <w:tcW w:w="3260" w:type="dxa"/>
            <w:gridSpan w:val="2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 w:rsidRPr="00EE1267">
              <w:rPr>
                <w:rFonts w:ascii="Helvetica Neue" w:eastAsia="Arial" w:hAnsi="Helvetica Neue" w:cs="Gill Sans"/>
                <w:color w:val="264A60"/>
              </w:rPr>
              <w:t>NT-proBNP</w:t>
            </w:r>
          </w:p>
        </w:tc>
        <w:tc>
          <w:tcPr>
            <w:tcW w:w="3260" w:type="dxa"/>
            <w:gridSpan w:val="2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8459E7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>
              <w:rPr>
                <w:rFonts w:ascii="Helvetica Neue" w:eastAsia="Arial" w:hAnsi="Helvetica Neue" w:cs="Gill Sans"/>
                <w:color w:val="264A60"/>
              </w:rPr>
              <w:t>hs</w:t>
            </w:r>
            <w:r w:rsidR="003C79D3" w:rsidRPr="00EE1267">
              <w:rPr>
                <w:rFonts w:ascii="Helvetica Neue" w:eastAsia="Arial" w:hAnsi="Helvetica Neue" w:cs="Gill Sans"/>
                <w:color w:val="264A60"/>
              </w:rPr>
              <w:t>TnI</w:t>
            </w:r>
          </w:p>
        </w:tc>
      </w:tr>
      <w:tr w:rsidR="003C79D3" w:rsidRPr="00BE1281" w:rsidTr="003C79D3">
        <w:trPr>
          <w:trHeight w:val="324"/>
        </w:trPr>
        <w:tc>
          <w:tcPr>
            <w:tcW w:w="3412" w:type="dxa"/>
            <w:tcBorders>
              <w:left w:val="none" w:sz="1" w:space="0" w:color="152935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20" w:after="5"/>
              <w:ind w:left="40" w:right="55"/>
              <w:jc w:val="center"/>
              <w:rPr>
                <w:rFonts w:ascii="Helvetica Neue" w:hAnsi="Helvetica Neue" w:cs="Gill Sans"/>
              </w:rPr>
            </w:pPr>
          </w:p>
        </w:tc>
        <w:tc>
          <w:tcPr>
            <w:tcW w:w="2126" w:type="dxa"/>
            <w:tcBorders>
              <w:top w:val="none" w:sz="1" w:space="0" w:color="152935"/>
              <w:left w:val="none" w:sz="1" w:space="0" w:color="152935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center"/>
          </w:tcPr>
          <w:p w:rsidR="003C79D3" w:rsidRPr="00BE1281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 w:rsidRPr="00BE1281">
              <w:rPr>
                <w:rFonts w:ascii="Helvetica Neue" w:eastAsia="Arial" w:hAnsi="Helvetica Neue" w:cs="Gill Sans"/>
                <w:color w:val="264A60"/>
              </w:rPr>
              <w:t>Estimate (SE)</w:t>
            </w:r>
          </w:p>
        </w:tc>
        <w:tc>
          <w:tcPr>
            <w:tcW w:w="1134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1" w:space="0" w:color="E0E0E0"/>
            </w:tcBorders>
            <w:shd w:val="clear" w:color="auto" w:fill="FFFFFF"/>
            <w:vAlign w:val="center"/>
          </w:tcPr>
          <w:p w:rsidR="003C79D3" w:rsidRPr="00BE1281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eastAsia="Arial" w:hAnsi="Helvetica Neue" w:cs="Gill Sans"/>
                <w:i/>
                <w:iCs/>
                <w:color w:val="264A60"/>
              </w:rPr>
            </w:pP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</w:rPr>
              <w:t>p</w:t>
            </w:r>
          </w:p>
        </w:tc>
        <w:tc>
          <w:tcPr>
            <w:tcW w:w="212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 w:rsidRPr="00BE1281">
              <w:rPr>
                <w:rFonts w:ascii="Helvetica Neue" w:eastAsia="Arial" w:hAnsi="Helvetica Neue" w:cs="Gill Sans"/>
                <w:color w:val="264A60"/>
              </w:rPr>
              <w:t>Estimate (SE)</w:t>
            </w:r>
          </w:p>
        </w:tc>
        <w:tc>
          <w:tcPr>
            <w:tcW w:w="1134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</w:rPr>
              <w:t>p</w:t>
            </w:r>
          </w:p>
        </w:tc>
        <w:tc>
          <w:tcPr>
            <w:tcW w:w="212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 w:rsidRPr="00BE1281">
              <w:rPr>
                <w:rFonts w:ascii="Helvetica Neue" w:eastAsia="Arial" w:hAnsi="Helvetica Neue" w:cs="Gill Sans"/>
                <w:color w:val="264A60"/>
              </w:rPr>
              <w:t>Estimate (SE)</w:t>
            </w:r>
          </w:p>
        </w:tc>
        <w:tc>
          <w:tcPr>
            <w:tcW w:w="1134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single" w:sz="4" w:space="0" w:color="auto"/>
            </w:tcBorders>
            <w:shd w:val="clear" w:color="auto" w:fill="FFFFFF"/>
            <w:vAlign w:val="center"/>
          </w:tcPr>
          <w:p w:rsidR="003C79D3" w:rsidRPr="00BE1281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eastAsia="Arial" w:hAnsi="Helvetica Neue" w:cs="Gill Sans"/>
                <w:color w:val="264A60"/>
              </w:rPr>
            </w:pP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</w:rPr>
              <w:t>p</w:t>
            </w:r>
          </w:p>
        </w:tc>
        <w:tc>
          <w:tcPr>
            <w:tcW w:w="2126" w:type="dxa"/>
            <w:tcBorders>
              <w:top w:val="none" w:sz="1" w:space="0" w:color="152935"/>
              <w:left w:val="single" w:sz="4" w:space="0" w:color="auto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BE1281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 w:rsidRPr="00BE1281">
              <w:rPr>
                <w:rFonts w:ascii="Helvetica Neue" w:eastAsia="Arial" w:hAnsi="Helvetica Neue" w:cs="Gill Sans"/>
                <w:color w:val="264A60"/>
              </w:rPr>
              <w:t>Estimate (SE)</w:t>
            </w:r>
          </w:p>
        </w:tc>
        <w:tc>
          <w:tcPr>
            <w:tcW w:w="1134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BE1281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eastAsia="Arial" w:hAnsi="Helvetica Neue" w:cs="Gill Sans"/>
                <w:i/>
                <w:iCs/>
                <w:color w:val="264A60"/>
              </w:rPr>
            </w:pP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</w:rPr>
              <w:t>p</w:t>
            </w:r>
          </w:p>
        </w:tc>
        <w:tc>
          <w:tcPr>
            <w:tcW w:w="212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 w:rsidRPr="00BE1281">
              <w:rPr>
                <w:rFonts w:ascii="Helvetica Neue" w:eastAsia="Arial" w:hAnsi="Helvetica Neue" w:cs="Gill Sans"/>
                <w:color w:val="264A60"/>
              </w:rPr>
              <w:t>Estimate (SE)</w:t>
            </w:r>
          </w:p>
        </w:tc>
        <w:tc>
          <w:tcPr>
            <w:tcW w:w="1134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</w:rPr>
              <w:t>p</w:t>
            </w:r>
          </w:p>
        </w:tc>
        <w:tc>
          <w:tcPr>
            <w:tcW w:w="2126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hAnsi="Helvetica Neue" w:cs="Gill Sans"/>
              </w:rPr>
            </w:pPr>
            <w:r w:rsidRPr="00BE1281">
              <w:rPr>
                <w:rFonts w:ascii="Helvetica Neue" w:eastAsia="Arial" w:hAnsi="Helvetica Neue" w:cs="Gill Sans"/>
                <w:color w:val="264A60"/>
              </w:rPr>
              <w:t>Estimate (SE)</w:t>
            </w:r>
          </w:p>
        </w:tc>
        <w:tc>
          <w:tcPr>
            <w:tcW w:w="1134" w:type="dxa"/>
            <w:tcBorders>
              <w:top w:val="none" w:sz="1" w:space="0" w:color="152935"/>
              <w:left w:val="single" w:sz="1" w:space="0" w:color="E0E0E0"/>
              <w:bottom w:val="single" w:sz="1" w:space="0" w:color="152935"/>
              <w:right w:val="none" w:sz="1" w:space="0" w:color="152935"/>
            </w:tcBorders>
            <w:shd w:val="clear" w:color="auto" w:fill="FFFFFF"/>
            <w:vAlign w:val="center"/>
          </w:tcPr>
          <w:p w:rsidR="003C79D3" w:rsidRPr="00BE1281" w:rsidRDefault="003C79D3" w:rsidP="003C79D3">
            <w:pPr>
              <w:spacing w:before="15" w:after="15"/>
              <w:ind w:left="40" w:right="55"/>
              <w:jc w:val="center"/>
              <w:rPr>
                <w:rFonts w:ascii="Helvetica Neue" w:eastAsia="Arial" w:hAnsi="Helvetica Neue" w:cs="Gill Sans"/>
                <w:color w:val="264A60"/>
              </w:rPr>
            </w:pP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</w:rPr>
              <w:t>p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Intercept</w:t>
            </w:r>
          </w:p>
        </w:tc>
        <w:tc>
          <w:tcPr>
            <w:tcW w:w="2126" w:type="dxa"/>
            <w:tcBorders>
              <w:top w:val="single" w:sz="1" w:space="0" w:color="152935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EE1267" w:rsidRDefault="003C79D3" w:rsidP="003C79D3">
            <w:pPr>
              <w:spacing w:before="20" w:after="15"/>
              <w:ind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-0.87 (0.36)</w:t>
            </w:r>
          </w:p>
        </w:tc>
        <w:tc>
          <w:tcPr>
            <w:tcW w:w="1134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8F3F4C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b/>
                <w:bCs/>
                <w:sz w:val="22"/>
                <w:szCs w:val="22"/>
              </w:rPr>
            </w:pPr>
            <w:r w:rsidRPr="008F3F4C"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0.017</w:t>
            </w:r>
          </w:p>
        </w:tc>
        <w:tc>
          <w:tcPr>
            <w:tcW w:w="212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- 0.91 (0.31)</w:t>
            </w:r>
          </w:p>
        </w:tc>
        <w:tc>
          <w:tcPr>
            <w:tcW w:w="1134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073DE2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b/>
                <w:bCs/>
                <w:sz w:val="22"/>
                <w:szCs w:val="22"/>
              </w:rPr>
            </w:pPr>
            <w:r w:rsidRPr="00073DE2"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0.004</w:t>
            </w:r>
          </w:p>
        </w:tc>
        <w:tc>
          <w:tcPr>
            <w:tcW w:w="212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- 1.90 (0.11)</w:t>
            </w:r>
          </w:p>
        </w:tc>
        <w:tc>
          <w:tcPr>
            <w:tcW w:w="1134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 w:rsidRPr="004158D0"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&lt; 0.001</w:t>
            </w:r>
          </w:p>
        </w:tc>
        <w:tc>
          <w:tcPr>
            <w:tcW w:w="2126" w:type="dxa"/>
            <w:tcBorders>
              <w:top w:val="single" w:sz="1" w:space="0" w:color="152935"/>
              <w:left w:val="single" w:sz="4" w:space="0" w:color="auto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- 0.99 (0.32)</w:t>
            </w:r>
          </w:p>
        </w:tc>
        <w:tc>
          <w:tcPr>
            <w:tcW w:w="1134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233E54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b/>
                <w:bCs/>
                <w:sz w:val="22"/>
                <w:szCs w:val="22"/>
              </w:rPr>
            </w:pPr>
            <w:r w:rsidRPr="00233E54"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0.003</w:t>
            </w:r>
          </w:p>
        </w:tc>
        <w:tc>
          <w:tcPr>
            <w:tcW w:w="212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1.25 (0.32)</w:t>
            </w:r>
          </w:p>
        </w:tc>
        <w:tc>
          <w:tcPr>
            <w:tcW w:w="1134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 w:rsidRPr="004158D0"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&lt; 0.001</w:t>
            </w:r>
          </w:p>
        </w:tc>
        <w:tc>
          <w:tcPr>
            <w:tcW w:w="2126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- 1.80 (0.38)</w:t>
            </w:r>
          </w:p>
        </w:tc>
        <w:tc>
          <w:tcPr>
            <w:tcW w:w="1134" w:type="dxa"/>
            <w:tcBorders>
              <w:top w:val="single" w:sz="1" w:space="0" w:color="152935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 w:rsidRPr="004158D0"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&lt; 0.001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left="40" w:right="55"/>
              <w:rPr>
                <w:rFonts w:ascii="Helvetica Neue" w:hAnsi="Helvetica Neue" w:cs="Gill Sans"/>
                <w:sz w:val="22"/>
                <w:szCs w:val="22"/>
              </w:rPr>
            </w:pPr>
            <w:r w:rsidRPr="00870477"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Age</w:t>
            </w:r>
          </w:p>
        </w:tc>
        <w:tc>
          <w:tcPr>
            <w:tcW w:w="212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- 0.01 (0.01)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0.697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0.02 (0.01)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062774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b/>
                <w:bCs/>
                <w:sz w:val="22"/>
                <w:szCs w:val="22"/>
              </w:rPr>
            </w:pPr>
            <w:r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 xml:space="preserve">&lt; </w:t>
            </w:r>
            <w:r w:rsidRPr="00062774"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0.0</w:t>
            </w:r>
            <w:r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0</w:t>
            </w:r>
            <w:r w:rsidRPr="00062774"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- 0.00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0.811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4" w:space="0" w:color="auto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- 0.01 (0.01)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0.301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0.01 (0.01)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7378DC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b/>
                <w:bCs/>
                <w:sz w:val="22"/>
                <w:szCs w:val="22"/>
              </w:rPr>
            </w:pPr>
            <w:r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0.001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0.435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right="55"/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</w:pP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BMI</w:t>
            </w:r>
          </w:p>
        </w:tc>
        <w:tc>
          <w:tcPr>
            <w:tcW w:w="212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0.04 (0.01)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062774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b/>
                <w:bCs/>
                <w:sz w:val="22"/>
                <w:szCs w:val="22"/>
              </w:rPr>
            </w:pPr>
            <w:r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 xml:space="preserve">&lt; </w:t>
            </w:r>
            <w:r w:rsidRPr="00062774"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0.0</w:t>
            </w:r>
            <w:r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0.01 (0.01)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0.628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- 0.01 (0.00)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0.973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4" w:space="0" w:color="auto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0.05 (0.01)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4158D0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b/>
                <w:bCs/>
                <w:sz w:val="22"/>
                <w:szCs w:val="22"/>
              </w:rPr>
            </w:pPr>
            <w:r w:rsidRPr="004158D0">
              <w:rPr>
                <w:rFonts w:ascii="Helvetica Neue" w:hAnsi="Helvetica Neue" w:cs="Gill Sans"/>
                <w:b/>
                <w:bCs/>
                <w:sz w:val="22"/>
                <w:szCs w:val="22"/>
              </w:rPr>
              <w:t>&lt; 0.001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- 0.01 (0.01)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0.719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0.00 (0.01)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0.987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right="55"/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</w:pP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Hypertensive (</w:t>
            </w: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  <w:sz w:val="22"/>
                <w:szCs w:val="22"/>
              </w:rPr>
              <w:t>vs</w:t>
            </w: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 xml:space="preserve"> no)</w:t>
            </w:r>
          </w:p>
        </w:tc>
        <w:tc>
          <w:tcPr>
            <w:tcW w:w="212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4212FC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- 0.11 (0.11)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0.307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- 0.02 (0.09)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0.841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0.01 (0.03)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0.696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4" w:space="0" w:color="auto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0.14 (0.10)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0.155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0.11 (0.10)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0.282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- 0.09 (0.11)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0.380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right="55"/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</w:pP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Received A</w:t>
            </w:r>
            <w:r w:rsidRPr="00870477"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nthracycline</w:t>
            </w: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s (</w:t>
            </w: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  <w:sz w:val="22"/>
                <w:szCs w:val="22"/>
              </w:rPr>
              <w:t>vs</w:t>
            </w: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 xml:space="preserve"> no)</w:t>
            </w:r>
          </w:p>
        </w:tc>
        <w:tc>
          <w:tcPr>
            <w:tcW w:w="212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0.18 (0.12)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0.132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- 0.05 (0.10)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0.602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0.05 (0.04)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0.136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4" w:space="0" w:color="auto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0.04 (0.11)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0.718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0.02 (0.11)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0.833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- 0.23 (0.13)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0.069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right="55"/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</w:pP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Received</w:t>
            </w:r>
            <w:r w:rsidRPr="00870477"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 xml:space="preserve"> Anti-Her2</w:t>
            </w: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 xml:space="preserve"> (</w:t>
            </w:r>
            <w:r w:rsidRPr="00BE1281">
              <w:rPr>
                <w:rFonts w:ascii="Helvetica Neue" w:eastAsia="Arial" w:hAnsi="Helvetica Neue" w:cs="Gill Sans"/>
                <w:i/>
                <w:iCs/>
                <w:color w:val="264A60"/>
                <w:sz w:val="22"/>
                <w:szCs w:val="22"/>
              </w:rPr>
              <w:t>vs</w:t>
            </w: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 xml:space="preserve"> no)</w:t>
            </w:r>
          </w:p>
        </w:tc>
        <w:tc>
          <w:tcPr>
            <w:tcW w:w="212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0.12 (0.13)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0.355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- 0.08 (0.17)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0.464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- 0.01 (0.04)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0.944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4" w:space="0" w:color="auto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- 0.07 (0.12)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0.532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- 0.11 (0.12)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0.376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- 0.28 (0.15)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0.055</w:t>
            </w:r>
          </w:p>
        </w:tc>
      </w:tr>
      <w:tr w:rsidR="003C79D3" w:rsidRPr="00870477" w:rsidTr="003C79D3">
        <w:trPr>
          <w:trHeight w:val="324"/>
        </w:trPr>
        <w:tc>
          <w:tcPr>
            <w:tcW w:w="3412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none" w:sz="1" w:space="0" w:color="152935"/>
            </w:tcBorders>
            <w:shd w:val="clear" w:color="auto" w:fill="E0E0E0"/>
            <w:vAlign w:val="center"/>
          </w:tcPr>
          <w:p w:rsidR="003C79D3" w:rsidRPr="00870477" w:rsidRDefault="003C79D3" w:rsidP="003C79D3">
            <w:pPr>
              <w:spacing w:before="15" w:after="15"/>
              <w:ind w:right="55"/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</w:pPr>
            <w:r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W</w:t>
            </w:r>
            <w:r w:rsidRPr="00870477">
              <w:rPr>
                <w:rFonts w:ascii="Helvetica Neue" w:eastAsia="Arial" w:hAnsi="Helvetica Neue" w:cs="Gill Sans"/>
                <w:color w:val="264A60"/>
                <w:sz w:val="22"/>
                <w:szCs w:val="22"/>
              </w:rPr>
              <w:t>hole heart D</w:t>
            </w:r>
            <w:r w:rsidRPr="00870477">
              <w:rPr>
                <w:rFonts w:ascii="Helvetica Neue" w:eastAsia="Arial" w:hAnsi="Helvetica Neue" w:cs="Gill Sans"/>
                <w:color w:val="264A60"/>
                <w:sz w:val="22"/>
                <w:szCs w:val="22"/>
                <w:vertAlign w:val="subscript"/>
              </w:rPr>
              <w:t>mean</w:t>
            </w:r>
          </w:p>
        </w:tc>
        <w:tc>
          <w:tcPr>
            <w:tcW w:w="2126" w:type="dxa"/>
            <w:tcBorders>
              <w:top w:val="single" w:sz="1" w:space="0" w:color="AEAEAE"/>
              <w:left w:val="none" w:sz="1" w:space="0" w:color="152935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NM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single" w:sz="1" w:space="0" w:color="E0E0E0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NM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NM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2" w:space="0" w:color="AEAEAE"/>
              <w:right w:val="single" w:sz="4" w:space="0" w:color="auto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4" w:space="0" w:color="auto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0.04 (0.03)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0.190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- 0.04 (0.03)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0.112</w:t>
            </w:r>
          </w:p>
        </w:tc>
        <w:tc>
          <w:tcPr>
            <w:tcW w:w="2126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0.01 (0.15)</w:t>
            </w:r>
          </w:p>
        </w:tc>
        <w:tc>
          <w:tcPr>
            <w:tcW w:w="1134" w:type="dxa"/>
            <w:tcBorders>
              <w:top w:val="single" w:sz="1" w:space="0" w:color="AEAEAE"/>
              <w:left w:val="single" w:sz="1" w:space="0" w:color="E0E0E0"/>
              <w:bottom w:val="single" w:sz="1" w:space="0" w:color="AEAEAE"/>
              <w:right w:val="none" w:sz="1" w:space="0" w:color="152935"/>
            </w:tcBorders>
            <w:shd w:val="clear" w:color="auto" w:fill="F9F9FB"/>
            <w:vAlign w:val="center"/>
          </w:tcPr>
          <w:p w:rsidR="003C79D3" w:rsidRPr="00870477" w:rsidRDefault="003C79D3" w:rsidP="003C79D3">
            <w:pPr>
              <w:spacing w:before="20" w:after="15"/>
              <w:ind w:left="40" w:right="55"/>
              <w:jc w:val="center"/>
              <w:rPr>
                <w:rFonts w:ascii="Helvetica Neue" w:hAnsi="Helvetica Neue" w:cs="Gill Sans"/>
                <w:sz w:val="22"/>
                <w:szCs w:val="22"/>
              </w:rPr>
            </w:pPr>
            <w:r>
              <w:rPr>
                <w:rFonts w:ascii="Helvetica Neue" w:hAnsi="Helvetica Neue" w:cs="Gill Sans"/>
                <w:sz w:val="22"/>
                <w:szCs w:val="22"/>
              </w:rPr>
              <w:t>0.751</w:t>
            </w:r>
          </w:p>
        </w:tc>
      </w:tr>
      <w:tr w:rsidR="003C79D3" w:rsidRPr="00870477" w:rsidTr="003C79D3">
        <w:trPr>
          <w:trHeight w:val="308"/>
        </w:trPr>
        <w:tc>
          <w:tcPr>
            <w:tcW w:w="22972" w:type="dxa"/>
            <w:gridSpan w:val="13"/>
            <w:tcBorders>
              <w:top w:val="single" w:sz="4" w:space="0" w:color="auto"/>
            </w:tcBorders>
          </w:tcPr>
          <w:p w:rsidR="003C79D3" w:rsidRPr="00870477" w:rsidRDefault="003C79D3" w:rsidP="003C79D3">
            <w:pPr>
              <w:spacing w:before="20" w:after="15"/>
              <w:ind w:right="55"/>
              <w:rPr>
                <w:rFonts w:ascii="Helvetica Neue" w:hAnsi="Helvetica Neue" w:cs="Gill Sans"/>
                <w:i/>
                <w:iCs/>
                <w:sz w:val="20"/>
                <w:szCs w:val="20"/>
              </w:rPr>
            </w:pPr>
            <w:r w:rsidRPr="00870477">
              <w:rPr>
                <w:rFonts w:ascii="Helvetica Neue" w:hAnsi="Helvetica Neue" w:cs="Gill Sans"/>
                <w:i/>
                <w:iCs/>
                <w:sz w:val="20"/>
                <w:szCs w:val="20"/>
              </w:rPr>
              <w:t>Abbreviations</w:t>
            </w:r>
            <w:r w:rsidRPr="00870477">
              <w:rPr>
                <w:rFonts w:ascii="Helvetica Neue" w:hAnsi="Helvetica Neue" w:cs="Gill Sans"/>
                <w:sz w:val="20"/>
                <w:szCs w:val="20"/>
              </w:rPr>
              <w:t xml:space="preserve">: </w:t>
            </w:r>
            <w:r>
              <w:rPr>
                <w:rFonts w:ascii="Helvetica Neue" w:hAnsi="Helvetica Neue" w:cs="Gill Sans"/>
                <w:sz w:val="20"/>
                <w:szCs w:val="20"/>
              </w:rPr>
              <w:t xml:space="preserve">BMI, Body Mass Index; </w:t>
            </w:r>
            <w:r w:rsidRPr="00870477">
              <w:rPr>
                <w:rFonts w:ascii="Helvetica Neue" w:hAnsi="Helvetica Neue" w:cs="Gill Sans"/>
                <w:sz w:val="20"/>
                <w:szCs w:val="20"/>
              </w:rPr>
              <w:t>D</w:t>
            </w:r>
            <w:r w:rsidRPr="00870477">
              <w:rPr>
                <w:rFonts w:ascii="Helvetica Neue" w:hAnsi="Helvetica Neue" w:cs="Gill Sans"/>
                <w:sz w:val="20"/>
                <w:szCs w:val="20"/>
                <w:vertAlign w:val="subscript"/>
              </w:rPr>
              <w:t>mean</w:t>
            </w:r>
            <w:r w:rsidRPr="00870477">
              <w:rPr>
                <w:rFonts w:ascii="Helvetica Neue" w:hAnsi="Helvetica Neue" w:cs="Gill Sans"/>
                <w:sz w:val="20"/>
                <w:szCs w:val="20"/>
              </w:rPr>
              <w:t>, Mean Dose</w:t>
            </w:r>
            <w:r>
              <w:rPr>
                <w:rFonts w:ascii="Helvetica Neue" w:hAnsi="Helvetica Neue" w:cs="Gill Sans"/>
                <w:sz w:val="20"/>
                <w:szCs w:val="20"/>
              </w:rPr>
              <w:t>; NM, Not Modelled</w:t>
            </w:r>
          </w:p>
        </w:tc>
      </w:tr>
    </w:tbl>
    <w:p w:rsidR="003C79D3" w:rsidRDefault="003C79D3">
      <w:pPr>
        <w:rPr>
          <w:rFonts w:ascii="Helvetica Neue" w:hAnsi="Helvetica Neue"/>
        </w:rPr>
      </w:pPr>
      <w:r>
        <w:rPr>
          <w:rFonts w:ascii="Helvetica Neue" w:hAnsi="Helvetica Neue"/>
        </w:rPr>
        <w:t>Supplementary Table 2: Results of Ordinary Lease Squares Regression modelling.</w:t>
      </w:r>
    </w:p>
    <w:p w:rsidR="000240CF" w:rsidRDefault="000240CF">
      <w:pPr>
        <w:rPr>
          <w:rFonts w:ascii="Helvetica Neue" w:hAnsi="Helvetica Neue"/>
        </w:rPr>
      </w:pPr>
    </w:p>
    <w:p w:rsidR="000240CF" w:rsidRDefault="000240CF">
      <w:pPr>
        <w:rPr>
          <w:rFonts w:ascii="Helvetica Neue" w:hAnsi="Helvetica Neue"/>
        </w:rPr>
      </w:pPr>
      <w:r>
        <w:rPr>
          <w:rFonts w:ascii="Helvetica Neue" w:hAnsi="Helvetica Neue"/>
          <w:noProof/>
          <w14:ligatures w14:val="standardContextual"/>
        </w:rPr>
        <w:drawing>
          <wp:inline distT="0" distB="0" distL="0" distR="0">
            <wp:extent cx="7028761" cy="3399830"/>
            <wp:effectExtent l="0" t="0" r="0" b="3810"/>
            <wp:docPr id="19514920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492078" name="Picture 195149207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619" cy="354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6A2" w:rsidRDefault="000240CF">
      <w:pPr>
        <w:rPr>
          <w:rFonts w:ascii="Helvetica Neue" w:hAnsi="Helvetica Neue"/>
        </w:rPr>
      </w:pPr>
      <w:r>
        <w:rPr>
          <w:rFonts w:ascii="Helvetica Neue" w:hAnsi="Helvetica Neue"/>
        </w:rPr>
        <w:t>Supplementary Figure 1: Spearman rank correlation of Pre- and Post-RT biomarkers.</w:t>
      </w:r>
    </w:p>
    <w:p w:rsidR="00B506A2" w:rsidRDefault="00B506A2">
      <w:pPr>
        <w:rPr>
          <w:rFonts w:ascii="Helvetica Neue" w:hAnsi="Helvetica Neue"/>
        </w:rPr>
      </w:pPr>
      <w:r>
        <w:rPr>
          <w:rFonts w:ascii="Helvetica Neue" w:hAnsi="Helvetica Neue"/>
          <w:noProof/>
          <w14:ligatures w14:val="standardContextual"/>
        </w:rPr>
        <w:lastRenderedPageBreak/>
        <w:drawing>
          <wp:inline distT="0" distB="0" distL="0" distR="0">
            <wp:extent cx="13296900" cy="1544955"/>
            <wp:effectExtent l="0" t="0" r="0" b="6350"/>
            <wp:docPr id="19556999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699966" name="Picture 195569996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6900" cy="154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06A2">
        <w:rPr>
          <w:rFonts w:ascii="Helvetica Neue" w:hAnsi="Helvetica Neue"/>
        </w:rPr>
        <w:t xml:space="preserve"> </w:t>
      </w:r>
    </w:p>
    <w:p w:rsidR="00B506A2" w:rsidRDefault="00B506A2">
      <w:pPr>
        <w:rPr>
          <w:rFonts w:ascii="Helvetica Neue" w:hAnsi="Helvetica Neue"/>
        </w:rPr>
      </w:pPr>
    </w:p>
    <w:p w:rsidR="00B506A2" w:rsidRPr="003C79D3" w:rsidRDefault="00B506A2">
      <w:pPr>
        <w:rPr>
          <w:rFonts w:ascii="Helvetica Neue" w:hAnsi="Helvetica Neue"/>
        </w:rPr>
      </w:pPr>
      <w:r>
        <w:rPr>
          <w:rFonts w:ascii="Helvetica Neue" w:hAnsi="Helvetica Neue"/>
        </w:rPr>
        <w:t>Supplementary Figure</w:t>
      </w:r>
      <w:r>
        <w:rPr>
          <w:rFonts w:ascii="Helvetica Neue" w:hAnsi="Helvetica Neue"/>
        </w:rPr>
        <w:t xml:space="preserve"> 2</w:t>
      </w:r>
      <w:r>
        <w:rPr>
          <w:rFonts w:ascii="Helvetica Neue" w:hAnsi="Helvetica Neue"/>
        </w:rPr>
        <w:t xml:space="preserve">: </w:t>
      </w:r>
      <w:r w:rsidR="008B78A1">
        <w:rPr>
          <w:rFonts w:ascii="Helvetica Neue" w:hAnsi="Helvetica Neue"/>
        </w:rPr>
        <w:t>P</w:t>
      </w:r>
      <w:r w:rsidR="008B78A1" w:rsidRPr="008B78A1">
        <w:rPr>
          <w:rFonts w:ascii="Helvetica Neue" w:hAnsi="Helvetica Neue"/>
        </w:rPr>
        <w:t>roportion of patients at each time point with normal or elevated biomarkers as a whole</w:t>
      </w:r>
      <w:r w:rsidR="008B78A1">
        <w:rPr>
          <w:rFonts w:ascii="Helvetica Neue" w:hAnsi="Helvetica Neue"/>
        </w:rPr>
        <w:t xml:space="preserve"> (Left).</w:t>
      </w:r>
      <w:r w:rsidR="008B78A1" w:rsidRPr="008B78A1">
        <w:rPr>
          <w:rFonts w:ascii="Helvetica Neue" w:hAnsi="Helvetica Neue"/>
        </w:rPr>
        <w:t xml:space="preserve"> </w:t>
      </w:r>
      <w:r w:rsidR="008B78A1">
        <w:rPr>
          <w:rFonts w:ascii="Helvetica Neue" w:hAnsi="Helvetica Neue"/>
        </w:rPr>
        <w:t>Individual patient data at each time-point (Right). Abbreviations: ND, Not Done; WNL, Within Normal Limits.</w:t>
      </w:r>
    </w:p>
    <w:sectPr w:rsidR="00B506A2" w:rsidRPr="003C79D3" w:rsidSect="00155E20">
      <w:pgSz w:w="23820" w:h="168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D3"/>
    <w:rsid w:val="000240CF"/>
    <w:rsid w:val="000632C3"/>
    <w:rsid w:val="000F0431"/>
    <w:rsid w:val="00155E20"/>
    <w:rsid w:val="003C79D3"/>
    <w:rsid w:val="008459E7"/>
    <w:rsid w:val="008B78A1"/>
    <w:rsid w:val="00B5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05DB5A"/>
  <w15:chartTrackingRefBased/>
  <w15:docId w15:val="{0F81A537-16DA-0E44-8DDF-A76E05C3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9D3"/>
    <w:rPr>
      <w:rFonts w:eastAsiaTheme="minorEastAsia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A</dc:creator>
  <cp:keywords/>
  <dc:description/>
  <cp:lastModifiedBy>I A</cp:lastModifiedBy>
  <cp:revision>7</cp:revision>
  <dcterms:created xsi:type="dcterms:W3CDTF">2023-10-14T15:14:00Z</dcterms:created>
  <dcterms:modified xsi:type="dcterms:W3CDTF">2024-03-17T19:43:00Z</dcterms:modified>
</cp:coreProperties>
</file>