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AA824" w14:textId="7D29262F" w:rsidR="000E6555" w:rsidRPr="00081B0D" w:rsidRDefault="00400BC1">
      <w:pPr>
        <w:rPr>
          <w:b/>
          <w:bCs/>
          <w:sz w:val="28"/>
          <w:szCs w:val="28"/>
        </w:rPr>
      </w:pPr>
      <w:r w:rsidRPr="00081B0D">
        <w:rPr>
          <w:b/>
          <w:bCs/>
          <w:sz w:val="28"/>
          <w:szCs w:val="28"/>
        </w:rPr>
        <w:t>NIHR Race Equality Framework for Public</w:t>
      </w:r>
      <w:r w:rsidR="00F136E6" w:rsidRPr="00081B0D">
        <w:rPr>
          <w:b/>
          <w:bCs/>
          <w:sz w:val="28"/>
          <w:szCs w:val="28"/>
        </w:rPr>
        <w:t xml:space="preserve"> Involvement in Research</w:t>
      </w:r>
      <w:r w:rsidRPr="00081B0D">
        <w:rPr>
          <w:b/>
          <w:bCs/>
          <w:sz w:val="28"/>
          <w:szCs w:val="28"/>
        </w:rPr>
        <w:t xml:space="preserve"> definitions</w:t>
      </w:r>
    </w:p>
    <w:tbl>
      <w:tblPr>
        <w:tblW w:w="89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7"/>
        <w:gridCol w:w="7072"/>
      </w:tblGrid>
      <w:tr w:rsidR="00400BC1" w14:paraId="1063D1F8" w14:textId="77777777" w:rsidTr="00081B0D">
        <w:trPr>
          <w:trHeight w:val="383"/>
        </w:trPr>
        <w:tc>
          <w:tcPr>
            <w:tcW w:w="1877" w:type="dxa"/>
          </w:tcPr>
          <w:p w14:paraId="1D2172FA" w14:textId="77777777" w:rsidR="00400BC1" w:rsidRPr="00F136E6" w:rsidRDefault="00F136E6">
            <w:pPr>
              <w:rPr>
                <w:b/>
              </w:rPr>
            </w:pPr>
            <w:r>
              <w:rPr>
                <w:b/>
              </w:rPr>
              <w:t>Term</w:t>
            </w:r>
          </w:p>
        </w:tc>
        <w:tc>
          <w:tcPr>
            <w:tcW w:w="7072" w:type="dxa"/>
          </w:tcPr>
          <w:p w14:paraId="2744AB13" w14:textId="77777777" w:rsidR="00400BC1" w:rsidRPr="00F136E6" w:rsidRDefault="00F136E6" w:rsidP="00F136E6">
            <w:pPr>
              <w:rPr>
                <w:b/>
              </w:rPr>
            </w:pPr>
            <w:r>
              <w:rPr>
                <w:b/>
              </w:rPr>
              <w:t>D</w:t>
            </w:r>
            <w:r w:rsidR="00400BC1" w:rsidRPr="00F136E6">
              <w:rPr>
                <w:b/>
              </w:rPr>
              <w:t xml:space="preserve">efinition </w:t>
            </w:r>
          </w:p>
        </w:tc>
      </w:tr>
      <w:tr w:rsidR="00400BC1" w14:paraId="68707665" w14:textId="77777777" w:rsidTr="00081B0D">
        <w:trPr>
          <w:trHeight w:val="1409"/>
        </w:trPr>
        <w:tc>
          <w:tcPr>
            <w:tcW w:w="1877" w:type="dxa"/>
          </w:tcPr>
          <w:p w14:paraId="607AD74E" w14:textId="05166493" w:rsidR="00400BC1" w:rsidRDefault="0089449B">
            <w:r w:rsidRPr="005B4F68">
              <w:rPr>
                <w:rFonts w:cstheme="minorHAnsi"/>
              </w:rPr>
              <w:t>National Institute for Health and Care Excellence</w:t>
            </w:r>
            <w:r>
              <w:t xml:space="preserve"> (</w:t>
            </w:r>
            <w:r w:rsidR="001E7427">
              <w:t>NIHR</w:t>
            </w:r>
            <w:r>
              <w:t>)</w:t>
            </w:r>
            <w:r w:rsidR="00081B0D">
              <w:t>, UK</w:t>
            </w:r>
          </w:p>
        </w:tc>
        <w:tc>
          <w:tcPr>
            <w:tcW w:w="7072" w:type="dxa"/>
          </w:tcPr>
          <w:p w14:paraId="25D882ED" w14:textId="0BF30837" w:rsidR="005B4F68" w:rsidRPr="005B4F68" w:rsidRDefault="00FD2D80" w:rsidP="006B2418">
            <w:pPr>
              <w:rPr>
                <w:rFonts w:cstheme="minorHAnsi"/>
                <w:color w:val="000000"/>
                <w:shd w:val="clear" w:color="auto" w:fill="FFFFFF"/>
              </w:rPr>
            </w:pPr>
            <w:r w:rsidRPr="005B4F68">
              <w:rPr>
                <w:rFonts w:cstheme="minorHAnsi"/>
                <w:color w:val="000000"/>
                <w:shd w:val="clear" w:color="auto" w:fill="FFFFFF"/>
              </w:rPr>
              <w:t xml:space="preserve">NIHR aims to improve the health and wealth of the </w:t>
            </w:r>
            <w:r w:rsidR="005B4F68" w:rsidRPr="005B4F68">
              <w:rPr>
                <w:rFonts w:cstheme="minorHAnsi"/>
                <w:color w:val="000000"/>
                <w:shd w:val="clear" w:color="auto" w:fill="FFFFFF"/>
              </w:rPr>
              <w:t>nation</w:t>
            </w:r>
            <w:r w:rsidRPr="005B4F68">
              <w:rPr>
                <w:rFonts w:cstheme="minorHAnsi"/>
                <w:color w:val="000000"/>
                <w:shd w:val="clear" w:color="auto" w:fill="FFFFFF"/>
              </w:rPr>
              <w:t xml:space="preserve"> through research</w:t>
            </w:r>
            <w:r w:rsidR="006B2418" w:rsidRPr="005B4F68">
              <w:rPr>
                <w:rFonts w:cstheme="minorHAnsi"/>
                <w:color w:val="000000"/>
                <w:shd w:val="clear" w:color="auto" w:fill="FFFFFF"/>
              </w:rPr>
              <w:t>. The NIHR often works in collaboration with partners like charities, industry and the NHS to achieve outcomes</w:t>
            </w:r>
            <w:r w:rsidR="005B4F68" w:rsidRPr="005B4F68">
              <w:rPr>
                <w:rFonts w:cstheme="minorHAnsi"/>
                <w:color w:val="000000"/>
                <w:shd w:val="clear" w:color="auto" w:fill="FFFFFF"/>
              </w:rPr>
              <w:t>.</w:t>
            </w:r>
            <w:r w:rsidR="00E83FA8">
              <w:rPr>
                <w:rFonts w:cstheme="minorHAnsi"/>
                <w:color w:val="000000"/>
                <w:shd w:val="clear" w:color="auto" w:fill="FFFFFF"/>
              </w:rPr>
              <w:t xml:space="preserve"> </w:t>
            </w:r>
            <w:r w:rsidR="005B4F68" w:rsidRPr="005B4F68">
              <w:rPr>
                <w:rFonts w:cstheme="minorHAnsi"/>
                <w:color w:val="000000"/>
                <w:shd w:val="clear" w:color="auto" w:fill="FFFFFF"/>
              </w:rPr>
              <w:t xml:space="preserve">When the NIHR uses </w:t>
            </w:r>
          </w:p>
          <w:p w14:paraId="7E2372C5" w14:textId="48802740" w:rsidR="005B4F68" w:rsidRPr="005B4F68" w:rsidRDefault="00E83FA8" w:rsidP="005B4F68">
            <w:pPr>
              <w:numPr>
                <w:ilvl w:val="0"/>
                <w:numId w:val="1"/>
              </w:numPr>
              <w:shd w:val="clear" w:color="auto" w:fill="FFFFFF"/>
              <w:spacing w:after="0" w:line="240" w:lineRule="auto"/>
              <w:textAlignment w:val="baseline"/>
              <w:rPr>
                <w:rFonts w:eastAsia="Times New Roman" w:cstheme="minorHAnsi"/>
                <w:color w:val="000000"/>
                <w:lang w:eastAsia="en-GB"/>
              </w:rPr>
            </w:pPr>
            <w:r>
              <w:rPr>
                <w:rFonts w:eastAsia="Times New Roman" w:cstheme="minorHAnsi"/>
                <w:color w:val="000000"/>
                <w:lang w:eastAsia="en-GB"/>
              </w:rPr>
              <w:t>t</w:t>
            </w:r>
            <w:r w:rsidR="005B4F68" w:rsidRPr="005B4F68">
              <w:rPr>
                <w:rFonts w:eastAsia="Times New Roman" w:cstheme="minorHAnsi"/>
                <w:color w:val="000000"/>
                <w:lang w:eastAsia="en-GB"/>
              </w:rPr>
              <w:t>he word ‘research’ this encompasses health, public health and social care research</w:t>
            </w:r>
            <w:r>
              <w:rPr>
                <w:rFonts w:eastAsia="Times New Roman" w:cstheme="minorHAnsi"/>
                <w:color w:val="000000"/>
                <w:lang w:eastAsia="en-GB"/>
              </w:rPr>
              <w:t>;</w:t>
            </w:r>
          </w:p>
          <w:p w14:paraId="30F6E402" w14:textId="776EAE38" w:rsidR="005B4F68" w:rsidRPr="005B4F68" w:rsidRDefault="005B4F68" w:rsidP="005B4F68">
            <w:pPr>
              <w:numPr>
                <w:ilvl w:val="0"/>
                <w:numId w:val="1"/>
              </w:numPr>
              <w:shd w:val="clear" w:color="auto" w:fill="FFFFFF"/>
              <w:spacing w:after="0" w:line="240" w:lineRule="auto"/>
              <w:textAlignment w:val="baseline"/>
              <w:rPr>
                <w:rFonts w:eastAsia="Times New Roman" w:cstheme="minorHAnsi"/>
                <w:color w:val="000000"/>
                <w:lang w:eastAsia="en-GB"/>
              </w:rPr>
            </w:pPr>
            <w:r w:rsidRPr="005B4F68">
              <w:rPr>
                <w:rFonts w:eastAsia="Times New Roman" w:cstheme="minorHAnsi"/>
                <w:color w:val="000000"/>
                <w:lang w:eastAsia="en-GB"/>
              </w:rPr>
              <w:t>the phrase ‘health and social care’, this includes public health</w:t>
            </w:r>
            <w:r w:rsidR="00E83FA8">
              <w:rPr>
                <w:rFonts w:eastAsia="Times New Roman" w:cstheme="minorHAnsi"/>
                <w:color w:val="000000"/>
                <w:lang w:eastAsia="en-GB"/>
              </w:rPr>
              <w:t>;</w:t>
            </w:r>
          </w:p>
          <w:p w14:paraId="0A95DEB2" w14:textId="6C1E90BA" w:rsidR="005B4F68" w:rsidRPr="005B4F68" w:rsidRDefault="005B4F68" w:rsidP="00081B0D">
            <w:pPr>
              <w:numPr>
                <w:ilvl w:val="0"/>
                <w:numId w:val="1"/>
              </w:numPr>
              <w:shd w:val="clear" w:color="auto" w:fill="FFFFFF"/>
              <w:spacing w:line="240" w:lineRule="auto"/>
              <w:ind w:left="714" w:hanging="357"/>
              <w:textAlignment w:val="baseline"/>
              <w:rPr>
                <w:rFonts w:eastAsia="Times New Roman" w:cstheme="minorHAnsi"/>
                <w:color w:val="000000"/>
                <w:lang w:eastAsia="en-GB"/>
              </w:rPr>
            </w:pPr>
            <w:r w:rsidRPr="005B4F68">
              <w:rPr>
                <w:rFonts w:eastAsia="Times New Roman" w:cstheme="minorHAnsi"/>
                <w:color w:val="000000"/>
                <w:lang w:eastAsia="en-GB"/>
              </w:rPr>
              <w:t>the word 'public', this includes patients, people who draw on social care services, carers and communities</w:t>
            </w:r>
            <w:r w:rsidR="00E83FA8">
              <w:rPr>
                <w:rFonts w:eastAsia="Times New Roman" w:cstheme="minorHAnsi"/>
                <w:color w:val="000000"/>
                <w:lang w:eastAsia="en-GB"/>
              </w:rPr>
              <w:t>.</w:t>
            </w:r>
          </w:p>
          <w:p w14:paraId="328D0E75" w14:textId="61FAC792" w:rsidR="005B4F68" w:rsidRPr="005B4F68" w:rsidRDefault="005B4F68" w:rsidP="006B2418">
            <w:pPr>
              <w:rPr>
                <w:rFonts w:cstheme="minorHAnsi"/>
              </w:rPr>
            </w:pPr>
            <w:r w:rsidRPr="005B4F68">
              <w:rPr>
                <w:rFonts w:cstheme="minorHAnsi"/>
              </w:rPr>
              <w:t>https://www.nihr.ac.uk/</w:t>
            </w:r>
          </w:p>
        </w:tc>
      </w:tr>
      <w:tr w:rsidR="0012653F" w14:paraId="077C3CE6" w14:textId="77777777" w:rsidTr="00081B0D">
        <w:trPr>
          <w:trHeight w:val="1409"/>
        </w:trPr>
        <w:tc>
          <w:tcPr>
            <w:tcW w:w="1877" w:type="dxa"/>
          </w:tcPr>
          <w:p w14:paraId="2D7D40D0" w14:textId="6D099138" w:rsidR="0012653F" w:rsidRDefault="005B4F68" w:rsidP="00081B0D">
            <w:r>
              <w:rPr>
                <w:rFonts w:cstheme="minorHAnsi"/>
              </w:rPr>
              <w:t xml:space="preserve">NIHR </w:t>
            </w:r>
            <w:r w:rsidRPr="005B4F68">
              <w:rPr>
                <w:rFonts w:cstheme="minorHAnsi"/>
              </w:rPr>
              <w:t>Race Equality Public Action Group</w:t>
            </w:r>
            <w:r w:rsidR="00081B0D">
              <w:rPr>
                <w:rFonts w:cstheme="minorHAnsi"/>
              </w:rPr>
              <w:t xml:space="preserve"> (</w:t>
            </w:r>
            <w:r w:rsidR="0012653F">
              <w:t>REPAG</w:t>
            </w:r>
            <w:r w:rsidR="00081B0D">
              <w:t>)</w:t>
            </w:r>
          </w:p>
        </w:tc>
        <w:tc>
          <w:tcPr>
            <w:tcW w:w="7072" w:type="dxa"/>
          </w:tcPr>
          <w:p w14:paraId="6E84FD9E" w14:textId="77777777" w:rsidR="00E83FA8" w:rsidRDefault="005B4F68" w:rsidP="00E83FA8">
            <w:pPr>
              <w:shd w:val="clear" w:color="auto" w:fill="FFFFFF"/>
              <w:spacing w:before="100" w:beforeAutospacing="1" w:line="240" w:lineRule="auto"/>
              <w:textAlignment w:val="baseline"/>
              <w:rPr>
                <w:rFonts w:eastAsia="Times New Roman" w:cstheme="minorHAnsi"/>
                <w:color w:val="000000"/>
                <w:lang w:eastAsia="en-GB"/>
              </w:rPr>
            </w:pPr>
            <w:r w:rsidRPr="005B4F68">
              <w:rPr>
                <w:rFonts w:eastAsia="Times New Roman" w:cstheme="minorHAnsi"/>
                <w:color w:val="000000"/>
                <w:lang w:eastAsia="en-GB"/>
              </w:rPr>
              <w:t>REPAG was established in 2020. The group is co-chaired and led by public contributors of Black African, Asian and Caribbean heritage - each of whom brings their professional and lived experience - working alongside NIHR staff and members of the academic, health and care communities.</w:t>
            </w:r>
          </w:p>
          <w:p w14:paraId="392C300C" w14:textId="7F0293AD" w:rsidR="005B4F68" w:rsidRPr="005B4F68" w:rsidRDefault="005B4F68" w:rsidP="00E83FA8">
            <w:pPr>
              <w:shd w:val="clear" w:color="auto" w:fill="FFFFFF"/>
              <w:spacing w:before="100" w:beforeAutospacing="1" w:line="240" w:lineRule="auto"/>
              <w:textAlignment w:val="baseline"/>
              <w:rPr>
                <w:rFonts w:eastAsia="Times New Roman" w:cstheme="minorHAnsi"/>
                <w:color w:val="000000"/>
                <w:lang w:eastAsia="en-GB"/>
              </w:rPr>
            </w:pPr>
            <w:r w:rsidRPr="005B4F68">
              <w:rPr>
                <w:rFonts w:eastAsia="Times New Roman" w:cstheme="minorHAnsi"/>
                <w:color w:val="000000"/>
                <w:lang w:eastAsia="en-GB"/>
              </w:rPr>
              <w:t>The purpose of the group is:</w:t>
            </w:r>
          </w:p>
          <w:p w14:paraId="6F3C16F2" w14:textId="77777777" w:rsidR="005B4F68" w:rsidRPr="005B4F68" w:rsidRDefault="005B4F68" w:rsidP="005B4F68">
            <w:pPr>
              <w:numPr>
                <w:ilvl w:val="0"/>
                <w:numId w:val="2"/>
              </w:numPr>
              <w:shd w:val="clear" w:color="auto" w:fill="FFFFFF"/>
              <w:spacing w:after="0" w:line="240" w:lineRule="auto"/>
              <w:textAlignment w:val="baseline"/>
              <w:rPr>
                <w:rFonts w:eastAsia="Times New Roman" w:cstheme="minorHAnsi"/>
                <w:color w:val="000000"/>
                <w:lang w:eastAsia="en-GB"/>
              </w:rPr>
            </w:pPr>
            <w:r w:rsidRPr="005B4F68">
              <w:rPr>
                <w:rFonts w:eastAsia="Times New Roman" w:cstheme="minorHAnsi"/>
                <w:color w:val="000000"/>
                <w:lang w:eastAsia="en-GB"/>
              </w:rPr>
              <w:t>to strengthen NIHR’s understanding of race inequality in health and social care research</w:t>
            </w:r>
          </w:p>
          <w:p w14:paraId="6F4932E7" w14:textId="77777777" w:rsidR="005B4F68" w:rsidRPr="005B4F68" w:rsidRDefault="005B4F68" w:rsidP="005B4F68">
            <w:pPr>
              <w:numPr>
                <w:ilvl w:val="0"/>
                <w:numId w:val="2"/>
              </w:numPr>
              <w:shd w:val="clear" w:color="auto" w:fill="FFFFFF"/>
              <w:spacing w:after="0" w:line="240" w:lineRule="auto"/>
              <w:textAlignment w:val="baseline"/>
              <w:rPr>
                <w:rFonts w:eastAsia="Times New Roman" w:cstheme="minorHAnsi"/>
                <w:color w:val="000000"/>
                <w:lang w:eastAsia="en-GB"/>
              </w:rPr>
            </w:pPr>
            <w:r w:rsidRPr="005B4F68">
              <w:rPr>
                <w:rFonts w:eastAsia="Times New Roman" w:cstheme="minorHAnsi"/>
                <w:color w:val="000000"/>
                <w:lang w:eastAsia="en-GB"/>
              </w:rPr>
              <w:t>to advise on actions for NIHR to take to ensure that race equality is embedded in the interactions between the research community and patients, people who use social care services, carers and the public</w:t>
            </w:r>
          </w:p>
          <w:p w14:paraId="6632C4D2" w14:textId="77777777" w:rsidR="005B4F68" w:rsidRPr="005B4F68" w:rsidRDefault="005B4F68" w:rsidP="00081B0D">
            <w:pPr>
              <w:numPr>
                <w:ilvl w:val="0"/>
                <w:numId w:val="2"/>
              </w:numPr>
              <w:shd w:val="clear" w:color="auto" w:fill="FFFFFF"/>
              <w:spacing w:line="240" w:lineRule="auto"/>
              <w:ind w:left="714" w:hanging="357"/>
              <w:textAlignment w:val="baseline"/>
              <w:rPr>
                <w:rFonts w:eastAsia="Times New Roman" w:cstheme="minorHAnsi"/>
                <w:color w:val="000000"/>
                <w:lang w:eastAsia="en-GB"/>
              </w:rPr>
            </w:pPr>
            <w:r w:rsidRPr="005B4F68">
              <w:rPr>
                <w:rFonts w:eastAsia="Times New Roman" w:cstheme="minorHAnsi"/>
                <w:color w:val="000000"/>
                <w:lang w:eastAsia="en-GB"/>
              </w:rPr>
              <w:t>to prioritise the voices of those most affected by health and care challenges</w:t>
            </w:r>
          </w:p>
          <w:p w14:paraId="44B5A4B3" w14:textId="11E2E43E" w:rsidR="005B4F68" w:rsidRPr="005B4F68" w:rsidRDefault="007F7A55">
            <w:pPr>
              <w:rPr>
                <w:rFonts w:cstheme="minorHAnsi"/>
              </w:rPr>
            </w:pPr>
            <w:r w:rsidRPr="007F7A55">
              <w:rPr>
                <w:rFonts w:cstheme="minorHAnsi"/>
              </w:rPr>
              <w:t>https://www.nihr.ac.uk/about-us/our-key-priorities/equality-diversity-and-inclusion/race-equality-public-involvement.htm</w:t>
            </w:r>
          </w:p>
        </w:tc>
      </w:tr>
      <w:tr w:rsidR="00254282" w14:paraId="3651FF62" w14:textId="77777777" w:rsidTr="00081B0D">
        <w:trPr>
          <w:trHeight w:val="1409"/>
        </w:trPr>
        <w:tc>
          <w:tcPr>
            <w:tcW w:w="1877" w:type="dxa"/>
          </w:tcPr>
          <w:p w14:paraId="4438FD2D" w14:textId="7A769A8A" w:rsidR="00254282" w:rsidRDefault="00081B0D">
            <w:r w:rsidRPr="00081B0D">
              <w:t>Racial competence</w:t>
            </w:r>
          </w:p>
        </w:tc>
        <w:tc>
          <w:tcPr>
            <w:tcW w:w="7072" w:type="dxa"/>
          </w:tcPr>
          <w:p w14:paraId="595574F9" w14:textId="2228923D" w:rsidR="00254282" w:rsidRDefault="00254282" w:rsidP="00081B0D">
            <w:r>
              <w:t>Racial competence is the ability to recognise and check one's own bias; interact with racial diversity in a positive manner; and have open and honest conversations about race in ways that show a willingness to hear, learn and take action. Racial competence means understanding the impact of structural racism and fostering a culture of allyship that challenges organisational practices and behaviours that exclude Black African-, Asian and Caribbean-heritage people and other racialised groups. Being racially competent means translating our statements into action to promote equity of vo</w:t>
            </w:r>
            <w:r w:rsidR="00915E44">
              <w:t>ice and equality of opportunity</w:t>
            </w:r>
            <w:r w:rsidR="00081B0D">
              <w:t>.</w:t>
            </w:r>
            <w:r w:rsidR="00915E44">
              <w:t xml:space="preserve"> </w:t>
            </w:r>
          </w:p>
          <w:p w14:paraId="3E755531" w14:textId="4A75E4A5" w:rsidR="00254282" w:rsidRDefault="00081B0D" w:rsidP="00081B0D">
            <w:r w:rsidRPr="00081B0D">
              <w:t>https://www.nihr.ac.uk/documents/nihr-race-equality-framework/30388</w:t>
            </w:r>
          </w:p>
        </w:tc>
      </w:tr>
      <w:tr w:rsidR="00587C51" w14:paraId="0433CF99" w14:textId="77777777" w:rsidTr="00081B0D">
        <w:trPr>
          <w:trHeight w:val="1409"/>
        </w:trPr>
        <w:tc>
          <w:tcPr>
            <w:tcW w:w="1877" w:type="dxa"/>
          </w:tcPr>
          <w:p w14:paraId="37C5ACE4" w14:textId="5F6318B9" w:rsidR="00587C51" w:rsidRPr="00081B0D" w:rsidRDefault="00587C51">
            <w:r>
              <w:t>Race</w:t>
            </w:r>
          </w:p>
        </w:tc>
        <w:tc>
          <w:tcPr>
            <w:tcW w:w="7072" w:type="dxa"/>
          </w:tcPr>
          <w:p w14:paraId="3E37BC8B" w14:textId="77777777" w:rsidR="00587C51" w:rsidRDefault="00587C51" w:rsidP="00081B0D">
            <w:r w:rsidRPr="00587C51">
              <w:t>A race is a group of people defined by their colour, nationality (including citizenship) ethnicity or national origins. A racial group can be made up of more than one distinct racial group, such as Black British.</w:t>
            </w:r>
          </w:p>
          <w:p w14:paraId="358681F1" w14:textId="1D12566B" w:rsidR="00587C51" w:rsidRDefault="00587C51" w:rsidP="00081B0D">
            <w:r w:rsidRPr="00587C51">
              <w:t>https://www.equalityhumanrights.com/equality/equality-act-2010/protected-characteristics</w:t>
            </w:r>
          </w:p>
        </w:tc>
      </w:tr>
      <w:tr w:rsidR="000640CC" w14:paraId="41E734B2" w14:textId="77777777" w:rsidTr="00081B0D">
        <w:trPr>
          <w:trHeight w:val="1409"/>
        </w:trPr>
        <w:tc>
          <w:tcPr>
            <w:tcW w:w="1877" w:type="dxa"/>
          </w:tcPr>
          <w:p w14:paraId="02BF307E" w14:textId="5335D17D" w:rsidR="000640CC" w:rsidRDefault="00081B0D">
            <w:r w:rsidRPr="00081B0D">
              <w:lastRenderedPageBreak/>
              <w:t>Racial equality</w:t>
            </w:r>
          </w:p>
        </w:tc>
        <w:tc>
          <w:tcPr>
            <w:tcW w:w="7072" w:type="dxa"/>
          </w:tcPr>
          <w:p w14:paraId="0CBAAB51" w14:textId="29C98A5E" w:rsidR="000640CC" w:rsidRDefault="00081B0D" w:rsidP="00081B0D">
            <w:pPr>
              <w:rPr>
                <w:rFonts w:cstheme="minorHAnsi"/>
                <w:color w:val="000000"/>
                <w:shd w:val="clear" w:color="auto" w:fill="FFFFFF"/>
              </w:rPr>
            </w:pPr>
            <w:bookmarkStart w:id="0" w:name="_Hlk157699688"/>
            <w:r w:rsidRPr="00081B0D">
              <w:rPr>
                <w:rFonts w:cstheme="minorHAnsi"/>
                <w:color w:val="000000"/>
                <w:shd w:val="clear" w:color="auto" w:fill="FFFFFF"/>
              </w:rPr>
              <w:t xml:space="preserve">The Equality and Human Rights Commission </w:t>
            </w:r>
            <w:bookmarkEnd w:id="0"/>
            <w:r w:rsidRPr="00081B0D">
              <w:rPr>
                <w:rFonts w:cstheme="minorHAnsi"/>
                <w:color w:val="000000"/>
                <w:shd w:val="clear" w:color="auto" w:fill="FFFFFF"/>
              </w:rPr>
              <w:t>(EHRC) describes equality</w:t>
            </w:r>
            <w:r>
              <w:rPr>
                <w:rFonts w:cstheme="minorHAnsi"/>
                <w:color w:val="000000"/>
                <w:shd w:val="clear" w:color="auto" w:fill="FFFFFF"/>
              </w:rPr>
              <w:t xml:space="preserve"> </w:t>
            </w:r>
            <w:r w:rsidRPr="00081B0D">
              <w:rPr>
                <w:rFonts w:cstheme="minorHAnsi"/>
                <w:color w:val="000000"/>
                <w:shd w:val="clear" w:color="auto" w:fill="FFFFFF"/>
              </w:rPr>
              <w:t xml:space="preserve">as: ‘Ensuring that every individual has an equal opportunity to make the most of their lives and talents’. </w:t>
            </w:r>
            <w:bookmarkStart w:id="1" w:name="_Hlk157700783"/>
            <w:r w:rsidR="000B515A">
              <w:rPr>
                <w:rFonts w:cstheme="minorHAnsi"/>
                <w:color w:val="000000"/>
                <w:shd w:val="clear" w:color="auto" w:fill="FFFFFF"/>
              </w:rPr>
              <w:t>R</w:t>
            </w:r>
            <w:r w:rsidRPr="00081B0D">
              <w:rPr>
                <w:rFonts w:cstheme="minorHAnsi"/>
                <w:color w:val="000000"/>
                <w:shd w:val="clear" w:color="auto" w:fill="FFFFFF"/>
              </w:rPr>
              <w:t xml:space="preserve">acial equality means </w:t>
            </w:r>
            <w:r w:rsidR="0069471D">
              <w:rPr>
                <w:rFonts w:cstheme="minorHAnsi"/>
                <w:color w:val="000000"/>
                <w:shd w:val="clear" w:color="auto" w:fill="FFFFFF"/>
              </w:rPr>
              <w:t xml:space="preserve">that </w:t>
            </w:r>
            <w:r w:rsidR="000B515A" w:rsidRPr="000B515A">
              <w:rPr>
                <w:rFonts w:cstheme="minorHAnsi"/>
                <w:color w:val="000000"/>
                <w:shd w:val="clear" w:color="auto" w:fill="FFFFFF"/>
              </w:rPr>
              <w:t>opportunities, support and respect are equally afforded to everyone, and where efforts and achievements are seen and valued regardless of who the individual is or how they may present.</w:t>
            </w:r>
            <w:bookmarkEnd w:id="1"/>
          </w:p>
          <w:p w14:paraId="7BB3F5BC" w14:textId="3D44C33D" w:rsidR="00081B0D" w:rsidRPr="000640CC" w:rsidRDefault="00081B0D" w:rsidP="00081B0D">
            <w:pPr>
              <w:rPr>
                <w:rFonts w:cstheme="minorHAnsi"/>
              </w:rPr>
            </w:pPr>
            <w:r w:rsidRPr="00081B0D">
              <w:rPr>
                <w:rFonts w:cstheme="minorHAnsi"/>
              </w:rPr>
              <w:t>https://www.nihr.ac.uk/documents/nihr-race-equality-framework/30388</w:t>
            </w:r>
          </w:p>
        </w:tc>
      </w:tr>
      <w:tr w:rsidR="000640CC" w14:paraId="5233E5DF" w14:textId="77777777" w:rsidTr="00081B0D">
        <w:trPr>
          <w:trHeight w:val="1409"/>
        </w:trPr>
        <w:tc>
          <w:tcPr>
            <w:tcW w:w="1877" w:type="dxa"/>
          </w:tcPr>
          <w:p w14:paraId="5DDD63C2" w14:textId="2C53E172" w:rsidR="000640CC" w:rsidRDefault="00081B0D">
            <w:r w:rsidRPr="00081B0D">
              <w:t>Racial equity</w:t>
            </w:r>
          </w:p>
        </w:tc>
        <w:tc>
          <w:tcPr>
            <w:tcW w:w="7072" w:type="dxa"/>
          </w:tcPr>
          <w:p w14:paraId="7C24BC6D" w14:textId="6254D822" w:rsidR="00081B0D" w:rsidRDefault="00081B0D" w:rsidP="00081B0D">
            <w:pPr>
              <w:rPr>
                <w:rFonts w:cstheme="minorHAnsi"/>
                <w:color w:val="000000"/>
                <w:shd w:val="clear" w:color="auto" w:fill="FFFFFF"/>
              </w:rPr>
            </w:pPr>
            <w:r w:rsidRPr="00081B0D">
              <w:rPr>
                <w:rFonts w:cstheme="minorHAnsi"/>
                <w:color w:val="000000"/>
                <w:shd w:val="clear" w:color="auto" w:fill="FFFFFF"/>
              </w:rPr>
              <w:t xml:space="preserve">Equity is about giving people what they need, in order to make things fair. </w:t>
            </w:r>
            <w:r w:rsidR="000B515A" w:rsidRPr="000B515A">
              <w:rPr>
                <w:rFonts w:cstheme="minorHAnsi"/>
                <w:color w:val="000000"/>
                <w:shd w:val="clear" w:color="auto" w:fill="FFFFFF"/>
              </w:rPr>
              <w:t>Racial equity means understanding the individual circumstances, environment, systems and experiences that have a disproportionately negative impact on an individual’s ability to function, participate and live their lives to their fullest potential because of their race; and then tailoring actions to eliminate those barriers.</w:t>
            </w:r>
          </w:p>
          <w:p w14:paraId="36CC2F00" w14:textId="28FC8FC8" w:rsidR="002F50D4" w:rsidRPr="000640CC" w:rsidRDefault="002F50D4" w:rsidP="00081B0D">
            <w:pPr>
              <w:rPr>
                <w:rFonts w:cstheme="minorHAnsi"/>
              </w:rPr>
            </w:pPr>
            <w:r w:rsidRPr="002F50D4">
              <w:rPr>
                <w:rFonts w:cstheme="minorHAnsi"/>
              </w:rPr>
              <w:t>https://www.nihr.ac.uk/documents/nihr-race-equality-framework/30388</w:t>
            </w:r>
          </w:p>
        </w:tc>
      </w:tr>
      <w:tr w:rsidR="00254282" w14:paraId="66F4EDE8" w14:textId="77777777" w:rsidTr="00081B0D">
        <w:trPr>
          <w:trHeight w:val="1409"/>
        </w:trPr>
        <w:tc>
          <w:tcPr>
            <w:tcW w:w="1877" w:type="dxa"/>
          </w:tcPr>
          <w:p w14:paraId="2C0671CE" w14:textId="77777777" w:rsidR="00254282" w:rsidRDefault="00254282">
            <w:r>
              <w:t>Allyship</w:t>
            </w:r>
          </w:p>
        </w:tc>
        <w:tc>
          <w:tcPr>
            <w:tcW w:w="7072" w:type="dxa"/>
          </w:tcPr>
          <w:p w14:paraId="0E48C4DB" w14:textId="77777777" w:rsidR="00254282" w:rsidRDefault="00254282" w:rsidP="00081B0D">
            <w:r>
              <w:t>Allyship is about building relationships of trust, consistency and accountability with marginalised individuals and/or groups of people. Although you might not be a member of an under-invested or oppressed group, you can support them, make the effort to understand their struggle and use your voice alongside theirs.</w:t>
            </w:r>
          </w:p>
          <w:p w14:paraId="18B4B0F2" w14:textId="33A407DA" w:rsidR="00254282" w:rsidRDefault="00081B0D" w:rsidP="00081B0D">
            <w:r w:rsidRPr="00081B0D">
              <w:t>https://www.england.nhs.uk/north-west/wp-content/uploads/sites/48/2021/05/A-guide-to-Allyship.pptx</w:t>
            </w:r>
          </w:p>
        </w:tc>
      </w:tr>
      <w:tr w:rsidR="001E7427" w14:paraId="70C02E85" w14:textId="77777777" w:rsidTr="00081B0D">
        <w:trPr>
          <w:trHeight w:val="1409"/>
        </w:trPr>
        <w:tc>
          <w:tcPr>
            <w:tcW w:w="1877" w:type="dxa"/>
          </w:tcPr>
          <w:p w14:paraId="5D57CDBF" w14:textId="77777777" w:rsidR="001E7427" w:rsidRDefault="001E7427">
            <w:r>
              <w:t>Knowledge Mobilisation</w:t>
            </w:r>
          </w:p>
        </w:tc>
        <w:tc>
          <w:tcPr>
            <w:tcW w:w="7072" w:type="dxa"/>
          </w:tcPr>
          <w:p w14:paraId="0C7D0AE1" w14:textId="77777777" w:rsidR="00D42A84" w:rsidRPr="00D42A84" w:rsidRDefault="00D42A84" w:rsidP="00D42A84">
            <w:pPr>
              <w:shd w:val="clear" w:color="auto" w:fill="FFFFFF"/>
              <w:spacing w:before="100" w:beforeAutospacing="1" w:after="100" w:afterAutospacing="1" w:line="240" w:lineRule="auto"/>
              <w:textAlignment w:val="baseline"/>
              <w:rPr>
                <w:rFonts w:eastAsia="Times New Roman" w:cstheme="minorHAnsi"/>
                <w:color w:val="000000"/>
                <w:lang w:eastAsia="en-GB"/>
              </w:rPr>
            </w:pPr>
            <w:r w:rsidRPr="00D42A84">
              <w:rPr>
                <w:rFonts w:eastAsia="Times New Roman" w:cstheme="minorHAnsi"/>
                <w:color w:val="000000"/>
                <w:lang w:eastAsia="en-GB"/>
              </w:rPr>
              <w:t>Knowledge mobilisation strategies can help researchers share their research with the people who can use it. It is about sharing knowledge between different communities to create new knowledge to catalyse change. Knowledge mobilisation strategies should be integrated throughout your research programme.</w:t>
            </w:r>
          </w:p>
          <w:p w14:paraId="34172232" w14:textId="77777777" w:rsidR="00D42A84" w:rsidRPr="00D42A84" w:rsidRDefault="00D42A84" w:rsidP="00D42A84">
            <w:pPr>
              <w:shd w:val="clear" w:color="auto" w:fill="FFFFFF"/>
              <w:spacing w:before="100" w:beforeAutospacing="1" w:after="100" w:afterAutospacing="1" w:line="240" w:lineRule="auto"/>
              <w:textAlignment w:val="baseline"/>
              <w:rPr>
                <w:rFonts w:eastAsia="Times New Roman" w:cstheme="minorHAnsi"/>
                <w:color w:val="000000"/>
                <w:lang w:eastAsia="en-GB"/>
              </w:rPr>
            </w:pPr>
            <w:r w:rsidRPr="00D42A84">
              <w:rPr>
                <w:rFonts w:eastAsia="Times New Roman" w:cstheme="minorHAnsi"/>
                <w:color w:val="000000"/>
                <w:lang w:eastAsia="en-GB"/>
              </w:rPr>
              <w:t>Knowledge creation is seen as a process not a product.</w:t>
            </w:r>
          </w:p>
          <w:p w14:paraId="7687A470" w14:textId="77777777" w:rsidR="00D42A84" w:rsidRPr="00D42A84" w:rsidRDefault="00D42A84" w:rsidP="00D42A84">
            <w:pPr>
              <w:shd w:val="clear" w:color="auto" w:fill="FFFFFF"/>
              <w:spacing w:before="100" w:beforeAutospacing="1" w:after="100" w:afterAutospacing="1" w:line="240" w:lineRule="auto"/>
              <w:textAlignment w:val="baseline"/>
              <w:rPr>
                <w:rFonts w:eastAsia="Times New Roman" w:cstheme="minorHAnsi"/>
                <w:color w:val="000000"/>
                <w:lang w:eastAsia="en-GB"/>
              </w:rPr>
            </w:pPr>
            <w:r w:rsidRPr="00D42A84">
              <w:rPr>
                <w:rFonts w:eastAsia="Times New Roman" w:cstheme="minorHAnsi"/>
                <w:color w:val="000000"/>
                <w:lang w:eastAsia="en-GB"/>
              </w:rPr>
              <w:t>It’s also known as knowledge translation, knowledge exchange or knowledge transfer.</w:t>
            </w:r>
          </w:p>
          <w:p w14:paraId="4CBC5971" w14:textId="77777777" w:rsidR="00D3338A" w:rsidRPr="00D42A84" w:rsidRDefault="00D3338A">
            <w:pPr>
              <w:rPr>
                <w:rFonts w:cstheme="minorHAnsi"/>
              </w:rPr>
            </w:pPr>
            <w:r w:rsidRPr="00D3338A">
              <w:rPr>
                <w:rFonts w:cstheme="minorHAnsi"/>
              </w:rPr>
              <w:t>https://www.nihr.ac.uk/researchers/i-need-help-designing-my-research/plan-knowledge-mobilisation.htm</w:t>
            </w:r>
          </w:p>
        </w:tc>
      </w:tr>
      <w:tr w:rsidR="00254282" w14:paraId="472E35C1" w14:textId="77777777" w:rsidTr="00081B0D">
        <w:trPr>
          <w:trHeight w:val="1409"/>
        </w:trPr>
        <w:tc>
          <w:tcPr>
            <w:tcW w:w="1877" w:type="dxa"/>
          </w:tcPr>
          <w:p w14:paraId="17C5A8CB" w14:textId="77777777" w:rsidR="00254282" w:rsidRDefault="00915E44">
            <w:r>
              <w:t>Involvement</w:t>
            </w:r>
          </w:p>
        </w:tc>
        <w:tc>
          <w:tcPr>
            <w:tcW w:w="7072" w:type="dxa"/>
          </w:tcPr>
          <w:p w14:paraId="14E92C9F" w14:textId="77777777" w:rsidR="006936AB" w:rsidRPr="007A0FFC" w:rsidRDefault="006936AB" w:rsidP="006936AB">
            <w:pPr>
              <w:shd w:val="clear" w:color="auto" w:fill="FFFFFF"/>
              <w:spacing w:beforeAutospacing="1" w:after="0" w:afterAutospacing="1" w:line="240" w:lineRule="auto"/>
              <w:textAlignment w:val="baseline"/>
              <w:rPr>
                <w:rFonts w:eastAsia="Times New Roman" w:cstheme="minorHAnsi"/>
                <w:color w:val="000000"/>
                <w:lang w:eastAsia="en-GB"/>
              </w:rPr>
            </w:pPr>
            <w:r>
              <w:rPr>
                <w:rFonts w:eastAsia="Times New Roman" w:cstheme="minorHAnsi"/>
                <w:color w:val="000000"/>
                <w:bdr w:val="none" w:sz="0" w:space="0" w:color="auto" w:frame="1"/>
                <w:lang w:eastAsia="en-GB"/>
              </w:rPr>
              <w:t>The NIHR</w:t>
            </w:r>
            <w:r w:rsidRPr="007A0FFC">
              <w:rPr>
                <w:rFonts w:eastAsia="Times New Roman" w:cstheme="minorHAnsi"/>
                <w:color w:val="000000"/>
                <w:bdr w:val="none" w:sz="0" w:space="0" w:color="auto" w:frame="1"/>
                <w:lang w:eastAsia="en-GB"/>
              </w:rPr>
              <w:t xml:space="preserve"> define</w:t>
            </w:r>
            <w:r>
              <w:rPr>
                <w:rFonts w:eastAsia="Times New Roman" w:cstheme="minorHAnsi"/>
                <w:color w:val="000000"/>
                <w:bdr w:val="none" w:sz="0" w:space="0" w:color="auto" w:frame="1"/>
                <w:lang w:eastAsia="en-GB"/>
              </w:rPr>
              <w:t>s</w:t>
            </w:r>
            <w:r w:rsidRPr="007A0FFC">
              <w:rPr>
                <w:rFonts w:eastAsia="Times New Roman" w:cstheme="minorHAnsi"/>
                <w:color w:val="000000"/>
                <w:bdr w:val="none" w:sz="0" w:space="0" w:color="auto" w:frame="1"/>
                <w:lang w:eastAsia="en-GB"/>
              </w:rPr>
              <w:t> public involvement in research as research being carried out ‘with’ or ‘by’ members of the public rather than ‘to’, ‘about’ or ‘for’ them.</w:t>
            </w:r>
          </w:p>
          <w:p w14:paraId="50617E11" w14:textId="77777777" w:rsidR="00254282" w:rsidRDefault="00DD6F65">
            <w:r w:rsidRPr="005B4F68">
              <w:rPr>
                <w:rFonts w:cstheme="minorHAnsi"/>
              </w:rPr>
              <w:t>https://www.nihr.ac.uk/</w:t>
            </w:r>
          </w:p>
        </w:tc>
      </w:tr>
      <w:tr w:rsidR="001E7427" w14:paraId="10E937F0" w14:textId="77777777" w:rsidTr="00081B0D">
        <w:trPr>
          <w:trHeight w:val="1409"/>
        </w:trPr>
        <w:tc>
          <w:tcPr>
            <w:tcW w:w="1877" w:type="dxa"/>
          </w:tcPr>
          <w:p w14:paraId="52D11650" w14:textId="77777777" w:rsidR="001E7427" w:rsidRDefault="00915E44" w:rsidP="00915E44">
            <w:r>
              <w:t>Engagement</w:t>
            </w:r>
            <w:r w:rsidR="001E7427">
              <w:t xml:space="preserve"> </w:t>
            </w:r>
          </w:p>
        </w:tc>
        <w:tc>
          <w:tcPr>
            <w:tcW w:w="7072" w:type="dxa"/>
          </w:tcPr>
          <w:p w14:paraId="3A51D5CD" w14:textId="77777777" w:rsidR="006936AB" w:rsidRDefault="006936AB" w:rsidP="006936AB">
            <w:pPr>
              <w:rPr>
                <w:rFonts w:eastAsia="Times New Roman" w:cstheme="minorHAnsi"/>
                <w:color w:val="000000"/>
                <w:lang w:eastAsia="en-GB"/>
              </w:rPr>
            </w:pPr>
            <w:r w:rsidRPr="00DD6F65">
              <w:rPr>
                <w:rFonts w:eastAsia="Times New Roman" w:cstheme="minorHAnsi"/>
                <w:color w:val="000000"/>
                <w:lang w:eastAsia="en-GB"/>
              </w:rPr>
              <w:t>Ther</w:t>
            </w:r>
            <w:r>
              <w:rPr>
                <w:rFonts w:eastAsia="Times New Roman" w:cstheme="minorHAnsi"/>
                <w:color w:val="000000"/>
                <w:lang w:eastAsia="en-GB"/>
              </w:rPr>
              <w:t xml:space="preserve">e is no standard model for engagement but it </w:t>
            </w:r>
            <w:r w:rsidRPr="00DD6F65">
              <w:rPr>
                <w:rFonts w:eastAsia="Times New Roman" w:cstheme="minorHAnsi"/>
                <w:color w:val="000000"/>
                <w:lang w:eastAsia="en-GB"/>
              </w:rPr>
              <w:t xml:space="preserve">should demonstrate </w:t>
            </w:r>
            <w:r>
              <w:rPr>
                <w:rFonts w:eastAsia="Times New Roman" w:cstheme="minorHAnsi"/>
                <w:color w:val="000000"/>
                <w:lang w:eastAsia="en-GB"/>
              </w:rPr>
              <w:t>an</w:t>
            </w:r>
            <w:r w:rsidRPr="00DD6F65">
              <w:rPr>
                <w:rFonts w:eastAsia="Times New Roman" w:cstheme="minorHAnsi"/>
                <w:color w:val="000000"/>
                <w:lang w:eastAsia="en-GB"/>
              </w:rPr>
              <w:t xml:space="preserve"> approach</w:t>
            </w:r>
            <w:r>
              <w:rPr>
                <w:rFonts w:eastAsia="Times New Roman" w:cstheme="minorHAnsi"/>
                <w:color w:val="000000"/>
                <w:lang w:eastAsia="en-GB"/>
              </w:rPr>
              <w:t xml:space="preserve"> that</w:t>
            </w:r>
            <w:r w:rsidRPr="00DD6F65">
              <w:rPr>
                <w:rFonts w:eastAsia="Times New Roman" w:cstheme="minorHAnsi"/>
                <w:color w:val="000000"/>
                <w:lang w:eastAsia="en-GB"/>
              </w:rPr>
              <w:t xml:space="preserve"> those in the community who are most affected are empowered to contribute towards decision-making.</w:t>
            </w:r>
          </w:p>
          <w:p w14:paraId="7083F209" w14:textId="77777777" w:rsidR="001E7427" w:rsidRDefault="00DD6F65" w:rsidP="006936AB">
            <w:r w:rsidRPr="005B4F68">
              <w:rPr>
                <w:rFonts w:cstheme="minorHAnsi"/>
              </w:rPr>
              <w:t>https://www.nihr.ac.uk/</w:t>
            </w:r>
          </w:p>
        </w:tc>
      </w:tr>
      <w:tr w:rsidR="001E7427" w14:paraId="6136DFCD" w14:textId="77777777" w:rsidTr="00081B0D">
        <w:trPr>
          <w:trHeight w:val="1409"/>
        </w:trPr>
        <w:tc>
          <w:tcPr>
            <w:tcW w:w="1877" w:type="dxa"/>
          </w:tcPr>
          <w:p w14:paraId="5E139E9E" w14:textId="77777777" w:rsidR="001E7427" w:rsidRDefault="001E7427">
            <w:r>
              <w:lastRenderedPageBreak/>
              <w:t>Community Engagement</w:t>
            </w:r>
            <w:r w:rsidR="00DD6F65">
              <w:t xml:space="preserve"> </w:t>
            </w:r>
            <w:r w:rsidR="00DF096E">
              <w:t xml:space="preserve">and Involvement </w:t>
            </w:r>
            <w:r w:rsidR="00DD6F65">
              <w:t>(CEI)</w:t>
            </w:r>
          </w:p>
          <w:p w14:paraId="31B90896" w14:textId="77777777" w:rsidR="001E7427" w:rsidRDefault="001E7427"/>
        </w:tc>
        <w:tc>
          <w:tcPr>
            <w:tcW w:w="7072" w:type="dxa"/>
          </w:tcPr>
          <w:p w14:paraId="228B3FA1" w14:textId="77777777" w:rsidR="00DD6F65" w:rsidRPr="00DD6F65" w:rsidRDefault="00DD6F65" w:rsidP="00DD6F65">
            <w:pPr>
              <w:shd w:val="clear" w:color="auto" w:fill="FFFFFF"/>
              <w:spacing w:before="100" w:beforeAutospacing="1" w:after="100" w:afterAutospacing="1" w:line="240" w:lineRule="auto"/>
              <w:textAlignment w:val="baseline"/>
              <w:rPr>
                <w:rFonts w:eastAsia="Times New Roman" w:cstheme="minorHAnsi"/>
                <w:color w:val="000000"/>
                <w:lang w:eastAsia="en-GB"/>
              </w:rPr>
            </w:pPr>
            <w:r w:rsidRPr="00DD6F65">
              <w:rPr>
                <w:rFonts w:eastAsia="Times New Roman" w:cstheme="minorHAnsi"/>
                <w:color w:val="000000"/>
                <w:lang w:eastAsia="en-GB"/>
              </w:rPr>
              <w:t>Key groups normally included in CEI are patients, carers and vulnerable groups. Community leaders, non-governmental and civil society organisations, faith groups, service commissioners and providers, and policy and law makers are examples of other types of stakeholders.</w:t>
            </w:r>
          </w:p>
          <w:p w14:paraId="5314D4DC" w14:textId="77777777" w:rsidR="001E7427" w:rsidRPr="00DD6F65" w:rsidRDefault="00DD6F65">
            <w:pPr>
              <w:rPr>
                <w:rFonts w:cstheme="minorHAnsi"/>
              </w:rPr>
            </w:pPr>
            <w:r w:rsidRPr="005B4F68">
              <w:rPr>
                <w:rFonts w:cstheme="minorHAnsi"/>
              </w:rPr>
              <w:t>https://www.nihr.ac.uk/</w:t>
            </w:r>
          </w:p>
        </w:tc>
      </w:tr>
      <w:tr w:rsidR="00915E44" w14:paraId="5FB63D89" w14:textId="77777777" w:rsidTr="00081B0D">
        <w:trPr>
          <w:trHeight w:val="1409"/>
        </w:trPr>
        <w:tc>
          <w:tcPr>
            <w:tcW w:w="1877" w:type="dxa"/>
          </w:tcPr>
          <w:p w14:paraId="11349A2F" w14:textId="77777777" w:rsidR="00915E44" w:rsidRDefault="00915E44">
            <w:r>
              <w:t>Public Involvement and Engagement</w:t>
            </w:r>
            <w:r w:rsidR="00D213BF">
              <w:t xml:space="preserve"> (PPIE)</w:t>
            </w:r>
          </w:p>
        </w:tc>
        <w:tc>
          <w:tcPr>
            <w:tcW w:w="7072" w:type="dxa"/>
          </w:tcPr>
          <w:p w14:paraId="2A0BC754" w14:textId="77777777" w:rsidR="007A0FFC" w:rsidRPr="007A0FFC" w:rsidRDefault="007A0FFC" w:rsidP="007A0FFC">
            <w:pPr>
              <w:shd w:val="clear" w:color="auto" w:fill="FFFFFF"/>
              <w:spacing w:beforeAutospacing="1" w:after="0" w:afterAutospacing="1" w:line="240" w:lineRule="auto"/>
              <w:textAlignment w:val="baseline"/>
              <w:rPr>
                <w:rFonts w:eastAsia="Times New Roman" w:cstheme="minorHAnsi"/>
                <w:color w:val="000000"/>
                <w:lang w:eastAsia="en-GB"/>
              </w:rPr>
            </w:pPr>
            <w:r w:rsidRPr="007A0FFC">
              <w:rPr>
                <w:rFonts w:eastAsia="Times New Roman" w:cstheme="minorHAnsi"/>
                <w:color w:val="000000"/>
                <w:bdr w:val="none" w:sz="0" w:space="0" w:color="auto" w:frame="1"/>
                <w:lang w:eastAsia="en-GB"/>
              </w:rPr>
              <w:t xml:space="preserve">When </w:t>
            </w:r>
            <w:r>
              <w:rPr>
                <w:rFonts w:eastAsia="Times New Roman" w:cstheme="minorHAnsi"/>
                <w:color w:val="000000"/>
                <w:bdr w:val="none" w:sz="0" w:space="0" w:color="auto" w:frame="1"/>
                <w:lang w:eastAsia="en-GB"/>
              </w:rPr>
              <w:t>NIHR</w:t>
            </w:r>
            <w:r w:rsidRPr="007A0FFC">
              <w:rPr>
                <w:rFonts w:eastAsia="Times New Roman" w:cstheme="minorHAnsi"/>
                <w:color w:val="000000"/>
                <w:bdr w:val="none" w:sz="0" w:space="0" w:color="auto" w:frame="1"/>
                <w:lang w:eastAsia="en-GB"/>
              </w:rPr>
              <w:t xml:space="preserve"> use</w:t>
            </w:r>
            <w:r>
              <w:rPr>
                <w:rFonts w:eastAsia="Times New Roman" w:cstheme="minorHAnsi"/>
                <w:color w:val="000000"/>
                <w:bdr w:val="none" w:sz="0" w:space="0" w:color="auto" w:frame="1"/>
                <w:lang w:eastAsia="en-GB"/>
              </w:rPr>
              <w:t>s</w:t>
            </w:r>
            <w:r w:rsidRPr="007A0FFC">
              <w:rPr>
                <w:rFonts w:eastAsia="Times New Roman" w:cstheme="minorHAnsi"/>
                <w:color w:val="000000"/>
                <w:bdr w:val="none" w:sz="0" w:space="0" w:color="auto" w:frame="1"/>
                <w:lang w:eastAsia="en-GB"/>
              </w:rPr>
              <w:t xml:space="preserve"> the term ‘public’, </w:t>
            </w:r>
            <w:r>
              <w:rPr>
                <w:rFonts w:eastAsia="Times New Roman" w:cstheme="minorHAnsi"/>
                <w:color w:val="000000"/>
                <w:bdr w:val="none" w:sz="0" w:space="0" w:color="auto" w:frame="1"/>
                <w:lang w:eastAsia="en-GB"/>
              </w:rPr>
              <w:t>they</w:t>
            </w:r>
            <w:r w:rsidRPr="007A0FFC">
              <w:rPr>
                <w:rFonts w:eastAsia="Times New Roman" w:cstheme="minorHAnsi"/>
                <w:color w:val="000000"/>
                <w:bdr w:val="none" w:sz="0" w:space="0" w:color="auto" w:frame="1"/>
                <w:lang w:eastAsia="en-GB"/>
              </w:rPr>
              <w:t xml:space="preserve"> are including:</w:t>
            </w:r>
          </w:p>
          <w:p w14:paraId="20EABB95" w14:textId="77777777" w:rsidR="007A0FFC" w:rsidRPr="007A0FFC" w:rsidRDefault="007A0FFC" w:rsidP="007A0FFC">
            <w:pPr>
              <w:numPr>
                <w:ilvl w:val="0"/>
                <w:numId w:val="4"/>
              </w:numPr>
              <w:shd w:val="clear" w:color="auto" w:fill="FFFFFF"/>
              <w:spacing w:after="0" w:line="240" w:lineRule="auto"/>
              <w:textAlignment w:val="baseline"/>
              <w:rPr>
                <w:rFonts w:eastAsia="Times New Roman" w:cstheme="minorHAnsi"/>
                <w:color w:val="000000"/>
                <w:lang w:eastAsia="en-GB"/>
              </w:rPr>
            </w:pPr>
            <w:r w:rsidRPr="007A0FFC">
              <w:rPr>
                <w:rFonts w:eastAsia="Times New Roman" w:cstheme="minorHAnsi"/>
                <w:color w:val="000000"/>
                <w:bdr w:val="none" w:sz="0" w:space="0" w:color="auto" w:frame="1"/>
                <w:lang w:eastAsia="en-GB"/>
              </w:rPr>
              <w:t>patients and potential patients</w:t>
            </w:r>
          </w:p>
          <w:p w14:paraId="682B0357" w14:textId="77777777" w:rsidR="007A0FFC" w:rsidRPr="007A0FFC" w:rsidRDefault="007A0FFC" w:rsidP="007A0FFC">
            <w:pPr>
              <w:numPr>
                <w:ilvl w:val="0"/>
                <w:numId w:val="4"/>
              </w:numPr>
              <w:shd w:val="clear" w:color="auto" w:fill="FFFFFF"/>
              <w:spacing w:after="0" w:line="240" w:lineRule="auto"/>
              <w:textAlignment w:val="baseline"/>
              <w:rPr>
                <w:rFonts w:eastAsia="Times New Roman" w:cstheme="minorHAnsi"/>
                <w:color w:val="000000"/>
                <w:lang w:eastAsia="en-GB"/>
              </w:rPr>
            </w:pPr>
            <w:r w:rsidRPr="007A0FFC">
              <w:rPr>
                <w:rFonts w:eastAsia="Times New Roman" w:cstheme="minorHAnsi"/>
                <w:color w:val="000000"/>
                <w:bdr w:val="none" w:sz="0" w:space="0" w:color="auto" w:frame="1"/>
                <w:lang w:eastAsia="en-GB"/>
              </w:rPr>
              <w:t>carers and people who use health and social care services </w:t>
            </w:r>
          </w:p>
          <w:p w14:paraId="552C13FE" w14:textId="77777777" w:rsidR="007A0FFC" w:rsidRPr="007A0FFC" w:rsidRDefault="007A0FFC" w:rsidP="007A0FFC">
            <w:pPr>
              <w:numPr>
                <w:ilvl w:val="0"/>
                <w:numId w:val="4"/>
              </w:numPr>
              <w:shd w:val="clear" w:color="auto" w:fill="FFFFFF"/>
              <w:spacing w:after="0" w:line="240" w:lineRule="auto"/>
              <w:textAlignment w:val="baseline"/>
              <w:rPr>
                <w:rFonts w:eastAsia="Times New Roman" w:cstheme="minorHAnsi"/>
                <w:color w:val="000000"/>
                <w:lang w:eastAsia="en-GB"/>
              </w:rPr>
            </w:pPr>
            <w:r w:rsidRPr="007A0FFC">
              <w:rPr>
                <w:rFonts w:eastAsia="Times New Roman" w:cstheme="minorHAnsi"/>
                <w:color w:val="000000"/>
                <w:bdr w:val="none" w:sz="0" w:space="0" w:color="auto" w:frame="1"/>
                <w:lang w:eastAsia="en-GB"/>
              </w:rPr>
              <w:t>people from organisations that represent people who use services.</w:t>
            </w:r>
          </w:p>
          <w:p w14:paraId="1707ECFD" w14:textId="77777777" w:rsidR="001352C4" w:rsidRPr="007A0FFC" w:rsidRDefault="001352C4" w:rsidP="001352C4">
            <w:pPr>
              <w:shd w:val="clear" w:color="auto" w:fill="FFFFFF"/>
              <w:spacing w:before="100" w:beforeAutospacing="1" w:after="100" w:afterAutospacing="1" w:line="240" w:lineRule="auto"/>
              <w:textAlignment w:val="baseline"/>
              <w:rPr>
                <w:rFonts w:eastAsia="Times New Roman" w:cstheme="minorHAnsi"/>
                <w:color w:val="000000"/>
                <w:lang w:eastAsia="en-GB"/>
              </w:rPr>
            </w:pPr>
            <w:r w:rsidRPr="007A0FFC">
              <w:rPr>
                <w:rFonts w:eastAsia="Times New Roman" w:cstheme="minorHAnsi"/>
                <w:color w:val="000000"/>
                <w:lang w:eastAsia="en-GB"/>
              </w:rPr>
              <w:t>When the public gets involved in research, they work alongside researchers to help shape:</w:t>
            </w:r>
          </w:p>
          <w:p w14:paraId="261B671A" w14:textId="77777777" w:rsidR="001352C4" w:rsidRPr="007A0FFC" w:rsidRDefault="001352C4" w:rsidP="001352C4">
            <w:pPr>
              <w:numPr>
                <w:ilvl w:val="0"/>
                <w:numId w:val="3"/>
              </w:numPr>
              <w:shd w:val="clear" w:color="auto" w:fill="FFFFFF"/>
              <w:spacing w:after="0" w:line="240" w:lineRule="auto"/>
              <w:textAlignment w:val="baseline"/>
              <w:rPr>
                <w:rFonts w:eastAsia="Times New Roman" w:cstheme="minorHAnsi"/>
                <w:color w:val="000000"/>
                <w:lang w:eastAsia="en-GB"/>
              </w:rPr>
            </w:pPr>
            <w:r w:rsidRPr="007A0FFC">
              <w:rPr>
                <w:rFonts w:eastAsia="Times New Roman" w:cstheme="minorHAnsi"/>
                <w:color w:val="000000"/>
                <w:lang w:eastAsia="en-GB"/>
              </w:rPr>
              <w:t>what research gets done</w:t>
            </w:r>
          </w:p>
          <w:p w14:paraId="044F04F9" w14:textId="77777777" w:rsidR="001352C4" w:rsidRPr="007A0FFC" w:rsidRDefault="001352C4" w:rsidP="001352C4">
            <w:pPr>
              <w:numPr>
                <w:ilvl w:val="0"/>
                <w:numId w:val="3"/>
              </w:numPr>
              <w:shd w:val="clear" w:color="auto" w:fill="FFFFFF"/>
              <w:spacing w:after="0" w:line="240" w:lineRule="auto"/>
              <w:textAlignment w:val="baseline"/>
              <w:rPr>
                <w:rFonts w:eastAsia="Times New Roman" w:cstheme="minorHAnsi"/>
                <w:color w:val="000000"/>
                <w:lang w:eastAsia="en-GB"/>
              </w:rPr>
            </w:pPr>
            <w:r w:rsidRPr="007A0FFC">
              <w:rPr>
                <w:rFonts w:eastAsia="Times New Roman" w:cstheme="minorHAnsi"/>
                <w:color w:val="000000"/>
                <w:lang w:eastAsia="en-GB"/>
              </w:rPr>
              <w:t>how it’s carried out</w:t>
            </w:r>
          </w:p>
          <w:p w14:paraId="667E8498" w14:textId="77777777" w:rsidR="001352C4" w:rsidRPr="007A0FFC" w:rsidRDefault="001352C4" w:rsidP="001352C4">
            <w:pPr>
              <w:numPr>
                <w:ilvl w:val="0"/>
                <w:numId w:val="3"/>
              </w:numPr>
              <w:shd w:val="clear" w:color="auto" w:fill="FFFFFF"/>
              <w:spacing w:after="0" w:line="240" w:lineRule="auto"/>
              <w:textAlignment w:val="baseline"/>
              <w:rPr>
                <w:rFonts w:eastAsia="Times New Roman" w:cstheme="minorHAnsi"/>
                <w:color w:val="000000"/>
                <w:lang w:eastAsia="en-GB"/>
              </w:rPr>
            </w:pPr>
            <w:r w:rsidRPr="007A0FFC">
              <w:rPr>
                <w:rFonts w:eastAsia="Times New Roman" w:cstheme="minorHAnsi"/>
                <w:color w:val="000000"/>
                <w:lang w:eastAsia="en-GB"/>
              </w:rPr>
              <w:t>and how the results are shared and applied in practice.</w:t>
            </w:r>
          </w:p>
          <w:p w14:paraId="1EB1A7A4" w14:textId="77777777" w:rsidR="001352C4" w:rsidRPr="007A0FFC" w:rsidRDefault="001352C4" w:rsidP="001352C4">
            <w:pPr>
              <w:shd w:val="clear" w:color="auto" w:fill="FFFFFF"/>
              <w:spacing w:before="100" w:beforeAutospacing="1" w:after="100" w:afterAutospacing="1" w:line="240" w:lineRule="auto"/>
              <w:textAlignment w:val="baseline"/>
              <w:rPr>
                <w:rFonts w:eastAsia="Times New Roman" w:cstheme="minorHAnsi"/>
                <w:color w:val="000000"/>
                <w:lang w:eastAsia="en-GB"/>
              </w:rPr>
            </w:pPr>
            <w:r w:rsidRPr="007A0FFC">
              <w:rPr>
                <w:rFonts w:eastAsia="Times New Roman" w:cstheme="minorHAnsi"/>
                <w:color w:val="000000"/>
                <w:lang w:eastAsia="en-GB"/>
              </w:rPr>
              <w:t>Being involved is not the same as taking part in research. It's not about taking part in a trial or study to test a new treatment</w:t>
            </w:r>
            <w:r w:rsidRPr="007A0FFC">
              <w:rPr>
                <w:rFonts w:ascii="Lato" w:eastAsia="Times New Roman" w:hAnsi="Lato" w:cs="Times New Roman"/>
                <w:color w:val="000000"/>
                <w:sz w:val="24"/>
                <w:szCs w:val="24"/>
                <w:lang w:eastAsia="en-GB"/>
              </w:rPr>
              <w:t xml:space="preserve"> </w:t>
            </w:r>
            <w:r w:rsidRPr="007A0FFC">
              <w:rPr>
                <w:rFonts w:eastAsia="Times New Roman" w:cstheme="minorHAnsi"/>
                <w:color w:val="000000"/>
                <w:lang w:eastAsia="en-GB"/>
              </w:rPr>
              <w:t>or care option. It’s about being a member of the research team that works together to design and run the study.</w:t>
            </w:r>
          </w:p>
          <w:p w14:paraId="2079120D" w14:textId="77777777" w:rsidR="00915E44" w:rsidRDefault="00DD6F65">
            <w:r w:rsidRPr="007A0FFC">
              <w:rPr>
                <w:rFonts w:cstheme="minorHAnsi"/>
              </w:rPr>
              <w:t>https://www.nihr.ac.uk/</w:t>
            </w:r>
          </w:p>
        </w:tc>
      </w:tr>
      <w:tr w:rsidR="00254282" w14:paraId="152ECCE4" w14:textId="77777777" w:rsidTr="00081B0D">
        <w:trPr>
          <w:trHeight w:val="1409"/>
        </w:trPr>
        <w:tc>
          <w:tcPr>
            <w:tcW w:w="1877" w:type="dxa"/>
          </w:tcPr>
          <w:p w14:paraId="6D638F2D" w14:textId="77777777" w:rsidR="00254282" w:rsidRDefault="00254282">
            <w:r>
              <w:t>Community of Practice</w:t>
            </w:r>
          </w:p>
        </w:tc>
        <w:tc>
          <w:tcPr>
            <w:tcW w:w="7072" w:type="dxa"/>
          </w:tcPr>
          <w:p w14:paraId="1F78AC75" w14:textId="5BEB9575" w:rsidR="00254282" w:rsidRPr="00D3338A" w:rsidRDefault="00081B0D">
            <w:pPr>
              <w:rPr>
                <w:rFonts w:cstheme="minorHAnsi"/>
                <w:color w:val="333333"/>
                <w:shd w:val="clear" w:color="auto" w:fill="FFFFFF"/>
              </w:rPr>
            </w:pPr>
            <w:r>
              <w:rPr>
                <w:rFonts w:cstheme="minorHAnsi"/>
                <w:color w:val="333333"/>
                <w:shd w:val="clear" w:color="auto" w:fill="FFFFFF"/>
              </w:rPr>
              <w:t>A</w:t>
            </w:r>
            <w:r w:rsidR="00D3338A" w:rsidRPr="00D3338A">
              <w:rPr>
                <w:rFonts w:cstheme="minorHAnsi"/>
                <w:color w:val="333333"/>
                <w:shd w:val="clear" w:color="auto" w:fill="FFFFFF"/>
              </w:rPr>
              <w:t xml:space="preserve"> group of people, who share a concern, a set of problems, or a passion about a topic, and who deepen their knowledge and expertise in this area by interacting on an ongoing basis</w:t>
            </w:r>
            <w:r>
              <w:rPr>
                <w:rFonts w:cstheme="minorHAnsi"/>
                <w:color w:val="333333"/>
                <w:shd w:val="clear" w:color="auto" w:fill="FFFFFF"/>
              </w:rPr>
              <w:t>.</w:t>
            </w:r>
          </w:p>
          <w:p w14:paraId="737CC8C3" w14:textId="3D15A837" w:rsidR="00D3338A" w:rsidRPr="00D3338A" w:rsidRDefault="00D3338A">
            <w:pPr>
              <w:rPr>
                <w:rFonts w:cstheme="minorHAnsi"/>
              </w:rPr>
            </w:pPr>
            <w:r w:rsidRPr="00D3338A">
              <w:rPr>
                <w:rFonts w:cstheme="minorHAnsi"/>
                <w:color w:val="333333"/>
                <w:shd w:val="clear" w:color="auto" w:fill="FFFFFF"/>
              </w:rPr>
              <w:t>Wenger E, McDermott RA, Snyder W. Cultivating communities of practice: A guide to managing knowledge. Harvard Business Press; 2002.</w:t>
            </w:r>
          </w:p>
        </w:tc>
      </w:tr>
    </w:tbl>
    <w:p w14:paraId="3F76F79B" w14:textId="77777777" w:rsidR="00400BC1" w:rsidRDefault="00400BC1"/>
    <w:p w14:paraId="5205D8AA" w14:textId="77777777" w:rsidR="00400BC1" w:rsidRDefault="00400BC1"/>
    <w:sectPr w:rsidR="00400BC1">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C286" w14:textId="77777777" w:rsidR="009B150B" w:rsidRDefault="009B150B" w:rsidP="00D43A77">
      <w:pPr>
        <w:spacing w:after="0" w:line="240" w:lineRule="auto"/>
      </w:pPr>
      <w:r>
        <w:separator/>
      </w:r>
    </w:p>
  </w:endnote>
  <w:endnote w:type="continuationSeparator" w:id="0">
    <w:p w14:paraId="7498EE92" w14:textId="77777777" w:rsidR="009B150B" w:rsidRDefault="009B150B" w:rsidP="00D43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3014190"/>
      <w:docPartObj>
        <w:docPartGallery w:val="Page Numbers (Bottom of Page)"/>
        <w:docPartUnique/>
      </w:docPartObj>
    </w:sdtPr>
    <w:sdtEndPr>
      <w:rPr>
        <w:noProof/>
      </w:rPr>
    </w:sdtEndPr>
    <w:sdtContent>
      <w:p w14:paraId="6CB495C6" w14:textId="254EE9D3" w:rsidR="00D43A77" w:rsidRDefault="00D43A7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1F5BAD1" w14:textId="77777777" w:rsidR="00D43A77" w:rsidRDefault="00D43A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DA1B7" w14:textId="77777777" w:rsidR="009B150B" w:rsidRDefault="009B150B" w:rsidP="00D43A77">
      <w:pPr>
        <w:spacing w:after="0" w:line="240" w:lineRule="auto"/>
      </w:pPr>
      <w:r>
        <w:separator/>
      </w:r>
    </w:p>
  </w:footnote>
  <w:footnote w:type="continuationSeparator" w:id="0">
    <w:p w14:paraId="25A3A2BE" w14:textId="77777777" w:rsidR="009B150B" w:rsidRDefault="009B150B" w:rsidP="00D43A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471DB"/>
    <w:multiLevelType w:val="multilevel"/>
    <w:tmpl w:val="4D401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011E14"/>
    <w:multiLevelType w:val="multilevel"/>
    <w:tmpl w:val="38CC7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1F1B39"/>
    <w:multiLevelType w:val="multilevel"/>
    <w:tmpl w:val="25163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75538A"/>
    <w:multiLevelType w:val="multilevel"/>
    <w:tmpl w:val="441C4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BC1"/>
    <w:rsid w:val="00015A8A"/>
    <w:rsid w:val="000640CC"/>
    <w:rsid w:val="00081B0D"/>
    <w:rsid w:val="000B515A"/>
    <w:rsid w:val="000D288B"/>
    <w:rsid w:val="0012653F"/>
    <w:rsid w:val="001352C4"/>
    <w:rsid w:val="001E7427"/>
    <w:rsid w:val="00254282"/>
    <w:rsid w:val="002A7D0F"/>
    <w:rsid w:val="002F50D4"/>
    <w:rsid w:val="0036569B"/>
    <w:rsid w:val="00400BC1"/>
    <w:rsid w:val="00420A7C"/>
    <w:rsid w:val="00587C51"/>
    <w:rsid w:val="005B4F68"/>
    <w:rsid w:val="006936AB"/>
    <w:rsid w:val="0069471D"/>
    <w:rsid w:val="006B2418"/>
    <w:rsid w:val="007A0FFC"/>
    <w:rsid w:val="007F7A55"/>
    <w:rsid w:val="008412E5"/>
    <w:rsid w:val="0089449B"/>
    <w:rsid w:val="00915E44"/>
    <w:rsid w:val="00986FB2"/>
    <w:rsid w:val="009B150B"/>
    <w:rsid w:val="00AC76DE"/>
    <w:rsid w:val="00B73338"/>
    <w:rsid w:val="00C43643"/>
    <w:rsid w:val="00D00218"/>
    <w:rsid w:val="00D14BEE"/>
    <w:rsid w:val="00D213BF"/>
    <w:rsid w:val="00D3338A"/>
    <w:rsid w:val="00D42A84"/>
    <w:rsid w:val="00D43A77"/>
    <w:rsid w:val="00DD6F65"/>
    <w:rsid w:val="00DF096E"/>
    <w:rsid w:val="00E83FA8"/>
    <w:rsid w:val="00F136E6"/>
    <w:rsid w:val="00FD2D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BC7D4"/>
  <w15:chartTrackingRefBased/>
  <w15:docId w15:val="{B812D76C-FD62-4839-9273-C442FDFAE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B4F68"/>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B4F68"/>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5B4F6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D3338A"/>
    <w:rPr>
      <w:color w:val="0563C1" w:themeColor="hyperlink"/>
      <w:u w:val="single"/>
    </w:rPr>
  </w:style>
  <w:style w:type="paragraph" w:styleId="Header">
    <w:name w:val="header"/>
    <w:basedOn w:val="Normal"/>
    <w:link w:val="HeaderChar"/>
    <w:uiPriority w:val="99"/>
    <w:unhideWhenUsed/>
    <w:rsid w:val="00D43A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3A77"/>
  </w:style>
  <w:style w:type="paragraph" w:styleId="Footer">
    <w:name w:val="footer"/>
    <w:basedOn w:val="Normal"/>
    <w:link w:val="FooterChar"/>
    <w:uiPriority w:val="99"/>
    <w:unhideWhenUsed/>
    <w:rsid w:val="00D43A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3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5479">
      <w:bodyDiv w:val="1"/>
      <w:marLeft w:val="0"/>
      <w:marRight w:val="0"/>
      <w:marTop w:val="0"/>
      <w:marBottom w:val="0"/>
      <w:divBdr>
        <w:top w:val="none" w:sz="0" w:space="0" w:color="auto"/>
        <w:left w:val="none" w:sz="0" w:space="0" w:color="auto"/>
        <w:bottom w:val="none" w:sz="0" w:space="0" w:color="auto"/>
        <w:right w:val="none" w:sz="0" w:space="0" w:color="auto"/>
      </w:divBdr>
    </w:div>
    <w:div w:id="277109009">
      <w:bodyDiv w:val="1"/>
      <w:marLeft w:val="0"/>
      <w:marRight w:val="0"/>
      <w:marTop w:val="0"/>
      <w:marBottom w:val="0"/>
      <w:divBdr>
        <w:top w:val="none" w:sz="0" w:space="0" w:color="auto"/>
        <w:left w:val="none" w:sz="0" w:space="0" w:color="auto"/>
        <w:bottom w:val="none" w:sz="0" w:space="0" w:color="auto"/>
        <w:right w:val="none" w:sz="0" w:space="0" w:color="auto"/>
      </w:divBdr>
    </w:div>
    <w:div w:id="395712766">
      <w:bodyDiv w:val="1"/>
      <w:marLeft w:val="0"/>
      <w:marRight w:val="0"/>
      <w:marTop w:val="0"/>
      <w:marBottom w:val="0"/>
      <w:divBdr>
        <w:top w:val="none" w:sz="0" w:space="0" w:color="auto"/>
        <w:left w:val="none" w:sz="0" w:space="0" w:color="auto"/>
        <w:bottom w:val="none" w:sz="0" w:space="0" w:color="auto"/>
        <w:right w:val="none" w:sz="0" w:space="0" w:color="auto"/>
      </w:divBdr>
    </w:div>
    <w:div w:id="1811828342">
      <w:bodyDiv w:val="1"/>
      <w:marLeft w:val="0"/>
      <w:marRight w:val="0"/>
      <w:marTop w:val="0"/>
      <w:marBottom w:val="0"/>
      <w:divBdr>
        <w:top w:val="none" w:sz="0" w:space="0" w:color="auto"/>
        <w:left w:val="none" w:sz="0" w:space="0" w:color="auto"/>
        <w:bottom w:val="none" w:sz="0" w:space="0" w:color="auto"/>
        <w:right w:val="none" w:sz="0" w:space="0" w:color="auto"/>
      </w:divBdr>
    </w:div>
    <w:div w:id="190278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934</Words>
  <Characters>5330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Krysia Dziedzic</dc:creator>
  <cp:keywords/>
  <dc:description/>
  <cp:lastModifiedBy>Pavel Ovseiko</cp:lastModifiedBy>
  <cp:revision>3</cp:revision>
  <cp:lastPrinted>2023-12-04T17:07:00Z</cp:lastPrinted>
  <dcterms:created xsi:type="dcterms:W3CDTF">2024-03-18T17:06:00Z</dcterms:created>
  <dcterms:modified xsi:type="dcterms:W3CDTF">2024-03-18T17:10:00Z</dcterms:modified>
</cp:coreProperties>
</file>