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0A635" w14:textId="1F789C2B" w:rsidR="00111ECC" w:rsidRPr="00802B70" w:rsidRDefault="00415D17" w:rsidP="00786533">
      <w:pPr>
        <w:spacing w:line="360" w:lineRule="auto"/>
        <w:ind w:left="360" w:hanging="360"/>
        <w:jc w:val="center"/>
        <w:rPr>
          <w:rFonts w:ascii="Arial" w:hAnsi="Arial" w:cs="Arial"/>
          <w:b/>
          <w:bCs/>
          <w:sz w:val="32"/>
          <w:szCs w:val="32"/>
        </w:rPr>
      </w:pPr>
      <w:bookmarkStart w:id="0" w:name="_Hlk105880109"/>
      <w:r>
        <w:rPr>
          <w:rFonts w:ascii="Arial" w:hAnsi="Arial" w:cs="Arial"/>
          <w:b/>
          <w:bCs/>
          <w:sz w:val="32"/>
          <w:szCs w:val="32"/>
        </w:rPr>
        <w:t xml:space="preserve"> </w:t>
      </w:r>
      <w:r w:rsidR="00BF2E09" w:rsidRPr="00802B70">
        <w:rPr>
          <w:rFonts w:ascii="Arial" w:hAnsi="Arial" w:cs="Arial"/>
          <w:b/>
          <w:bCs/>
          <w:sz w:val="32"/>
          <w:szCs w:val="32"/>
        </w:rPr>
        <w:t xml:space="preserve">The </w:t>
      </w:r>
      <w:r w:rsidR="001A3484" w:rsidRPr="00802B70">
        <w:rPr>
          <w:rFonts w:ascii="Arial" w:hAnsi="Arial" w:cs="Arial"/>
          <w:b/>
          <w:bCs/>
          <w:sz w:val="32"/>
          <w:szCs w:val="32"/>
        </w:rPr>
        <w:t>S</w:t>
      </w:r>
      <w:r w:rsidR="001A3484" w:rsidRPr="00802B70">
        <w:rPr>
          <w:rFonts w:ascii="Arial" w:hAnsi="Arial" w:cs="Arial"/>
          <w:b/>
          <w:bCs/>
          <w:sz w:val="32"/>
          <w:szCs w:val="32"/>
          <w:lang w:eastAsia="zh-CN"/>
        </w:rPr>
        <w:t>ocio-</w:t>
      </w:r>
      <w:r w:rsidR="001A3484" w:rsidRPr="00802B70">
        <w:rPr>
          <w:rFonts w:ascii="Arial" w:hAnsi="Arial" w:cs="Arial"/>
          <w:b/>
          <w:bCs/>
          <w:sz w:val="32"/>
          <w:szCs w:val="32"/>
        </w:rPr>
        <w:t>Economic Impact of Decarbonising Geographical Islands’ Energy Systems</w:t>
      </w:r>
    </w:p>
    <w:p w14:paraId="70AA84B4" w14:textId="238FA730" w:rsidR="001A3484" w:rsidRPr="00786533" w:rsidRDefault="00E6142C" w:rsidP="001A3484">
      <w:pPr>
        <w:spacing w:line="360" w:lineRule="auto"/>
        <w:ind w:left="720" w:hanging="360"/>
        <w:jc w:val="center"/>
        <w:rPr>
          <w:rFonts w:ascii="Arial" w:hAnsi="Arial" w:cs="Arial"/>
          <w:sz w:val="20"/>
          <w:szCs w:val="20"/>
        </w:rPr>
      </w:pPr>
      <w:r w:rsidRPr="00786533">
        <w:rPr>
          <w:rFonts w:ascii="Arial" w:hAnsi="Arial" w:cs="Arial"/>
          <w:sz w:val="20"/>
          <w:szCs w:val="20"/>
        </w:rPr>
        <w:t>Nkiru Lilian Agu</w:t>
      </w:r>
      <w:r w:rsidR="001A3484" w:rsidRPr="00786533">
        <w:rPr>
          <w:rFonts w:ascii="Arial" w:hAnsi="Arial" w:cs="Arial"/>
          <w:sz w:val="20"/>
          <w:szCs w:val="20"/>
          <w:vertAlign w:val="superscript"/>
        </w:rPr>
        <w:t>1</w:t>
      </w:r>
      <w:r w:rsidR="001A3484" w:rsidRPr="00786533">
        <w:rPr>
          <w:rFonts w:ascii="Arial" w:hAnsi="Arial" w:cs="Arial"/>
          <w:sz w:val="20"/>
          <w:szCs w:val="20"/>
        </w:rPr>
        <w:t>, Gobind Pillai</w:t>
      </w:r>
      <w:r w:rsidR="00EA50F7" w:rsidRPr="00786533">
        <w:rPr>
          <w:rFonts w:ascii="Arial" w:hAnsi="Arial" w:cs="Arial"/>
          <w:sz w:val="20"/>
          <w:szCs w:val="20"/>
          <w:vertAlign w:val="superscript"/>
        </w:rPr>
        <w:t>1</w:t>
      </w:r>
      <w:r w:rsidR="00EA50F7" w:rsidRPr="00786533">
        <w:rPr>
          <w:rFonts w:ascii="Arial" w:hAnsi="Arial" w:cs="Arial"/>
          <w:sz w:val="20"/>
          <w:szCs w:val="20"/>
        </w:rPr>
        <w:t>,</w:t>
      </w:r>
      <w:r w:rsidR="001A3484" w:rsidRPr="00786533">
        <w:rPr>
          <w:rFonts w:ascii="Arial" w:hAnsi="Arial" w:cs="Arial"/>
          <w:sz w:val="20"/>
          <w:szCs w:val="20"/>
        </w:rPr>
        <w:t xml:space="preserve"> </w:t>
      </w:r>
      <w:r w:rsidR="00305FCA" w:rsidRPr="00786533">
        <w:rPr>
          <w:rFonts w:ascii="Arial" w:hAnsi="Arial" w:cs="Arial"/>
          <w:sz w:val="20"/>
          <w:szCs w:val="20"/>
        </w:rPr>
        <w:t>Dana Abi Ghanem</w:t>
      </w:r>
      <w:r w:rsidR="001A3484" w:rsidRPr="00786533">
        <w:rPr>
          <w:rFonts w:ascii="Arial" w:hAnsi="Arial" w:cs="Arial"/>
          <w:sz w:val="20"/>
          <w:szCs w:val="20"/>
          <w:vertAlign w:val="superscript"/>
        </w:rPr>
        <w:t>1</w:t>
      </w:r>
      <w:r w:rsidR="001A3484" w:rsidRPr="00786533">
        <w:rPr>
          <w:rFonts w:ascii="Arial" w:hAnsi="Arial" w:cs="Arial"/>
          <w:sz w:val="20"/>
          <w:szCs w:val="20"/>
        </w:rPr>
        <w:t xml:space="preserve">, </w:t>
      </w:r>
      <w:r w:rsidR="008B6AD9" w:rsidRPr="00786533">
        <w:rPr>
          <w:rFonts w:ascii="Arial" w:hAnsi="Arial" w:cs="Arial"/>
          <w:sz w:val="20"/>
          <w:szCs w:val="20"/>
        </w:rPr>
        <w:t>Stergios Vakalis</w:t>
      </w:r>
      <w:r w:rsidR="008B6AD9" w:rsidRPr="00786533">
        <w:rPr>
          <w:rFonts w:ascii="Arial" w:hAnsi="Arial" w:cs="Arial"/>
          <w:sz w:val="20"/>
          <w:szCs w:val="20"/>
          <w:vertAlign w:val="superscript"/>
        </w:rPr>
        <w:t>2</w:t>
      </w:r>
      <w:r w:rsidR="008B6AD9" w:rsidRPr="00786533">
        <w:rPr>
          <w:rFonts w:ascii="Arial" w:hAnsi="Arial" w:cs="Arial"/>
          <w:sz w:val="20"/>
          <w:szCs w:val="20"/>
        </w:rPr>
        <w:t xml:space="preserve">, </w:t>
      </w:r>
      <w:r w:rsidR="001A3484" w:rsidRPr="00786533">
        <w:rPr>
          <w:rFonts w:ascii="Arial" w:hAnsi="Arial" w:cs="Arial"/>
          <w:sz w:val="20"/>
          <w:szCs w:val="20"/>
        </w:rPr>
        <w:t>Tracey Crosbie</w:t>
      </w:r>
      <w:r w:rsidR="000A58CD" w:rsidRPr="00786533">
        <w:rPr>
          <w:rFonts w:ascii="Arial" w:hAnsi="Arial" w:cs="Arial"/>
          <w:sz w:val="20"/>
          <w:szCs w:val="20"/>
          <w:vertAlign w:val="superscript"/>
        </w:rPr>
        <w:t>1</w:t>
      </w:r>
      <w:r w:rsidR="001A3484" w:rsidRPr="00786533">
        <w:rPr>
          <w:rFonts w:ascii="Arial" w:hAnsi="Arial" w:cs="Arial"/>
          <w:sz w:val="20"/>
          <w:szCs w:val="20"/>
        </w:rPr>
        <w:t xml:space="preserve">, </w:t>
      </w:r>
      <w:r w:rsidR="0000072F" w:rsidRPr="00786533">
        <w:rPr>
          <w:rFonts w:ascii="Arial" w:hAnsi="Arial" w:cs="Arial"/>
          <w:sz w:val="20"/>
          <w:szCs w:val="20"/>
        </w:rPr>
        <w:t>Dias Haralambopoulos</w:t>
      </w:r>
      <w:r w:rsidR="00786533" w:rsidRPr="00786533">
        <w:rPr>
          <w:rFonts w:ascii="Arial" w:hAnsi="Arial" w:cs="Arial"/>
          <w:sz w:val="20"/>
          <w:szCs w:val="20"/>
          <w:vertAlign w:val="superscript"/>
        </w:rPr>
        <w:t>2</w:t>
      </w:r>
      <w:r w:rsidR="001A3484" w:rsidRPr="00786533">
        <w:rPr>
          <w:rFonts w:ascii="Arial" w:hAnsi="Arial" w:cs="Arial"/>
          <w:sz w:val="20"/>
          <w:szCs w:val="20"/>
        </w:rPr>
        <w:t xml:space="preserve">, </w:t>
      </w:r>
      <w:r w:rsidR="0000072F" w:rsidRPr="00786533">
        <w:rPr>
          <w:rFonts w:ascii="Arial" w:hAnsi="Arial" w:cs="Arial"/>
          <w:sz w:val="20"/>
          <w:szCs w:val="20"/>
        </w:rPr>
        <w:t xml:space="preserve">and </w:t>
      </w:r>
      <w:r w:rsidR="00EA50F7" w:rsidRPr="00786533">
        <w:rPr>
          <w:rFonts w:ascii="Arial" w:hAnsi="Arial" w:cs="Arial"/>
          <w:sz w:val="20"/>
          <w:szCs w:val="20"/>
        </w:rPr>
        <w:t>Xihui Haviour Chen</w:t>
      </w:r>
      <w:r w:rsidR="00786533" w:rsidRPr="00786533">
        <w:rPr>
          <w:rFonts w:ascii="Arial" w:hAnsi="Arial" w:cs="Arial"/>
          <w:sz w:val="20"/>
          <w:szCs w:val="20"/>
          <w:vertAlign w:val="superscript"/>
        </w:rPr>
        <w:t>3</w:t>
      </w:r>
    </w:p>
    <w:p w14:paraId="1B8B039C" w14:textId="388C5537" w:rsidR="001A3484" w:rsidRPr="007C5611" w:rsidRDefault="00786533" w:rsidP="001A3484">
      <w:pPr>
        <w:spacing w:line="360" w:lineRule="auto"/>
        <w:ind w:left="720" w:hanging="360"/>
        <w:jc w:val="center"/>
        <w:rPr>
          <w:rFonts w:ascii="Arial" w:hAnsi="Arial" w:cs="Arial"/>
          <w:sz w:val="18"/>
          <w:szCs w:val="18"/>
        </w:rPr>
      </w:pPr>
      <w:r w:rsidRPr="007C5611">
        <w:rPr>
          <w:rFonts w:ascii="Arial" w:hAnsi="Arial" w:cs="Arial"/>
          <w:sz w:val="18"/>
          <w:szCs w:val="18"/>
        </w:rPr>
        <w:t>1</w:t>
      </w:r>
      <w:r w:rsidR="001A3484" w:rsidRPr="007C5611">
        <w:rPr>
          <w:rFonts w:ascii="Arial" w:hAnsi="Arial" w:cs="Arial"/>
          <w:sz w:val="18"/>
          <w:szCs w:val="18"/>
        </w:rPr>
        <w:tab/>
        <w:t>Centre for Sustainable Engineering, Teesside University, Middlesbrough,</w:t>
      </w:r>
      <w:r w:rsidRPr="007C5611">
        <w:rPr>
          <w:rFonts w:ascii="Arial" w:hAnsi="Arial" w:cs="Arial"/>
          <w:sz w:val="18"/>
          <w:szCs w:val="18"/>
        </w:rPr>
        <w:t xml:space="preserve"> TS1 3BA,</w:t>
      </w:r>
      <w:r w:rsidR="001A3484" w:rsidRPr="007C5611">
        <w:rPr>
          <w:rFonts w:ascii="Arial" w:hAnsi="Arial" w:cs="Arial"/>
          <w:sz w:val="18"/>
          <w:szCs w:val="18"/>
        </w:rPr>
        <w:t xml:space="preserve"> UK.</w:t>
      </w:r>
    </w:p>
    <w:p w14:paraId="3F16283A" w14:textId="698B47F9" w:rsidR="001A3484" w:rsidRPr="007C5611" w:rsidRDefault="00464B18" w:rsidP="001A3484">
      <w:pPr>
        <w:spacing w:line="360" w:lineRule="auto"/>
        <w:ind w:left="720" w:hanging="360"/>
        <w:jc w:val="center"/>
        <w:rPr>
          <w:rFonts w:ascii="Arial" w:hAnsi="Arial" w:cs="Arial"/>
          <w:sz w:val="18"/>
          <w:szCs w:val="18"/>
        </w:rPr>
      </w:pPr>
      <w:r w:rsidRPr="007C5611">
        <w:rPr>
          <w:rFonts w:ascii="Arial" w:hAnsi="Arial" w:cs="Arial"/>
          <w:sz w:val="18"/>
          <w:szCs w:val="18"/>
        </w:rPr>
        <w:t>2</w:t>
      </w:r>
      <w:r w:rsidR="001A3484" w:rsidRPr="007C5611">
        <w:rPr>
          <w:rFonts w:ascii="Arial" w:hAnsi="Arial" w:cs="Arial"/>
          <w:sz w:val="18"/>
          <w:szCs w:val="18"/>
        </w:rPr>
        <w:tab/>
      </w:r>
      <w:r w:rsidR="00276BB7" w:rsidRPr="007C5611">
        <w:rPr>
          <w:rFonts w:ascii="Arial" w:hAnsi="Arial" w:cs="Arial"/>
          <w:sz w:val="18"/>
          <w:szCs w:val="18"/>
        </w:rPr>
        <w:t xml:space="preserve">Department of Environment, University of the Aegean, GR - 81100 </w:t>
      </w:r>
      <w:proofErr w:type="spellStart"/>
      <w:r w:rsidR="00276BB7" w:rsidRPr="007C5611">
        <w:rPr>
          <w:rFonts w:ascii="Arial" w:hAnsi="Arial" w:cs="Arial"/>
          <w:sz w:val="18"/>
          <w:szCs w:val="18"/>
        </w:rPr>
        <w:t>Mytilini</w:t>
      </w:r>
      <w:proofErr w:type="spellEnd"/>
      <w:r w:rsidR="00276BB7" w:rsidRPr="007C5611">
        <w:rPr>
          <w:rFonts w:ascii="Arial" w:hAnsi="Arial" w:cs="Arial"/>
          <w:sz w:val="18"/>
          <w:szCs w:val="18"/>
        </w:rPr>
        <w:t>, Greece</w:t>
      </w:r>
      <w:r w:rsidR="001A3484" w:rsidRPr="007C5611">
        <w:rPr>
          <w:rFonts w:ascii="Arial" w:hAnsi="Arial" w:cs="Arial"/>
          <w:sz w:val="18"/>
          <w:szCs w:val="18"/>
        </w:rPr>
        <w:t>.</w:t>
      </w:r>
    </w:p>
    <w:p w14:paraId="50120785" w14:textId="161DB7AA" w:rsidR="001A3484" w:rsidRPr="007C5611" w:rsidRDefault="00276BB7" w:rsidP="001A3484">
      <w:pPr>
        <w:spacing w:line="360" w:lineRule="auto"/>
        <w:ind w:left="720" w:hanging="360"/>
        <w:jc w:val="center"/>
        <w:rPr>
          <w:rFonts w:ascii="Arial" w:hAnsi="Arial" w:cs="Arial"/>
          <w:sz w:val="18"/>
          <w:szCs w:val="18"/>
        </w:rPr>
      </w:pPr>
      <w:r w:rsidRPr="007C5611">
        <w:rPr>
          <w:rFonts w:ascii="Arial" w:hAnsi="Arial" w:cs="Arial"/>
          <w:sz w:val="18"/>
          <w:szCs w:val="18"/>
        </w:rPr>
        <w:t>3</w:t>
      </w:r>
      <w:r w:rsidR="001A3484" w:rsidRPr="007C5611">
        <w:rPr>
          <w:rFonts w:ascii="Arial" w:hAnsi="Arial" w:cs="Arial"/>
          <w:sz w:val="18"/>
          <w:szCs w:val="18"/>
        </w:rPr>
        <w:tab/>
      </w:r>
      <w:r w:rsidR="009B1062" w:rsidRPr="007C5611">
        <w:rPr>
          <w:rFonts w:ascii="Arial" w:hAnsi="Arial" w:cs="Arial"/>
          <w:sz w:val="18"/>
          <w:szCs w:val="18"/>
        </w:rPr>
        <w:t>Edinburgh Business School, Heriot-Watt University, Edinburgh, UK</w:t>
      </w:r>
    </w:p>
    <w:p w14:paraId="1A9D013A" w14:textId="188D80DB" w:rsidR="001A3484" w:rsidRPr="007C5611" w:rsidRDefault="001A3484" w:rsidP="001A3484">
      <w:pPr>
        <w:spacing w:line="360" w:lineRule="auto"/>
        <w:ind w:left="720" w:hanging="360"/>
        <w:jc w:val="center"/>
        <w:rPr>
          <w:rFonts w:ascii="Arial" w:hAnsi="Arial" w:cs="Arial"/>
          <w:sz w:val="18"/>
          <w:szCs w:val="18"/>
        </w:rPr>
      </w:pPr>
      <w:r w:rsidRPr="007C5611">
        <w:rPr>
          <w:rFonts w:ascii="Arial" w:hAnsi="Arial" w:cs="Arial"/>
          <w:sz w:val="18"/>
          <w:szCs w:val="18"/>
        </w:rPr>
        <w:t>*</w:t>
      </w:r>
      <w:r w:rsidRPr="007C5611">
        <w:rPr>
          <w:rFonts w:ascii="Arial" w:hAnsi="Arial" w:cs="Arial"/>
          <w:sz w:val="18"/>
          <w:szCs w:val="18"/>
        </w:rPr>
        <w:tab/>
        <w:t xml:space="preserve">Correspondence: </w:t>
      </w:r>
      <w:r w:rsidR="007C5611" w:rsidRPr="007C5611">
        <w:rPr>
          <w:rFonts w:ascii="Arial" w:hAnsi="Arial" w:cs="Arial"/>
          <w:sz w:val="18"/>
          <w:szCs w:val="18"/>
        </w:rPr>
        <w:t>n.agu@tees.ac.uk</w:t>
      </w:r>
    </w:p>
    <w:p w14:paraId="6F0A9894" w14:textId="4AB8465D" w:rsidR="00051472" w:rsidRPr="000514E3" w:rsidRDefault="00051472" w:rsidP="00842517">
      <w:pPr>
        <w:pStyle w:val="Heading1"/>
        <w:rPr>
          <w:rFonts w:ascii="Arial" w:hAnsi="Arial" w:cs="Arial"/>
          <w:sz w:val="24"/>
          <w:szCs w:val="24"/>
        </w:rPr>
      </w:pPr>
      <w:r w:rsidRPr="000514E3">
        <w:rPr>
          <w:rFonts w:ascii="Arial" w:hAnsi="Arial" w:cs="Arial"/>
          <w:sz w:val="24"/>
          <w:szCs w:val="24"/>
        </w:rPr>
        <w:t>ABSTRACT</w:t>
      </w:r>
    </w:p>
    <w:p w14:paraId="2E07E476" w14:textId="57D8141B" w:rsidR="005375A1" w:rsidRPr="00A5667B" w:rsidRDefault="00051472" w:rsidP="005375A1">
      <w:pPr>
        <w:spacing w:line="360" w:lineRule="auto"/>
        <w:jc w:val="both"/>
        <w:rPr>
          <w:rFonts w:ascii="Arial" w:hAnsi="Arial" w:cs="Arial"/>
          <w:sz w:val="24"/>
          <w:szCs w:val="24"/>
        </w:rPr>
      </w:pPr>
      <w:r w:rsidRPr="00A5667B">
        <w:rPr>
          <w:rFonts w:ascii="Arial" w:hAnsi="Arial" w:cs="Arial"/>
          <w:sz w:val="24"/>
          <w:szCs w:val="24"/>
        </w:rPr>
        <w:t>The</w:t>
      </w:r>
      <w:r w:rsidR="00E968EE">
        <w:rPr>
          <w:rFonts w:ascii="Arial" w:hAnsi="Arial" w:cs="Arial"/>
          <w:sz w:val="24"/>
          <w:szCs w:val="24"/>
        </w:rPr>
        <w:t xml:space="preserve"> </w:t>
      </w:r>
      <w:r w:rsidRPr="00A5667B">
        <w:rPr>
          <w:rFonts w:ascii="Arial" w:hAnsi="Arial" w:cs="Arial"/>
          <w:sz w:val="24"/>
          <w:szCs w:val="24"/>
        </w:rPr>
        <w:t xml:space="preserve">impact of </w:t>
      </w:r>
      <w:r w:rsidR="00DE1780">
        <w:rPr>
          <w:rFonts w:ascii="Arial" w:hAnsi="Arial" w:cs="Arial"/>
          <w:sz w:val="24"/>
          <w:szCs w:val="24"/>
        </w:rPr>
        <w:t>the</w:t>
      </w:r>
      <w:r w:rsidRPr="00A5667B">
        <w:rPr>
          <w:rFonts w:ascii="Arial" w:hAnsi="Arial" w:cs="Arial"/>
          <w:sz w:val="24"/>
          <w:szCs w:val="24"/>
        </w:rPr>
        <w:t xml:space="preserve"> transition to energy autonomy</w:t>
      </w:r>
      <w:r w:rsidR="00AB0E49">
        <w:rPr>
          <w:rFonts w:ascii="Arial" w:hAnsi="Arial" w:cs="Arial"/>
          <w:sz w:val="24"/>
          <w:szCs w:val="24"/>
        </w:rPr>
        <w:t xml:space="preserve"> on</w:t>
      </w:r>
      <w:r w:rsidR="002A4186">
        <w:rPr>
          <w:rFonts w:ascii="Arial" w:hAnsi="Arial" w:cs="Arial"/>
          <w:sz w:val="24"/>
          <w:szCs w:val="24"/>
        </w:rPr>
        <w:t xml:space="preserve"> two </w:t>
      </w:r>
      <w:r w:rsidR="00804504">
        <w:rPr>
          <w:rFonts w:ascii="Arial" w:hAnsi="Arial" w:cs="Arial"/>
          <w:sz w:val="24"/>
          <w:szCs w:val="24"/>
        </w:rPr>
        <w:t>geo</w:t>
      </w:r>
      <w:r w:rsidR="00DF3253">
        <w:rPr>
          <w:rFonts w:ascii="Arial" w:hAnsi="Arial" w:cs="Arial"/>
          <w:sz w:val="24"/>
          <w:szCs w:val="24"/>
        </w:rPr>
        <w:t xml:space="preserve">graphical </w:t>
      </w:r>
      <w:r w:rsidR="00AB0E49">
        <w:rPr>
          <w:rFonts w:ascii="Arial" w:hAnsi="Arial" w:cs="Arial"/>
          <w:sz w:val="24"/>
          <w:szCs w:val="24"/>
        </w:rPr>
        <w:t>island’s local economies</w:t>
      </w:r>
      <w:r w:rsidR="00296D79">
        <w:rPr>
          <w:rFonts w:ascii="Arial" w:hAnsi="Arial" w:cs="Arial"/>
          <w:sz w:val="24"/>
          <w:szCs w:val="24"/>
        </w:rPr>
        <w:t xml:space="preserve">, </w:t>
      </w:r>
      <w:r w:rsidR="00AB0E49">
        <w:rPr>
          <w:rFonts w:ascii="Arial" w:hAnsi="Arial" w:cs="Arial"/>
          <w:sz w:val="24"/>
          <w:szCs w:val="24"/>
        </w:rPr>
        <w:t xml:space="preserve">through maximising </w:t>
      </w:r>
      <w:r w:rsidR="00E240B5">
        <w:rPr>
          <w:rFonts w:ascii="Arial" w:hAnsi="Arial" w:cs="Arial"/>
          <w:sz w:val="24"/>
          <w:szCs w:val="24"/>
        </w:rPr>
        <w:t>renewable energy</w:t>
      </w:r>
      <w:r w:rsidR="008B42CE">
        <w:rPr>
          <w:rFonts w:ascii="Arial" w:hAnsi="Arial" w:cs="Arial"/>
          <w:sz w:val="24"/>
          <w:szCs w:val="24"/>
        </w:rPr>
        <w:t xml:space="preserve"> generation and storage</w:t>
      </w:r>
      <w:r w:rsidR="00296D79">
        <w:rPr>
          <w:rFonts w:ascii="Arial" w:hAnsi="Arial" w:cs="Arial"/>
          <w:sz w:val="24"/>
          <w:szCs w:val="24"/>
        </w:rPr>
        <w:t>,</w:t>
      </w:r>
      <w:r w:rsidR="008B42CE">
        <w:rPr>
          <w:rFonts w:ascii="Arial" w:hAnsi="Arial" w:cs="Arial"/>
          <w:sz w:val="24"/>
          <w:szCs w:val="24"/>
        </w:rPr>
        <w:t xml:space="preserve"> is</w:t>
      </w:r>
      <w:r w:rsidR="00D14612">
        <w:rPr>
          <w:rFonts w:ascii="Arial" w:hAnsi="Arial" w:cs="Arial"/>
          <w:sz w:val="24"/>
          <w:szCs w:val="24"/>
        </w:rPr>
        <w:t xml:space="preserve"> asse</w:t>
      </w:r>
      <w:r w:rsidR="00E240B5">
        <w:rPr>
          <w:rFonts w:ascii="Arial" w:hAnsi="Arial" w:cs="Arial"/>
          <w:sz w:val="24"/>
          <w:szCs w:val="24"/>
        </w:rPr>
        <w:t>ssed</w:t>
      </w:r>
      <w:r w:rsidR="006C0190">
        <w:rPr>
          <w:rFonts w:ascii="Arial" w:hAnsi="Arial" w:cs="Arial"/>
          <w:sz w:val="24"/>
          <w:szCs w:val="24"/>
        </w:rPr>
        <w:t>.</w:t>
      </w:r>
      <w:r w:rsidR="00B05AAF">
        <w:rPr>
          <w:rFonts w:ascii="Arial" w:hAnsi="Arial" w:cs="Arial"/>
          <w:sz w:val="24"/>
          <w:szCs w:val="24"/>
        </w:rPr>
        <w:t xml:space="preserve"> </w:t>
      </w:r>
      <w:r w:rsidR="00760643">
        <w:rPr>
          <w:rFonts w:ascii="Arial" w:hAnsi="Arial" w:cs="Arial"/>
          <w:sz w:val="24"/>
          <w:szCs w:val="24"/>
        </w:rPr>
        <w:t>T</w:t>
      </w:r>
      <w:r w:rsidRPr="00A5667B">
        <w:rPr>
          <w:rFonts w:ascii="Arial" w:hAnsi="Arial" w:cs="Arial"/>
          <w:sz w:val="24"/>
          <w:szCs w:val="24"/>
        </w:rPr>
        <w:t>he different sectors and activities that impact employment and income generation in the local economies of each of the</w:t>
      </w:r>
      <w:r w:rsidR="00A9799D">
        <w:rPr>
          <w:rFonts w:ascii="Arial" w:hAnsi="Arial" w:cs="Arial"/>
          <w:sz w:val="24"/>
          <w:szCs w:val="24"/>
        </w:rPr>
        <w:t xml:space="preserve"> </w:t>
      </w:r>
      <w:r w:rsidRPr="00A5667B">
        <w:rPr>
          <w:rFonts w:ascii="Arial" w:hAnsi="Arial" w:cs="Arial"/>
          <w:sz w:val="24"/>
          <w:szCs w:val="24"/>
        </w:rPr>
        <w:t>islands</w:t>
      </w:r>
      <w:r w:rsidR="00A9799D">
        <w:rPr>
          <w:rFonts w:ascii="Arial" w:hAnsi="Arial" w:cs="Arial"/>
          <w:sz w:val="24"/>
          <w:szCs w:val="24"/>
        </w:rPr>
        <w:t xml:space="preserve"> are described</w:t>
      </w:r>
      <w:r w:rsidRPr="00A5667B">
        <w:rPr>
          <w:rFonts w:ascii="Arial" w:hAnsi="Arial" w:cs="Arial"/>
          <w:sz w:val="24"/>
          <w:szCs w:val="24"/>
        </w:rPr>
        <w:t xml:space="preserve">. </w:t>
      </w:r>
      <w:r w:rsidR="00AC7945">
        <w:rPr>
          <w:rFonts w:ascii="Arial" w:hAnsi="Arial" w:cs="Arial"/>
          <w:sz w:val="24"/>
          <w:szCs w:val="24"/>
        </w:rPr>
        <w:t>A</w:t>
      </w:r>
      <w:r w:rsidR="00AC7945" w:rsidRPr="00A5667B">
        <w:rPr>
          <w:rFonts w:ascii="Arial" w:hAnsi="Arial" w:cs="Arial"/>
          <w:sz w:val="24"/>
          <w:szCs w:val="24"/>
        </w:rPr>
        <w:t xml:space="preserve">n empirical </w:t>
      </w:r>
      <w:r w:rsidR="00AC7945">
        <w:rPr>
          <w:rFonts w:ascii="Arial" w:hAnsi="Arial" w:cs="Arial"/>
          <w:sz w:val="24"/>
          <w:szCs w:val="24"/>
        </w:rPr>
        <w:t xml:space="preserve">assessment </w:t>
      </w:r>
      <w:r w:rsidR="00AC7945" w:rsidRPr="00A5667B">
        <w:rPr>
          <w:rFonts w:ascii="Arial" w:hAnsi="Arial" w:cs="Arial"/>
          <w:sz w:val="24"/>
          <w:szCs w:val="24"/>
        </w:rPr>
        <w:t>approach based on the Keynesian Income Multiplier</w:t>
      </w:r>
      <w:r w:rsidR="00F8195C">
        <w:rPr>
          <w:rFonts w:ascii="Arial" w:hAnsi="Arial" w:cs="Arial"/>
          <w:sz w:val="24"/>
          <w:szCs w:val="24"/>
        </w:rPr>
        <w:t xml:space="preserve"> (KIM)</w:t>
      </w:r>
      <w:r w:rsidR="00AC7945">
        <w:rPr>
          <w:rFonts w:ascii="Arial" w:hAnsi="Arial" w:cs="Arial"/>
          <w:sz w:val="24"/>
          <w:szCs w:val="24"/>
        </w:rPr>
        <w:t xml:space="preserve"> is developed</w:t>
      </w:r>
      <w:r w:rsidR="005375A1">
        <w:rPr>
          <w:rFonts w:ascii="Arial" w:hAnsi="Arial" w:cs="Arial"/>
          <w:sz w:val="24"/>
          <w:szCs w:val="24"/>
        </w:rPr>
        <w:t xml:space="preserve"> and applied</w:t>
      </w:r>
      <w:r w:rsidR="00970C3A">
        <w:rPr>
          <w:rFonts w:ascii="Arial" w:hAnsi="Arial" w:cs="Arial"/>
          <w:sz w:val="24"/>
          <w:szCs w:val="24"/>
        </w:rPr>
        <w:t xml:space="preserve"> u</w:t>
      </w:r>
      <w:r w:rsidRPr="00A5667B">
        <w:rPr>
          <w:rFonts w:ascii="Arial" w:hAnsi="Arial" w:cs="Arial"/>
          <w:sz w:val="24"/>
          <w:szCs w:val="24"/>
        </w:rPr>
        <w:t>sing Analytic</w:t>
      </w:r>
      <w:r w:rsidR="00A537E0">
        <w:rPr>
          <w:rFonts w:ascii="Arial" w:hAnsi="Arial" w:cs="Arial"/>
          <w:sz w:val="24"/>
          <w:szCs w:val="24"/>
        </w:rPr>
        <w:t>al</w:t>
      </w:r>
      <w:r w:rsidRPr="00A5667B">
        <w:rPr>
          <w:rFonts w:ascii="Arial" w:hAnsi="Arial" w:cs="Arial"/>
          <w:sz w:val="24"/>
          <w:szCs w:val="24"/>
        </w:rPr>
        <w:t xml:space="preserve"> Hierarchy Process (AHP)</w:t>
      </w:r>
      <w:r w:rsidR="00970C3A">
        <w:rPr>
          <w:rFonts w:ascii="Arial" w:hAnsi="Arial" w:cs="Arial"/>
          <w:sz w:val="24"/>
          <w:szCs w:val="24"/>
        </w:rPr>
        <w:t xml:space="preserve">. </w:t>
      </w:r>
      <w:r w:rsidR="00972DAF">
        <w:rPr>
          <w:rFonts w:ascii="Arial" w:hAnsi="Arial" w:cs="Arial"/>
          <w:sz w:val="24"/>
          <w:szCs w:val="24"/>
        </w:rPr>
        <w:t xml:space="preserve">Data for AHP was collated through </w:t>
      </w:r>
      <w:r w:rsidRPr="00A5667B">
        <w:rPr>
          <w:rFonts w:ascii="Arial" w:hAnsi="Arial" w:cs="Arial"/>
          <w:sz w:val="24"/>
          <w:szCs w:val="24"/>
        </w:rPr>
        <w:t>interviews with local experts and stakeholders on each island</w:t>
      </w:r>
      <w:r w:rsidR="00701A3C">
        <w:rPr>
          <w:rFonts w:ascii="Arial" w:hAnsi="Arial" w:cs="Arial"/>
          <w:sz w:val="24"/>
          <w:szCs w:val="24"/>
        </w:rPr>
        <w:t xml:space="preserve">. </w:t>
      </w:r>
      <w:r w:rsidR="00F321B3">
        <w:rPr>
          <w:rFonts w:ascii="Arial" w:hAnsi="Arial" w:cs="Arial"/>
          <w:sz w:val="24"/>
          <w:szCs w:val="24"/>
        </w:rPr>
        <w:t>Gender e</w:t>
      </w:r>
      <w:r w:rsidR="00690926">
        <w:rPr>
          <w:rFonts w:ascii="Arial" w:hAnsi="Arial" w:cs="Arial"/>
          <w:sz w:val="24"/>
          <w:szCs w:val="24"/>
        </w:rPr>
        <w:t>mployment and wage data was used to calculate the impact on female waged employment within the</w:t>
      </w:r>
      <w:r w:rsidR="002F3537">
        <w:rPr>
          <w:rFonts w:ascii="Arial" w:hAnsi="Arial" w:cs="Arial"/>
          <w:sz w:val="24"/>
          <w:szCs w:val="24"/>
        </w:rPr>
        <w:t xml:space="preserve"> island</w:t>
      </w:r>
      <w:r w:rsidR="005375A1">
        <w:rPr>
          <w:rFonts w:ascii="Arial" w:hAnsi="Arial" w:cs="Arial"/>
          <w:sz w:val="24"/>
          <w:szCs w:val="24"/>
        </w:rPr>
        <w:t>s’</w:t>
      </w:r>
      <w:r w:rsidR="002F3537">
        <w:rPr>
          <w:rFonts w:ascii="Arial" w:hAnsi="Arial" w:cs="Arial"/>
          <w:sz w:val="24"/>
          <w:szCs w:val="24"/>
        </w:rPr>
        <w:t xml:space="preserve"> economic sectors.</w:t>
      </w:r>
      <w:r w:rsidRPr="00A5667B">
        <w:rPr>
          <w:rFonts w:ascii="Arial" w:hAnsi="Arial" w:cs="Arial"/>
          <w:sz w:val="24"/>
          <w:szCs w:val="24"/>
        </w:rPr>
        <w:t xml:space="preserve"> </w:t>
      </w:r>
      <w:r w:rsidR="00373099">
        <w:rPr>
          <w:rFonts w:ascii="Arial" w:hAnsi="Arial" w:cs="Arial"/>
          <w:sz w:val="24"/>
          <w:szCs w:val="24"/>
        </w:rPr>
        <w:t xml:space="preserve">The analysis conducted </w:t>
      </w:r>
      <w:r w:rsidR="001A4408">
        <w:rPr>
          <w:rFonts w:ascii="Arial" w:hAnsi="Arial" w:cs="Arial"/>
          <w:sz w:val="24"/>
          <w:szCs w:val="24"/>
        </w:rPr>
        <w:t xml:space="preserve">showed that </w:t>
      </w:r>
      <w:r w:rsidR="00674677">
        <w:rPr>
          <w:rFonts w:ascii="Arial" w:hAnsi="Arial" w:cs="Arial"/>
          <w:sz w:val="24"/>
          <w:szCs w:val="24"/>
        </w:rPr>
        <w:t xml:space="preserve">the </w:t>
      </w:r>
      <w:r w:rsidR="00DE3132">
        <w:rPr>
          <w:rFonts w:ascii="Arial" w:hAnsi="Arial" w:cs="Arial"/>
          <w:sz w:val="24"/>
          <w:szCs w:val="24"/>
        </w:rPr>
        <w:t xml:space="preserve">induced local economic impact per unit of </w:t>
      </w:r>
      <w:r w:rsidR="006B57F5">
        <w:rPr>
          <w:rFonts w:ascii="Arial" w:hAnsi="Arial" w:cs="Arial"/>
          <w:sz w:val="24"/>
          <w:szCs w:val="24"/>
        </w:rPr>
        <w:t xml:space="preserve">electrical </w:t>
      </w:r>
      <w:r w:rsidR="00DE3132">
        <w:rPr>
          <w:rFonts w:ascii="Arial" w:hAnsi="Arial" w:cs="Arial"/>
          <w:sz w:val="24"/>
          <w:szCs w:val="24"/>
        </w:rPr>
        <w:t>energy</w:t>
      </w:r>
      <w:r w:rsidR="00364A78">
        <w:rPr>
          <w:rFonts w:ascii="Arial" w:hAnsi="Arial" w:cs="Arial"/>
          <w:sz w:val="24"/>
          <w:szCs w:val="24"/>
        </w:rPr>
        <w:t xml:space="preserve"> due to the new RES-based </w:t>
      </w:r>
      <w:r w:rsidR="00E70B7E">
        <w:rPr>
          <w:rFonts w:ascii="Arial" w:hAnsi="Arial" w:cs="Arial"/>
          <w:sz w:val="24"/>
          <w:szCs w:val="24"/>
        </w:rPr>
        <w:t>autonomy in</w:t>
      </w:r>
      <w:r w:rsidR="006113D5">
        <w:rPr>
          <w:rFonts w:ascii="Arial" w:hAnsi="Arial" w:cs="Arial"/>
          <w:sz w:val="24"/>
          <w:szCs w:val="24"/>
        </w:rPr>
        <w:t xml:space="preserve"> all sectors f</w:t>
      </w:r>
      <w:r w:rsidR="00981287">
        <w:rPr>
          <w:rFonts w:ascii="Arial" w:hAnsi="Arial" w:cs="Arial"/>
          <w:sz w:val="24"/>
          <w:szCs w:val="24"/>
        </w:rPr>
        <w:t>or male waged employment</w:t>
      </w:r>
      <w:r w:rsidR="00E73612">
        <w:rPr>
          <w:rFonts w:ascii="Arial" w:hAnsi="Arial" w:cs="Arial"/>
          <w:sz w:val="24"/>
          <w:szCs w:val="24"/>
        </w:rPr>
        <w:t xml:space="preserve"> for </w:t>
      </w:r>
      <w:r w:rsidR="00BE3AD6">
        <w:rPr>
          <w:rFonts w:ascii="Arial" w:hAnsi="Arial" w:cs="Arial"/>
          <w:sz w:val="24"/>
          <w:szCs w:val="24"/>
        </w:rPr>
        <w:t>both islands</w:t>
      </w:r>
      <w:r w:rsidR="00E37A82">
        <w:rPr>
          <w:rFonts w:ascii="Arial" w:hAnsi="Arial" w:cs="Arial"/>
          <w:sz w:val="24"/>
          <w:szCs w:val="24"/>
        </w:rPr>
        <w:t xml:space="preserve">, exceeds its unit </w:t>
      </w:r>
      <w:r w:rsidR="005F4AD1">
        <w:rPr>
          <w:rFonts w:ascii="Arial" w:hAnsi="Arial" w:cs="Arial"/>
          <w:sz w:val="24"/>
          <w:szCs w:val="24"/>
        </w:rPr>
        <w:t>cost (LCOE)</w:t>
      </w:r>
      <w:r w:rsidR="00DD0555">
        <w:rPr>
          <w:rFonts w:ascii="Arial" w:hAnsi="Arial" w:cs="Arial"/>
          <w:sz w:val="24"/>
          <w:szCs w:val="24"/>
        </w:rPr>
        <w:t>.</w:t>
      </w:r>
      <w:r w:rsidR="00AB6D30">
        <w:rPr>
          <w:rFonts w:ascii="Arial" w:hAnsi="Arial" w:cs="Arial"/>
          <w:sz w:val="24"/>
          <w:szCs w:val="24"/>
        </w:rPr>
        <w:t xml:space="preserve"> </w:t>
      </w:r>
      <w:r w:rsidR="00A312D0">
        <w:rPr>
          <w:rFonts w:ascii="Arial" w:hAnsi="Arial" w:cs="Arial"/>
          <w:sz w:val="24"/>
          <w:szCs w:val="24"/>
        </w:rPr>
        <w:t>While</w:t>
      </w:r>
      <w:r w:rsidR="00522291">
        <w:rPr>
          <w:rFonts w:ascii="Arial" w:hAnsi="Arial" w:cs="Arial"/>
          <w:sz w:val="24"/>
          <w:szCs w:val="24"/>
        </w:rPr>
        <w:t xml:space="preserve"> </w:t>
      </w:r>
      <w:r w:rsidR="00E70B7E">
        <w:rPr>
          <w:rFonts w:ascii="Arial" w:hAnsi="Arial" w:cs="Arial"/>
          <w:sz w:val="24"/>
          <w:szCs w:val="24"/>
        </w:rPr>
        <w:t xml:space="preserve">the </w:t>
      </w:r>
      <w:r w:rsidR="00E978D3">
        <w:rPr>
          <w:rFonts w:ascii="Arial" w:hAnsi="Arial" w:cs="Arial"/>
          <w:sz w:val="24"/>
          <w:szCs w:val="24"/>
        </w:rPr>
        <w:t xml:space="preserve">profits from </w:t>
      </w:r>
      <w:r w:rsidR="00FB6653">
        <w:rPr>
          <w:rFonts w:ascii="Arial" w:hAnsi="Arial" w:cs="Arial"/>
          <w:sz w:val="24"/>
          <w:szCs w:val="24"/>
        </w:rPr>
        <w:t xml:space="preserve">per unit of </w:t>
      </w:r>
      <w:r w:rsidR="006B57F5">
        <w:rPr>
          <w:rFonts w:ascii="Arial" w:hAnsi="Arial" w:cs="Arial"/>
          <w:sz w:val="24"/>
          <w:szCs w:val="24"/>
        </w:rPr>
        <w:t xml:space="preserve">electrical </w:t>
      </w:r>
      <w:r w:rsidR="00FB6653">
        <w:rPr>
          <w:rFonts w:ascii="Arial" w:hAnsi="Arial" w:cs="Arial"/>
          <w:sz w:val="24"/>
          <w:szCs w:val="24"/>
        </w:rPr>
        <w:t xml:space="preserve">energy </w:t>
      </w:r>
      <w:r w:rsidR="00522291">
        <w:rPr>
          <w:rFonts w:ascii="Arial" w:hAnsi="Arial" w:cs="Arial"/>
          <w:sz w:val="24"/>
          <w:szCs w:val="24"/>
        </w:rPr>
        <w:t xml:space="preserve">for the </w:t>
      </w:r>
      <w:r w:rsidR="004B6C24">
        <w:rPr>
          <w:rFonts w:ascii="Arial" w:hAnsi="Arial" w:cs="Arial"/>
          <w:sz w:val="24"/>
          <w:szCs w:val="24"/>
        </w:rPr>
        <w:t xml:space="preserve">female waged employment </w:t>
      </w:r>
      <w:r w:rsidR="006B57F5">
        <w:rPr>
          <w:rFonts w:ascii="Arial" w:hAnsi="Arial" w:cs="Arial"/>
          <w:sz w:val="24"/>
          <w:szCs w:val="24"/>
        </w:rPr>
        <w:t xml:space="preserve">only </w:t>
      </w:r>
      <w:r w:rsidR="00A312D0">
        <w:rPr>
          <w:rFonts w:ascii="Arial" w:hAnsi="Arial" w:cs="Arial"/>
          <w:sz w:val="24"/>
          <w:szCs w:val="24"/>
        </w:rPr>
        <w:t xml:space="preserve">exceeded the unit cost (LCOE) </w:t>
      </w:r>
      <w:r w:rsidR="004B6C24">
        <w:rPr>
          <w:rFonts w:ascii="Arial" w:hAnsi="Arial" w:cs="Arial"/>
          <w:sz w:val="24"/>
          <w:szCs w:val="24"/>
        </w:rPr>
        <w:t>in</w:t>
      </w:r>
      <w:r w:rsidR="00335CBB">
        <w:rPr>
          <w:rFonts w:ascii="Arial" w:hAnsi="Arial" w:cs="Arial"/>
          <w:sz w:val="24"/>
          <w:szCs w:val="24"/>
        </w:rPr>
        <w:t xml:space="preserve"> tourism</w:t>
      </w:r>
      <w:r w:rsidR="00991A20">
        <w:rPr>
          <w:rFonts w:ascii="Arial" w:hAnsi="Arial" w:cs="Arial"/>
          <w:sz w:val="24"/>
          <w:szCs w:val="24"/>
        </w:rPr>
        <w:t xml:space="preserve"> for La Graciosa, and </w:t>
      </w:r>
      <w:r w:rsidR="00B73424">
        <w:rPr>
          <w:rFonts w:ascii="Arial" w:hAnsi="Arial" w:cs="Arial"/>
          <w:sz w:val="24"/>
          <w:szCs w:val="24"/>
        </w:rPr>
        <w:t xml:space="preserve">three </w:t>
      </w:r>
      <w:r w:rsidR="00991A20">
        <w:rPr>
          <w:rFonts w:ascii="Arial" w:hAnsi="Arial" w:cs="Arial"/>
          <w:sz w:val="24"/>
          <w:szCs w:val="24"/>
        </w:rPr>
        <w:t>other</w:t>
      </w:r>
      <w:r w:rsidR="007C01A5">
        <w:rPr>
          <w:rFonts w:ascii="Arial" w:hAnsi="Arial" w:cs="Arial"/>
          <w:sz w:val="24"/>
          <w:szCs w:val="24"/>
        </w:rPr>
        <w:t xml:space="preserve"> </w:t>
      </w:r>
      <w:r w:rsidR="00B73424">
        <w:rPr>
          <w:rFonts w:ascii="Arial" w:hAnsi="Arial" w:cs="Arial"/>
          <w:sz w:val="24"/>
          <w:szCs w:val="24"/>
        </w:rPr>
        <w:t>sectors</w:t>
      </w:r>
      <w:r w:rsidR="00991A20">
        <w:rPr>
          <w:rFonts w:ascii="Arial" w:hAnsi="Arial" w:cs="Arial"/>
          <w:sz w:val="24"/>
          <w:szCs w:val="24"/>
        </w:rPr>
        <w:t xml:space="preserve"> in Gotland</w:t>
      </w:r>
      <w:r w:rsidR="001F2E02">
        <w:rPr>
          <w:rFonts w:ascii="Arial" w:hAnsi="Arial" w:cs="Arial"/>
          <w:sz w:val="24"/>
          <w:szCs w:val="24"/>
        </w:rPr>
        <w:t>. T</w:t>
      </w:r>
      <w:r w:rsidR="00A8226F">
        <w:rPr>
          <w:rFonts w:ascii="Arial" w:hAnsi="Arial" w:cs="Arial"/>
          <w:sz w:val="24"/>
          <w:szCs w:val="24"/>
        </w:rPr>
        <w:t xml:space="preserve">he local economic </w:t>
      </w:r>
      <w:r w:rsidR="006673C0">
        <w:rPr>
          <w:rFonts w:ascii="Arial" w:hAnsi="Arial" w:cs="Arial"/>
          <w:sz w:val="24"/>
          <w:szCs w:val="24"/>
        </w:rPr>
        <w:t xml:space="preserve">impact from decarbonisation and 100% energy autonomy </w:t>
      </w:r>
      <w:r w:rsidR="00642F2F">
        <w:rPr>
          <w:rFonts w:ascii="Arial" w:hAnsi="Arial" w:cs="Arial"/>
          <w:sz w:val="24"/>
          <w:szCs w:val="24"/>
        </w:rPr>
        <w:t>is significantly influence</w:t>
      </w:r>
      <w:r w:rsidR="00305910">
        <w:rPr>
          <w:rFonts w:ascii="Arial" w:hAnsi="Arial" w:cs="Arial"/>
          <w:sz w:val="24"/>
          <w:szCs w:val="24"/>
        </w:rPr>
        <w:t>d</w:t>
      </w:r>
      <w:r w:rsidR="00642F2F">
        <w:rPr>
          <w:rFonts w:ascii="Arial" w:hAnsi="Arial" w:cs="Arial"/>
          <w:sz w:val="24"/>
          <w:szCs w:val="24"/>
        </w:rPr>
        <w:t xml:space="preserve"> by how the income f</w:t>
      </w:r>
      <w:r w:rsidR="00226E3C">
        <w:rPr>
          <w:rFonts w:ascii="Arial" w:hAnsi="Arial" w:cs="Arial"/>
          <w:sz w:val="24"/>
          <w:szCs w:val="24"/>
        </w:rPr>
        <w:t>ro</w:t>
      </w:r>
      <w:r w:rsidR="00642F2F">
        <w:rPr>
          <w:rFonts w:ascii="Arial" w:hAnsi="Arial" w:cs="Arial"/>
          <w:sz w:val="24"/>
          <w:szCs w:val="24"/>
        </w:rPr>
        <w:t>m this renewable energy is recirculated within the</w:t>
      </w:r>
      <w:r w:rsidR="006C4C9F">
        <w:rPr>
          <w:rFonts w:ascii="Arial" w:hAnsi="Arial" w:cs="Arial"/>
          <w:sz w:val="24"/>
          <w:szCs w:val="24"/>
        </w:rPr>
        <w:t xml:space="preserve"> island’s economic sectors, most </w:t>
      </w:r>
      <w:r w:rsidR="00CD0DEB">
        <w:rPr>
          <w:rFonts w:ascii="Arial" w:hAnsi="Arial" w:cs="Arial"/>
          <w:sz w:val="24"/>
          <w:szCs w:val="24"/>
        </w:rPr>
        <w:t xml:space="preserve">essentially, </w:t>
      </w:r>
      <w:r w:rsidR="006C4C9F">
        <w:rPr>
          <w:rFonts w:ascii="Arial" w:hAnsi="Arial" w:cs="Arial"/>
          <w:sz w:val="24"/>
          <w:szCs w:val="24"/>
        </w:rPr>
        <w:t>tourism</w:t>
      </w:r>
      <w:r w:rsidR="009D244C">
        <w:rPr>
          <w:rFonts w:ascii="Arial" w:hAnsi="Arial" w:cs="Arial"/>
          <w:sz w:val="24"/>
          <w:szCs w:val="24"/>
        </w:rPr>
        <w:t xml:space="preserve">. </w:t>
      </w:r>
      <w:r w:rsidR="004160CC">
        <w:rPr>
          <w:rFonts w:ascii="Arial" w:hAnsi="Arial" w:cs="Arial"/>
          <w:sz w:val="24"/>
          <w:szCs w:val="24"/>
        </w:rPr>
        <w:t xml:space="preserve">Our findings suggest that strategies for community ownership and training local people to manage renewable energy facilities is necessary to maximise the benefits of the transition to energy autonomy on local communities. </w:t>
      </w:r>
    </w:p>
    <w:p w14:paraId="727CD49A" w14:textId="3D1AC7AA" w:rsidR="007B34E0" w:rsidRPr="00A5667B" w:rsidRDefault="00051472" w:rsidP="00656B9B">
      <w:pPr>
        <w:spacing w:line="360" w:lineRule="auto"/>
        <w:jc w:val="both"/>
        <w:rPr>
          <w:rFonts w:asciiTheme="majorHAnsi" w:eastAsiaTheme="majorEastAsia" w:hAnsiTheme="majorHAnsi" w:cstheme="majorBidi"/>
          <w:color w:val="2F5496" w:themeColor="accent1" w:themeShade="BF"/>
          <w:sz w:val="32"/>
          <w:szCs w:val="32"/>
        </w:rPr>
      </w:pPr>
      <w:r w:rsidRPr="00A5667B">
        <w:rPr>
          <w:rFonts w:ascii="Arial" w:hAnsi="Arial" w:cs="Arial"/>
          <w:b/>
          <w:bCs/>
          <w:sz w:val="24"/>
          <w:szCs w:val="24"/>
        </w:rPr>
        <w:t xml:space="preserve">Keywords: </w:t>
      </w:r>
      <w:r w:rsidRPr="00A5667B">
        <w:rPr>
          <w:rFonts w:ascii="Arial" w:hAnsi="Arial" w:cs="Arial"/>
          <w:sz w:val="24"/>
          <w:szCs w:val="24"/>
        </w:rPr>
        <w:t>Socio-Economic Impact; Decarbonis</w:t>
      </w:r>
      <w:r w:rsidR="00714582">
        <w:rPr>
          <w:rFonts w:ascii="Arial" w:hAnsi="Arial" w:cs="Arial"/>
          <w:sz w:val="24"/>
          <w:szCs w:val="24"/>
        </w:rPr>
        <w:t>ation</w:t>
      </w:r>
      <w:r w:rsidRPr="00A5667B">
        <w:rPr>
          <w:rFonts w:ascii="Arial" w:hAnsi="Arial" w:cs="Arial"/>
          <w:sz w:val="24"/>
          <w:szCs w:val="24"/>
        </w:rPr>
        <w:t>; Geographical Islands; Renewable Energy; Keynesian Income Multiplier.</w:t>
      </w:r>
      <w:r w:rsidR="007B34E0" w:rsidRPr="00A5667B">
        <w:br w:type="page"/>
      </w:r>
    </w:p>
    <w:p w14:paraId="3D09CBF6" w14:textId="3803B2E3" w:rsidR="00C81876" w:rsidRPr="000514E3" w:rsidRDefault="00C81876" w:rsidP="00842517">
      <w:pPr>
        <w:pStyle w:val="Heading1"/>
        <w:numPr>
          <w:ilvl w:val="0"/>
          <w:numId w:val="17"/>
        </w:numPr>
        <w:rPr>
          <w:rFonts w:ascii="Arial" w:hAnsi="Arial" w:cs="Arial"/>
          <w:sz w:val="24"/>
          <w:szCs w:val="24"/>
        </w:rPr>
      </w:pPr>
      <w:r w:rsidRPr="000514E3">
        <w:rPr>
          <w:rFonts w:ascii="Arial" w:hAnsi="Arial" w:cs="Arial"/>
          <w:sz w:val="24"/>
          <w:szCs w:val="24"/>
        </w:rPr>
        <w:lastRenderedPageBreak/>
        <w:t>INTRODUCTION</w:t>
      </w:r>
    </w:p>
    <w:p w14:paraId="2405002D" w14:textId="360D17A7" w:rsidR="00C5043D" w:rsidRDefault="00C5043D" w:rsidP="00872A9C">
      <w:pPr>
        <w:spacing w:line="360" w:lineRule="auto"/>
        <w:jc w:val="both"/>
        <w:rPr>
          <w:rFonts w:ascii="Arial" w:hAnsi="Arial" w:cs="Arial"/>
          <w:sz w:val="24"/>
          <w:szCs w:val="24"/>
        </w:rPr>
      </w:pPr>
      <w:r w:rsidRPr="00634687">
        <w:rPr>
          <w:rFonts w:ascii="Arial" w:hAnsi="Arial" w:cs="Arial"/>
          <w:sz w:val="24"/>
          <w:szCs w:val="24"/>
        </w:rPr>
        <w:t xml:space="preserve">Geographical islands suffer </w:t>
      </w:r>
      <w:r>
        <w:rPr>
          <w:rFonts w:ascii="Arial" w:hAnsi="Arial" w:cs="Arial"/>
          <w:sz w:val="24"/>
          <w:szCs w:val="24"/>
        </w:rPr>
        <w:t>significant energy challenges</w:t>
      </w:r>
      <w:r w:rsidR="002E7CED" w:rsidRPr="00A5667B">
        <w:rPr>
          <w:rFonts w:ascii="Arial" w:hAnsi="Arial" w:cs="Arial"/>
          <w:sz w:val="24"/>
          <w:szCs w:val="24"/>
        </w:rPr>
        <w:t>.</w:t>
      </w:r>
      <w:r w:rsidR="00CA0A1F">
        <w:rPr>
          <w:rFonts w:ascii="Arial" w:hAnsi="Arial" w:cs="Arial"/>
          <w:sz w:val="24"/>
          <w:szCs w:val="24"/>
        </w:rPr>
        <w:t xml:space="preserve"> </w:t>
      </w:r>
      <w:r w:rsidRPr="00634687">
        <w:rPr>
          <w:rFonts w:ascii="Arial" w:hAnsi="Arial" w:cs="Arial"/>
          <w:sz w:val="24"/>
          <w:szCs w:val="24"/>
        </w:rPr>
        <w:t>T</w:t>
      </w:r>
      <w:r>
        <w:rPr>
          <w:rFonts w:ascii="Arial" w:hAnsi="Arial" w:cs="Arial"/>
          <w:sz w:val="24"/>
          <w:szCs w:val="24"/>
        </w:rPr>
        <w:t>hose with mainland energy connections</w:t>
      </w:r>
      <w:r w:rsidRPr="00634687">
        <w:rPr>
          <w:rFonts w:ascii="Arial" w:hAnsi="Arial" w:cs="Arial"/>
          <w:sz w:val="24"/>
          <w:szCs w:val="24"/>
        </w:rPr>
        <w:t xml:space="preserve"> are highly dependent on the mainland energy market, while the transmission of energy is costly and inefficient. This affects energy security and increases the energy costs </w:t>
      </w:r>
      <w:r w:rsidR="00936BD4">
        <w:rPr>
          <w:rFonts w:ascii="Arial" w:hAnsi="Arial" w:cs="Arial"/>
          <w:sz w:val="24"/>
          <w:szCs w:val="24"/>
        </w:rPr>
        <w:t>on</w:t>
      </w:r>
      <w:r w:rsidRPr="00634687">
        <w:rPr>
          <w:rFonts w:ascii="Arial" w:hAnsi="Arial" w:cs="Arial"/>
          <w:sz w:val="24"/>
          <w:szCs w:val="24"/>
        </w:rPr>
        <w:t xml:space="preserve"> geographically dispersed islands</w:t>
      </w:r>
      <w:r>
        <w:rPr>
          <w:rFonts w:ascii="Arial" w:hAnsi="Arial" w:cs="Arial"/>
          <w:sz w:val="24"/>
          <w:szCs w:val="24"/>
        </w:rPr>
        <w:t xml:space="preserve">, which are </w:t>
      </w:r>
      <w:r w:rsidRPr="00634687">
        <w:rPr>
          <w:rFonts w:ascii="Arial" w:hAnsi="Arial" w:cs="Arial"/>
          <w:sz w:val="24"/>
          <w:szCs w:val="24"/>
        </w:rPr>
        <w:t>up to 400% higher than those o</w:t>
      </w:r>
      <w:r w:rsidR="005676B5">
        <w:rPr>
          <w:rFonts w:ascii="Arial" w:hAnsi="Arial" w:cs="Arial"/>
          <w:sz w:val="24"/>
          <w:szCs w:val="24"/>
        </w:rPr>
        <w:t>n</w:t>
      </w:r>
      <w:r w:rsidR="00936BD4">
        <w:rPr>
          <w:rFonts w:ascii="Arial" w:hAnsi="Arial" w:cs="Arial"/>
          <w:sz w:val="24"/>
          <w:szCs w:val="24"/>
        </w:rPr>
        <w:t xml:space="preserve"> </w:t>
      </w:r>
      <w:r w:rsidRPr="00634687">
        <w:rPr>
          <w:rFonts w:ascii="Arial" w:hAnsi="Arial" w:cs="Arial"/>
          <w:sz w:val="24"/>
          <w:szCs w:val="24"/>
        </w:rPr>
        <w:t>the mainland</w:t>
      </w:r>
      <w:r w:rsidR="00CA0A1F">
        <w:rPr>
          <w:rFonts w:ascii="Arial" w:hAnsi="Arial" w:cs="Arial"/>
          <w:sz w:val="24"/>
          <w:szCs w:val="24"/>
        </w:rPr>
        <w:t xml:space="preserve"> </w:t>
      </w:r>
      <w:r w:rsidR="00280CA3">
        <w:rPr>
          <w:rFonts w:ascii="Arial" w:hAnsi="Arial" w:cs="Arial"/>
          <w:sz w:val="24"/>
          <w:szCs w:val="24"/>
        </w:rPr>
        <w:t>[</w:t>
      </w:r>
      <w:r w:rsidR="00383710">
        <w:rPr>
          <w:rFonts w:ascii="Arial" w:hAnsi="Arial" w:cs="Arial"/>
          <w:sz w:val="24"/>
          <w:szCs w:val="24"/>
        </w:rPr>
        <w:t>1</w:t>
      </w:r>
      <w:r w:rsidR="00280CA3">
        <w:rPr>
          <w:rFonts w:ascii="Arial" w:hAnsi="Arial" w:cs="Arial"/>
          <w:sz w:val="24"/>
          <w:szCs w:val="24"/>
        </w:rPr>
        <w:t>,</w:t>
      </w:r>
      <w:r w:rsidR="0058491C">
        <w:rPr>
          <w:rFonts w:ascii="Arial" w:hAnsi="Arial" w:cs="Arial"/>
          <w:sz w:val="24"/>
          <w:szCs w:val="24"/>
        </w:rPr>
        <w:t xml:space="preserve"> 2].</w:t>
      </w:r>
    </w:p>
    <w:p w14:paraId="749A6936" w14:textId="08B6A02C" w:rsidR="000D0678" w:rsidRDefault="00D72303" w:rsidP="00872A9C">
      <w:pPr>
        <w:spacing w:line="360" w:lineRule="auto"/>
        <w:jc w:val="both"/>
        <w:rPr>
          <w:rFonts w:ascii="Arial" w:hAnsi="Arial" w:cs="Arial"/>
          <w:sz w:val="24"/>
          <w:szCs w:val="24"/>
        </w:rPr>
      </w:pPr>
      <w:r w:rsidRPr="00A5667B">
        <w:rPr>
          <w:rFonts w:ascii="Arial" w:hAnsi="Arial" w:cs="Arial"/>
          <w:sz w:val="24"/>
          <w:szCs w:val="24"/>
        </w:rPr>
        <w:t>The high cost of energy, instability, and insecurity in supply increase</w:t>
      </w:r>
      <w:r w:rsidR="002704DC">
        <w:rPr>
          <w:rFonts w:ascii="Arial" w:hAnsi="Arial" w:cs="Arial"/>
          <w:sz w:val="24"/>
          <w:szCs w:val="24"/>
        </w:rPr>
        <w:t>s</w:t>
      </w:r>
      <w:r w:rsidRPr="00A5667B">
        <w:rPr>
          <w:rFonts w:ascii="Arial" w:hAnsi="Arial" w:cs="Arial"/>
          <w:sz w:val="24"/>
          <w:szCs w:val="24"/>
        </w:rPr>
        <w:t xml:space="preserve"> the vulnerability of island communities to power outages </w:t>
      </w:r>
      <w:r w:rsidR="00A71142" w:rsidRPr="00A5667B">
        <w:rPr>
          <w:rFonts w:ascii="Arial" w:hAnsi="Arial" w:cs="Arial"/>
          <w:sz w:val="24"/>
          <w:szCs w:val="24"/>
        </w:rPr>
        <w:t xml:space="preserve">adversely </w:t>
      </w:r>
      <w:r w:rsidR="004C536B" w:rsidRPr="00A5667B">
        <w:rPr>
          <w:rFonts w:ascii="Arial" w:hAnsi="Arial" w:cs="Arial"/>
          <w:sz w:val="24"/>
          <w:szCs w:val="24"/>
        </w:rPr>
        <w:t>affect</w:t>
      </w:r>
      <w:r w:rsidR="004C536B">
        <w:rPr>
          <w:rFonts w:ascii="Arial" w:hAnsi="Arial" w:cs="Arial"/>
          <w:sz w:val="24"/>
          <w:szCs w:val="24"/>
        </w:rPr>
        <w:t>ing</w:t>
      </w:r>
      <w:r w:rsidRPr="00A5667B">
        <w:rPr>
          <w:rFonts w:ascii="Arial" w:hAnsi="Arial" w:cs="Arial"/>
          <w:sz w:val="24"/>
          <w:szCs w:val="24"/>
        </w:rPr>
        <w:t xml:space="preserve"> residents’ </w:t>
      </w:r>
      <w:r w:rsidRPr="00101004">
        <w:rPr>
          <w:rFonts w:ascii="Arial" w:hAnsi="Arial" w:cs="Arial"/>
          <w:sz w:val="24"/>
          <w:szCs w:val="24"/>
        </w:rPr>
        <w:t>welfare</w:t>
      </w:r>
      <w:r w:rsidR="0058491C">
        <w:rPr>
          <w:rFonts w:ascii="Arial" w:hAnsi="Arial" w:cs="Arial"/>
          <w:sz w:val="24"/>
          <w:szCs w:val="24"/>
        </w:rPr>
        <w:t xml:space="preserve"> [</w:t>
      </w:r>
      <w:r w:rsidR="00383710">
        <w:rPr>
          <w:rFonts w:ascii="Arial" w:hAnsi="Arial" w:cs="Arial"/>
          <w:sz w:val="24"/>
          <w:szCs w:val="24"/>
        </w:rPr>
        <w:t>3</w:t>
      </w:r>
      <w:r w:rsidR="0058491C">
        <w:rPr>
          <w:rFonts w:ascii="Arial" w:hAnsi="Arial" w:cs="Arial"/>
          <w:sz w:val="24"/>
          <w:szCs w:val="24"/>
        </w:rPr>
        <w:t>].</w:t>
      </w:r>
      <w:r w:rsidRPr="00101004">
        <w:rPr>
          <w:rFonts w:ascii="Arial" w:hAnsi="Arial" w:cs="Arial"/>
          <w:sz w:val="24"/>
          <w:szCs w:val="24"/>
        </w:rPr>
        <w:t xml:space="preserve"> </w:t>
      </w:r>
      <w:r w:rsidR="000D0678">
        <w:rPr>
          <w:rFonts w:ascii="Arial" w:hAnsi="Arial" w:cs="Arial"/>
          <w:sz w:val="24"/>
          <w:szCs w:val="24"/>
        </w:rPr>
        <w:t xml:space="preserve">A </w:t>
      </w:r>
      <w:r w:rsidR="000D0678" w:rsidRPr="00A5667B">
        <w:rPr>
          <w:rFonts w:ascii="Arial" w:hAnsi="Arial" w:cs="Arial"/>
          <w:sz w:val="24"/>
          <w:szCs w:val="24"/>
        </w:rPr>
        <w:t>self-sustainable energy</w:t>
      </w:r>
      <w:r w:rsidR="000D0678">
        <w:rPr>
          <w:rFonts w:ascii="Arial" w:hAnsi="Arial" w:cs="Arial"/>
          <w:sz w:val="24"/>
          <w:szCs w:val="24"/>
        </w:rPr>
        <w:t xml:space="preserve"> strategy</w:t>
      </w:r>
      <w:r w:rsidR="000D0678" w:rsidRPr="00A5667B">
        <w:rPr>
          <w:rFonts w:ascii="Arial" w:hAnsi="Arial" w:cs="Arial"/>
          <w:sz w:val="24"/>
          <w:szCs w:val="24"/>
        </w:rPr>
        <w:t xml:space="preserve"> </w:t>
      </w:r>
      <w:r w:rsidR="000D0678">
        <w:rPr>
          <w:rFonts w:ascii="Arial" w:hAnsi="Arial" w:cs="Arial"/>
          <w:sz w:val="24"/>
          <w:szCs w:val="24"/>
        </w:rPr>
        <w:t>on geographical</w:t>
      </w:r>
      <w:r w:rsidR="00936BD4">
        <w:rPr>
          <w:rFonts w:ascii="Arial" w:hAnsi="Arial" w:cs="Arial"/>
          <w:sz w:val="24"/>
          <w:szCs w:val="24"/>
        </w:rPr>
        <w:t xml:space="preserve"> islands</w:t>
      </w:r>
      <w:r w:rsidR="000D0678">
        <w:rPr>
          <w:rFonts w:ascii="Arial" w:hAnsi="Arial" w:cs="Arial"/>
          <w:sz w:val="24"/>
          <w:szCs w:val="24"/>
        </w:rPr>
        <w:t xml:space="preserve"> could </w:t>
      </w:r>
      <w:r w:rsidR="00101004">
        <w:rPr>
          <w:rFonts w:ascii="Arial" w:hAnsi="Arial" w:cs="Arial"/>
          <w:sz w:val="24"/>
          <w:szCs w:val="24"/>
        </w:rPr>
        <w:t>alleviate</w:t>
      </w:r>
      <w:r w:rsidRPr="00A5667B">
        <w:rPr>
          <w:rFonts w:ascii="Arial" w:hAnsi="Arial" w:cs="Arial"/>
          <w:sz w:val="24"/>
          <w:szCs w:val="24"/>
        </w:rPr>
        <w:t xml:space="preserve"> energy poverty and insecurity</w:t>
      </w:r>
      <w:r w:rsidR="000D0678">
        <w:rPr>
          <w:rFonts w:ascii="Arial" w:hAnsi="Arial" w:cs="Arial"/>
          <w:sz w:val="24"/>
          <w:szCs w:val="24"/>
        </w:rPr>
        <w:t xml:space="preserve"> and</w:t>
      </w:r>
      <w:r w:rsidRPr="00A5667B">
        <w:rPr>
          <w:rFonts w:ascii="Arial" w:hAnsi="Arial" w:cs="Arial"/>
          <w:sz w:val="24"/>
          <w:szCs w:val="24"/>
        </w:rPr>
        <w:t xml:space="preserve"> help reduce GHG</w:t>
      </w:r>
      <w:r w:rsidR="005E265F" w:rsidRPr="00A5667B">
        <w:rPr>
          <w:rFonts w:ascii="Arial" w:hAnsi="Arial" w:cs="Arial"/>
          <w:sz w:val="24"/>
          <w:szCs w:val="24"/>
        </w:rPr>
        <w:t xml:space="preserve"> (Green House Gas)</w:t>
      </w:r>
      <w:r w:rsidRPr="00A5667B">
        <w:rPr>
          <w:rFonts w:ascii="Arial" w:hAnsi="Arial" w:cs="Arial"/>
          <w:sz w:val="24"/>
          <w:szCs w:val="24"/>
        </w:rPr>
        <w:t xml:space="preserve"> </w:t>
      </w:r>
      <w:r w:rsidR="008F7BBD">
        <w:rPr>
          <w:rFonts w:ascii="Arial" w:hAnsi="Arial" w:cs="Arial"/>
          <w:sz w:val="24"/>
          <w:szCs w:val="24"/>
        </w:rPr>
        <w:t>emissions</w:t>
      </w:r>
      <w:r w:rsidRPr="00A5667B">
        <w:rPr>
          <w:rFonts w:ascii="Arial" w:hAnsi="Arial" w:cs="Arial"/>
          <w:sz w:val="24"/>
          <w:szCs w:val="24"/>
        </w:rPr>
        <w:t>.</w:t>
      </w:r>
      <w:r w:rsidR="000D0678">
        <w:rPr>
          <w:rFonts w:ascii="Arial" w:hAnsi="Arial" w:cs="Arial"/>
          <w:sz w:val="24"/>
          <w:szCs w:val="24"/>
        </w:rPr>
        <w:t xml:space="preserve"> </w:t>
      </w:r>
      <w:r w:rsidR="00B21148" w:rsidRPr="00A5667B">
        <w:rPr>
          <w:rFonts w:ascii="Arial" w:hAnsi="Arial" w:cs="Arial"/>
          <w:sz w:val="24"/>
          <w:szCs w:val="24"/>
        </w:rPr>
        <w:t>E</w:t>
      </w:r>
      <w:r w:rsidRPr="00A5667B">
        <w:rPr>
          <w:rFonts w:ascii="Arial" w:hAnsi="Arial" w:cs="Arial"/>
          <w:sz w:val="24"/>
          <w:szCs w:val="24"/>
        </w:rPr>
        <w:t>nergy</w:t>
      </w:r>
      <w:r w:rsidR="00EB1837">
        <w:rPr>
          <w:rFonts w:ascii="Arial" w:hAnsi="Arial" w:cs="Arial"/>
          <w:sz w:val="24"/>
          <w:szCs w:val="24"/>
        </w:rPr>
        <w:t xml:space="preserve"> </w:t>
      </w:r>
      <w:r w:rsidRPr="00A5667B">
        <w:rPr>
          <w:rFonts w:ascii="Arial" w:hAnsi="Arial" w:cs="Arial"/>
          <w:sz w:val="24"/>
          <w:szCs w:val="24"/>
        </w:rPr>
        <w:t>independenc</w:t>
      </w:r>
      <w:r w:rsidR="00B21148" w:rsidRPr="00A5667B">
        <w:rPr>
          <w:rFonts w:ascii="Arial" w:hAnsi="Arial" w:cs="Arial"/>
          <w:sz w:val="24"/>
          <w:szCs w:val="24"/>
        </w:rPr>
        <w:t>e can be achieved by providing</w:t>
      </w:r>
      <w:r w:rsidRPr="00A5667B">
        <w:rPr>
          <w:rFonts w:ascii="Arial" w:hAnsi="Arial" w:cs="Arial"/>
          <w:sz w:val="24"/>
          <w:szCs w:val="24"/>
        </w:rPr>
        <w:t xml:space="preserve"> islands with self-sustainable energy systems </w:t>
      </w:r>
      <w:r w:rsidR="0020694B" w:rsidRPr="00A5667B">
        <w:rPr>
          <w:rFonts w:ascii="Arial" w:hAnsi="Arial" w:cs="Arial"/>
          <w:sz w:val="24"/>
          <w:szCs w:val="24"/>
        </w:rPr>
        <w:t xml:space="preserve">that utilise </w:t>
      </w:r>
      <w:r w:rsidR="0037574E" w:rsidRPr="00A5667B">
        <w:rPr>
          <w:rFonts w:ascii="Arial" w:hAnsi="Arial" w:cs="Arial"/>
          <w:sz w:val="24"/>
          <w:szCs w:val="24"/>
        </w:rPr>
        <w:t>renewable energy</w:t>
      </w:r>
      <w:r w:rsidR="0020694B" w:rsidRPr="00A5667B">
        <w:rPr>
          <w:rFonts w:ascii="Arial" w:hAnsi="Arial" w:cs="Arial"/>
          <w:sz w:val="24"/>
          <w:szCs w:val="24"/>
        </w:rPr>
        <w:t xml:space="preserve"> resources</w:t>
      </w:r>
      <w:r w:rsidR="004C536B">
        <w:rPr>
          <w:rFonts w:ascii="Arial" w:hAnsi="Arial" w:cs="Arial"/>
          <w:sz w:val="24"/>
          <w:szCs w:val="24"/>
        </w:rPr>
        <w:t>, energy storage</w:t>
      </w:r>
      <w:r w:rsidR="0020694B" w:rsidRPr="008F7BBD">
        <w:rPr>
          <w:rFonts w:ascii="Arial" w:hAnsi="Arial" w:cs="Arial"/>
          <w:sz w:val="24"/>
          <w:szCs w:val="24"/>
        </w:rPr>
        <w:t>,</w:t>
      </w:r>
      <w:r w:rsidR="004C536B">
        <w:rPr>
          <w:rFonts w:ascii="Arial" w:hAnsi="Arial" w:cs="Arial"/>
          <w:sz w:val="24"/>
          <w:szCs w:val="24"/>
        </w:rPr>
        <w:t xml:space="preserve"> a</w:t>
      </w:r>
      <w:r w:rsidR="00DF3EE4">
        <w:rPr>
          <w:rFonts w:ascii="Arial" w:hAnsi="Arial" w:cs="Arial"/>
          <w:sz w:val="24"/>
          <w:szCs w:val="24"/>
        </w:rPr>
        <w:t xml:space="preserve">s well as </w:t>
      </w:r>
      <w:r w:rsidRPr="008F7BBD">
        <w:rPr>
          <w:rFonts w:ascii="Arial" w:hAnsi="Arial" w:cs="Arial"/>
          <w:sz w:val="24"/>
          <w:szCs w:val="24"/>
        </w:rPr>
        <w:t>optimis</w:t>
      </w:r>
      <w:r w:rsidR="005E72D4" w:rsidRPr="008F7BBD">
        <w:rPr>
          <w:rFonts w:ascii="Arial" w:hAnsi="Arial" w:cs="Arial"/>
          <w:sz w:val="24"/>
          <w:szCs w:val="24"/>
        </w:rPr>
        <w:t>e</w:t>
      </w:r>
      <w:r w:rsidRPr="008F7BBD">
        <w:rPr>
          <w:rFonts w:ascii="Arial" w:hAnsi="Arial" w:cs="Arial"/>
          <w:sz w:val="24"/>
          <w:szCs w:val="24"/>
        </w:rPr>
        <w:t xml:space="preserve"> </w:t>
      </w:r>
      <w:r w:rsidR="005E72D4" w:rsidRPr="008F7BBD">
        <w:rPr>
          <w:rFonts w:ascii="Arial" w:hAnsi="Arial" w:cs="Arial"/>
          <w:sz w:val="24"/>
          <w:szCs w:val="24"/>
        </w:rPr>
        <w:t xml:space="preserve">energy </w:t>
      </w:r>
      <w:r w:rsidR="0020694B" w:rsidRPr="008F7BBD">
        <w:rPr>
          <w:rFonts w:ascii="Arial" w:hAnsi="Arial" w:cs="Arial"/>
          <w:sz w:val="24"/>
          <w:szCs w:val="24"/>
        </w:rPr>
        <w:t xml:space="preserve">supply </w:t>
      </w:r>
      <w:r w:rsidRPr="008F7BBD">
        <w:rPr>
          <w:rFonts w:ascii="Arial" w:hAnsi="Arial" w:cs="Arial"/>
          <w:sz w:val="24"/>
          <w:szCs w:val="24"/>
        </w:rPr>
        <w:t>by managing demand</w:t>
      </w:r>
      <w:r w:rsidR="0058491C">
        <w:rPr>
          <w:rFonts w:ascii="Arial" w:hAnsi="Arial" w:cs="Arial"/>
          <w:sz w:val="24"/>
          <w:szCs w:val="24"/>
        </w:rPr>
        <w:t xml:space="preserve"> [</w:t>
      </w:r>
      <w:r w:rsidR="00D53839">
        <w:rPr>
          <w:rFonts w:ascii="Arial" w:hAnsi="Arial" w:cs="Arial"/>
          <w:sz w:val="24"/>
          <w:szCs w:val="24"/>
        </w:rPr>
        <w:t>4</w:t>
      </w:r>
      <w:r w:rsidR="0058491C">
        <w:rPr>
          <w:rFonts w:ascii="Arial" w:hAnsi="Arial" w:cs="Arial"/>
          <w:sz w:val="24"/>
          <w:szCs w:val="24"/>
        </w:rPr>
        <w:t>].</w:t>
      </w:r>
      <w:r w:rsidRPr="0058491C">
        <w:rPr>
          <w:rFonts w:ascii="Arial" w:hAnsi="Arial" w:cs="Arial"/>
          <w:color w:val="FF0000"/>
          <w:sz w:val="24"/>
          <w:szCs w:val="24"/>
        </w:rPr>
        <w:t xml:space="preserve"> </w:t>
      </w:r>
    </w:p>
    <w:p w14:paraId="2C9BA7BB" w14:textId="77777777" w:rsidR="00233B20" w:rsidRDefault="00B81B56" w:rsidP="00233B20">
      <w:pPr>
        <w:spacing w:line="360" w:lineRule="auto"/>
        <w:jc w:val="both"/>
        <w:rPr>
          <w:rFonts w:ascii="Arial" w:hAnsi="Arial" w:cs="Arial"/>
          <w:sz w:val="24"/>
          <w:szCs w:val="24"/>
        </w:rPr>
      </w:pPr>
      <w:r w:rsidRPr="008F7BBD">
        <w:rPr>
          <w:rFonts w:ascii="Arial" w:hAnsi="Arial" w:cs="Arial"/>
          <w:sz w:val="24"/>
          <w:szCs w:val="24"/>
        </w:rPr>
        <w:t xml:space="preserve">According to </w:t>
      </w:r>
      <w:r w:rsidR="002E022E" w:rsidRPr="008F7BBD">
        <w:rPr>
          <w:rFonts w:ascii="Arial" w:hAnsi="Arial" w:cs="Arial"/>
          <w:sz w:val="24"/>
          <w:szCs w:val="24"/>
        </w:rPr>
        <w:t>existing studies</w:t>
      </w:r>
      <w:r w:rsidR="0058491C">
        <w:rPr>
          <w:rFonts w:ascii="Arial" w:hAnsi="Arial" w:cs="Arial"/>
          <w:sz w:val="24"/>
          <w:szCs w:val="24"/>
        </w:rPr>
        <w:t xml:space="preserve"> [</w:t>
      </w:r>
      <w:r w:rsidR="00D53839">
        <w:rPr>
          <w:rFonts w:ascii="Arial" w:hAnsi="Arial" w:cs="Arial"/>
          <w:sz w:val="24"/>
          <w:szCs w:val="24"/>
        </w:rPr>
        <w:t>5</w:t>
      </w:r>
      <w:r w:rsidR="00D06462">
        <w:rPr>
          <w:rFonts w:ascii="Arial" w:hAnsi="Arial" w:cs="Arial"/>
          <w:sz w:val="24"/>
          <w:szCs w:val="24"/>
        </w:rPr>
        <w:t xml:space="preserve">, </w:t>
      </w:r>
      <w:r w:rsidR="00D53839">
        <w:rPr>
          <w:rFonts w:ascii="Arial" w:hAnsi="Arial" w:cs="Arial"/>
          <w:sz w:val="24"/>
          <w:szCs w:val="24"/>
        </w:rPr>
        <w:t>6</w:t>
      </w:r>
      <w:r w:rsidR="0058491C">
        <w:rPr>
          <w:rFonts w:ascii="Arial" w:hAnsi="Arial" w:cs="Arial"/>
          <w:sz w:val="24"/>
          <w:szCs w:val="24"/>
        </w:rPr>
        <w:t>],</w:t>
      </w:r>
      <w:r w:rsidR="00915389">
        <w:rPr>
          <w:rFonts w:ascii="Arial" w:hAnsi="Arial" w:cs="Arial"/>
          <w:sz w:val="24"/>
          <w:szCs w:val="24"/>
        </w:rPr>
        <w:t xml:space="preserve"> </w:t>
      </w:r>
      <w:r w:rsidR="00D72303" w:rsidRPr="008F7BBD">
        <w:rPr>
          <w:rFonts w:ascii="Arial" w:hAnsi="Arial" w:cs="Arial"/>
          <w:sz w:val="24"/>
          <w:szCs w:val="24"/>
        </w:rPr>
        <w:t xml:space="preserve">energy autonomy </w:t>
      </w:r>
      <w:r w:rsidRPr="008F7BBD">
        <w:rPr>
          <w:rFonts w:ascii="Arial" w:hAnsi="Arial" w:cs="Arial"/>
          <w:sz w:val="24"/>
          <w:szCs w:val="24"/>
        </w:rPr>
        <w:t>result</w:t>
      </w:r>
      <w:r w:rsidR="000E75A4">
        <w:rPr>
          <w:rFonts w:ascii="Arial" w:hAnsi="Arial" w:cs="Arial"/>
          <w:sz w:val="24"/>
          <w:szCs w:val="24"/>
        </w:rPr>
        <w:t>s</w:t>
      </w:r>
      <w:r w:rsidRPr="008F7BBD">
        <w:rPr>
          <w:rFonts w:ascii="Arial" w:hAnsi="Arial" w:cs="Arial"/>
          <w:sz w:val="24"/>
          <w:szCs w:val="24"/>
        </w:rPr>
        <w:t xml:space="preserve"> in</w:t>
      </w:r>
      <w:r w:rsidR="00D72303" w:rsidRPr="008F7BBD">
        <w:rPr>
          <w:rFonts w:ascii="Arial" w:hAnsi="Arial" w:cs="Arial"/>
          <w:sz w:val="24"/>
          <w:szCs w:val="24"/>
        </w:rPr>
        <w:t xml:space="preserve"> </w:t>
      </w:r>
      <w:r w:rsidR="0040159F" w:rsidRPr="008F7BBD">
        <w:rPr>
          <w:rFonts w:ascii="Arial" w:hAnsi="Arial" w:cs="Arial"/>
          <w:sz w:val="24"/>
          <w:szCs w:val="24"/>
        </w:rPr>
        <w:t>s</w:t>
      </w:r>
      <w:r w:rsidR="0040159F" w:rsidRPr="00A5667B">
        <w:rPr>
          <w:rFonts w:ascii="Arial" w:hAnsi="Arial" w:cs="Arial"/>
          <w:sz w:val="24"/>
          <w:szCs w:val="24"/>
        </w:rPr>
        <w:t xml:space="preserve">ocio-economic </w:t>
      </w:r>
      <w:r w:rsidR="00D72303" w:rsidRPr="00A5667B">
        <w:rPr>
          <w:rFonts w:ascii="Arial" w:hAnsi="Arial" w:cs="Arial"/>
          <w:sz w:val="24"/>
          <w:szCs w:val="24"/>
        </w:rPr>
        <w:t xml:space="preserve">benefits </w:t>
      </w:r>
      <w:r w:rsidRPr="00A5667B">
        <w:rPr>
          <w:rFonts w:ascii="Arial" w:hAnsi="Arial" w:cs="Arial"/>
          <w:sz w:val="24"/>
          <w:szCs w:val="24"/>
        </w:rPr>
        <w:t>for</w:t>
      </w:r>
      <w:r w:rsidR="006C724E" w:rsidRPr="00A5667B">
        <w:rPr>
          <w:rFonts w:ascii="Arial" w:hAnsi="Arial" w:cs="Arial"/>
          <w:sz w:val="24"/>
          <w:szCs w:val="24"/>
        </w:rPr>
        <w:t xml:space="preserve"> </w:t>
      </w:r>
      <w:r w:rsidR="00D72303" w:rsidRPr="00A5667B">
        <w:rPr>
          <w:rFonts w:ascii="Arial" w:hAnsi="Arial" w:cs="Arial"/>
          <w:sz w:val="24"/>
          <w:szCs w:val="24"/>
        </w:rPr>
        <w:t>communit</w:t>
      </w:r>
      <w:r w:rsidRPr="00A5667B">
        <w:rPr>
          <w:rFonts w:ascii="Arial" w:hAnsi="Arial" w:cs="Arial"/>
          <w:sz w:val="24"/>
          <w:szCs w:val="24"/>
        </w:rPr>
        <w:t>ies.</w:t>
      </w:r>
      <w:r w:rsidR="00D72303" w:rsidRPr="00A5667B">
        <w:rPr>
          <w:rFonts w:ascii="Arial" w:hAnsi="Arial" w:cs="Arial"/>
          <w:sz w:val="24"/>
          <w:szCs w:val="24"/>
        </w:rPr>
        <w:t xml:space="preserve"> </w:t>
      </w:r>
      <w:r w:rsidR="0040211F">
        <w:rPr>
          <w:rFonts w:ascii="Arial" w:hAnsi="Arial" w:cs="Arial"/>
          <w:sz w:val="24"/>
          <w:szCs w:val="24"/>
        </w:rPr>
        <w:t xml:space="preserve">These include </w:t>
      </w:r>
      <w:r w:rsidR="0040211F" w:rsidRPr="00A5667B">
        <w:rPr>
          <w:rFonts w:ascii="Arial" w:hAnsi="Arial" w:cs="Arial"/>
          <w:sz w:val="24"/>
          <w:szCs w:val="24"/>
        </w:rPr>
        <w:t>local</w:t>
      </w:r>
      <w:r w:rsidR="0040159F" w:rsidRPr="00A5667B">
        <w:rPr>
          <w:rFonts w:ascii="Arial" w:hAnsi="Arial" w:cs="Arial"/>
          <w:sz w:val="24"/>
          <w:szCs w:val="24"/>
        </w:rPr>
        <w:t xml:space="preserve"> employment</w:t>
      </w:r>
      <w:r w:rsidR="00DC0356">
        <w:rPr>
          <w:rFonts w:ascii="Arial" w:hAnsi="Arial" w:cs="Arial"/>
          <w:sz w:val="24"/>
          <w:szCs w:val="24"/>
        </w:rPr>
        <w:t xml:space="preserve"> </w:t>
      </w:r>
      <w:r w:rsidR="0040159F" w:rsidRPr="00A5667B">
        <w:rPr>
          <w:rFonts w:ascii="Arial" w:hAnsi="Arial" w:cs="Arial"/>
          <w:sz w:val="24"/>
          <w:szCs w:val="24"/>
        </w:rPr>
        <w:t>opportunities a</w:t>
      </w:r>
      <w:r w:rsidR="0040211F">
        <w:rPr>
          <w:rFonts w:ascii="Arial" w:hAnsi="Arial" w:cs="Arial"/>
          <w:sz w:val="24"/>
          <w:szCs w:val="24"/>
        </w:rPr>
        <w:t>s well as</w:t>
      </w:r>
      <w:r w:rsidR="0040159F" w:rsidRPr="00A5667B">
        <w:rPr>
          <w:rFonts w:ascii="Arial" w:hAnsi="Arial" w:cs="Arial"/>
          <w:sz w:val="24"/>
          <w:szCs w:val="24"/>
        </w:rPr>
        <w:t xml:space="preserve"> direct financial rewards through increased independence and lower energy cost</w:t>
      </w:r>
      <w:r w:rsidRPr="00A5667B">
        <w:rPr>
          <w:rFonts w:ascii="Arial" w:hAnsi="Arial" w:cs="Arial"/>
          <w:sz w:val="24"/>
          <w:szCs w:val="24"/>
        </w:rPr>
        <w:t>s</w:t>
      </w:r>
      <w:r w:rsidR="0040159F" w:rsidRPr="00A5667B">
        <w:rPr>
          <w:rFonts w:ascii="Arial" w:hAnsi="Arial" w:cs="Arial"/>
          <w:sz w:val="24"/>
          <w:szCs w:val="24"/>
        </w:rPr>
        <w:t xml:space="preserve"> for different economic sectors</w:t>
      </w:r>
      <w:r w:rsidR="00F84151">
        <w:rPr>
          <w:rFonts w:ascii="Arial" w:hAnsi="Arial" w:cs="Arial"/>
          <w:sz w:val="24"/>
          <w:szCs w:val="24"/>
        </w:rPr>
        <w:t xml:space="preserve">. </w:t>
      </w:r>
      <w:r w:rsidR="000E75A4">
        <w:rPr>
          <w:rFonts w:ascii="Arial" w:hAnsi="Arial" w:cs="Arial"/>
          <w:sz w:val="24"/>
          <w:szCs w:val="24"/>
        </w:rPr>
        <w:t xml:space="preserve">In </w:t>
      </w:r>
      <w:r w:rsidR="00634687">
        <w:rPr>
          <w:rFonts w:ascii="Arial" w:hAnsi="Arial" w:cs="Arial"/>
          <w:sz w:val="24"/>
          <w:szCs w:val="24"/>
        </w:rPr>
        <w:t>addition,</w:t>
      </w:r>
      <w:r w:rsidR="000E75A4">
        <w:rPr>
          <w:rFonts w:ascii="Arial" w:hAnsi="Arial" w:cs="Arial"/>
          <w:sz w:val="24"/>
          <w:szCs w:val="24"/>
        </w:rPr>
        <w:t xml:space="preserve"> energy autonomy can lead to</w:t>
      </w:r>
      <w:r w:rsidR="0040159F" w:rsidRPr="00A5667B">
        <w:rPr>
          <w:rFonts w:ascii="Arial" w:hAnsi="Arial" w:cs="Arial"/>
          <w:sz w:val="24"/>
          <w:szCs w:val="24"/>
        </w:rPr>
        <w:t xml:space="preserve"> </w:t>
      </w:r>
      <w:r w:rsidR="000E75A4">
        <w:rPr>
          <w:rFonts w:ascii="Arial" w:hAnsi="Arial" w:cs="Arial"/>
          <w:sz w:val="24"/>
          <w:szCs w:val="24"/>
        </w:rPr>
        <w:t>i</w:t>
      </w:r>
      <w:r w:rsidR="0040159F" w:rsidRPr="00A5667B">
        <w:rPr>
          <w:rFonts w:ascii="Arial" w:hAnsi="Arial" w:cs="Arial"/>
          <w:sz w:val="24"/>
          <w:szCs w:val="24"/>
        </w:rPr>
        <w:t>mprov</w:t>
      </w:r>
      <w:r w:rsidR="000E75A4">
        <w:rPr>
          <w:rFonts w:ascii="Arial" w:hAnsi="Arial" w:cs="Arial"/>
          <w:sz w:val="24"/>
          <w:szCs w:val="24"/>
        </w:rPr>
        <w:t>ed</w:t>
      </w:r>
      <w:r w:rsidR="0040159F" w:rsidRPr="00A5667B">
        <w:rPr>
          <w:rFonts w:ascii="Arial" w:hAnsi="Arial" w:cs="Arial"/>
          <w:sz w:val="24"/>
          <w:szCs w:val="24"/>
        </w:rPr>
        <w:t xml:space="preserve"> living standards result</w:t>
      </w:r>
      <w:r w:rsidR="00936BD4">
        <w:rPr>
          <w:rFonts w:ascii="Arial" w:hAnsi="Arial" w:cs="Arial"/>
          <w:sz w:val="24"/>
          <w:szCs w:val="24"/>
        </w:rPr>
        <w:t>ing</w:t>
      </w:r>
      <w:r w:rsidR="0040159F" w:rsidRPr="00A5667B">
        <w:rPr>
          <w:rFonts w:ascii="Arial" w:hAnsi="Arial" w:cs="Arial"/>
          <w:sz w:val="24"/>
          <w:szCs w:val="24"/>
        </w:rPr>
        <w:t xml:space="preserve"> from lower energy costs </w:t>
      </w:r>
      <w:r w:rsidRPr="00A5667B">
        <w:rPr>
          <w:rFonts w:ascii="Arial" w:hAnsi="Arial" w:cs="Arial"/>
          <w:sz w:val="24"/>
          <w:szCs w:val="24"/>
        </w:rPr>
        <w:t xml:space="preserve">due to </w:t>
      </w:r>
      <w:r w:rsidR="0040159F" w:rsidRPr="00A5667B">
        <w:rPr>
          <w:rFonts w:ascii="Arial" w:hAnsi="Arial" w:cs="Arial"/>
          <w:sz w:val="24"/>
          <w:szCs w:val="24"/>
        </w:rPr>
        <w:t>decentralised energy sources</w:t>
      </w:r>
      <w:r w:rsidR="000E75A4">
        <w:rPr>
          <w:rFonts w:ascii="Arial" w:hAnsi="Arial" w:cs="Arial"/>
          <w:sz w:val="24"/>
          <w:szCs w:val="24"/>
        </w:rPr>
        <w:t xml:space="preserve">. </w:t>
      </w:r>
      <w:r w:rsidR="0040159F" w:rsidRPr="00A5667B">
        <w:rPr>
          <w:rFonts w:ascii="Arial" w:hAnsi="Arial" w:cs="Arial"/>
          <w:sz w:val="24"/>
          <w:szCs w:val="24"/>
        </w:rPr>
        <w:t xml:space="preserve"> </w:t>
      </w:r>
      <w:r w:rsidR="00892BEF">
        <w:rPr>
          <w:rFonts w:ascii="Arial" w:hAnsi="Arial" w:cs="Arial"/>
          <w:sz w:val="24"/>
          <w:szCs w:val="24"/>
        </w:rPr>
        <w:t>Also,</w:t>
      </w:r>
      <w:r w:rsidR="000E75A4">
        <w:rPr>
          <w:rFonts w:ascii="Arial" w:hAnsi="Arial" w:cs="Arial"/>
          <w:sz w:val="24"/>
          <w:szCs w:val="24"/>
        </w:rPr>
        <w:t xml:space="preserve"> energy autonomy can lead to </w:t>
      </w:r>
      <w:r w:rsidR="0040159F" w:rsidRPr="00A5667B">
        <w:rPr>
          <w:rFonts w:ascii="Arial" w:hAnsi="Arial" w:cs="Arial"/>
          <w:sz w:val="24"/>
          <w:szCs w:val="24"/>
        </w:rPr>
        <w:t xml:space="preserve">better health </w:t>
      </w:r>
      <w:r w:rsidR="000E75A4">
        <w:rPr>
          <w:rFonts w:ascii="Arial" w:hAnsi="Arial" w:cs="Arial"/>
          <w:sz w:val="24"/>
          <w:szCs w:val="24"/>
        </w:rPr>
        <w:t>arising from</w:t>
      </w:r>
      <w:r w:rsidR="0040159F" w:rsidRPr="00A5667B">
        <w:rPr>
          <w:rFonts w:ascii="Arial" w:hAnsi="Arial" w:cs="Arial"/>
          <w:sz w:val="24"/>
          <w:szCs w:val="24"/>
        </w:rPr>
        <w:t xml:space="preserve"> reduced GHG emissions,</w:t>
      </w:r>
      <w:r w:rsidR="000E75A4">
        <w:rPr>
          <w:rFonts w:ascii="Arial" w:hAnsi="Arial" w:cs="Arial"/>
          <w:sz w:val="24"/>
          <w:szCs w:val="24"/>
        </w:rPr>
        <w:t xml:space="preserve"> creation of</w:t>
      </w:r>
      <w:r w:rsidRPr="00A5667B">
        <w:rPr>
          <w:rFonts w:ascii="Arial" w:hAnsi="Arial" w:cs="Arial"/>
          <w:sz w:val="24"/>
          <w:szCs w:val="24"/>
        </w:rPr>
        <w:t xml:space="preserve"> job opportunities </w:t>
      </w:r>
      <w:r w:rsidR="00136E34" w:rsidRPr="00A5667B">
        <w:rPr>
          <w:rFonts w:ascii="Arial" w:hAnsi="Arial" w:cs="Arial"/>
          <w:sz w:val="24"/>
          <w:szCs w:val="24"/>
        </w:rPr>
        <w:t xml:space="preserve">and </w:t>
      </w:r>
      <w:r w:rsidR="00136E34">
        <w:rPr>
          <w:rFonts w:ascii="Arial" w:hAnsi="Arial" w:cs="Arial"/>
          <w:sz w:val="24"/>
          <w:szCs w:val="24"/>
        </w:rPr>
        <w:t>fostering</w:t>
      </w:r>
      <w:r w:rsidR="00CC5E9B" w:rsidRPr="00A5667B">
        <w:rPr>
          <w:rFonts w:ascii="Arial" w:hAnsi="Arial" w:cs="Arial"/>
          <w:sz w:val="24"/>
          <w:szCs w:val="24"/>
        </w:rPr>
        <w:t xml:space="preserve"> </w:t>
      </w:r>
      <w:r w:rsidR="008B42CE">
        <w:rPr>
          <w:rFonts w:ascii="Arial" w:hAnsi="Arial" w:cs="Arial"/>
          <w:sz w:val="24"/>
          <w:szCs w:val="24"/>
        </w:rPr>
        <w:t xml:space="preserve">of </w:t>
      </w:r>
      <w:r w:rsidR="00CC5E9B" w:rsidRPr="00A5667B">
        <w:rPr>
          <w:rFonts w:ascii="Arial" w:hAnsi="Arial" w:cs="Arial"/>
          <w:sz w:val="24"/>
          <w:szCs w:val="24"/>
        </w:rPr>
        <w:t>social bonds</w:t>
      </w:r>
      <w:r w:rsidR="002E022E" w:rsidRPr="00A5667B">
        <w:rPr>
          <w:rFonts w:ascii="Arial" w:hAnsi="Arial" w:cs="Arial"/>
          <w:sz w:val="24"/>
          <w:szCs w:val="24"/>
        </w:rPr>
        <w:t xml:space="preserve"> by the renewable energy industry</w:t>
      </w:r>
      <w:r w:rsidR="008B4B38" w:rsidRPr="00A5667B">
        <w:rPr>
          <w:rFonts w:ascii="Arial" w:hAnsi="Arial" w:cs="Arial"/>
          <w:sz w:val="24"/>
          <w:szCs w:val="24"/>
        </w:rPr>
        <w:t>, as well as</w:t>
      </w:r>
      <w:r w:rsidR="00CC5E9B" w:rsidRPr="00A5667B">
        <w:rPr>
          <w:rFonts w:ascii="Arial" w:hAnsi="Arial" w:cs="Arial"/>
          <w:sz w:val="24"/>
          <w:szCs w:val="24"/>
        </w:rPr>
        <w:t xml:space="preserve"> broader community development.</w:t>
      </w:r>
      <w:r w:rsidR="00775F6B">
        <w:rPr>
          <w:rFonts w:ascii="Arial" w:hAnsi="Arial" w:cs="Arial"/>
          <w:sz w:val="24"/>
          <w:szCs w:val="24"/>
        </w:rPr>
        <w:t xml:space="preserve"> </w:t>
      </w:r>
      <w:r w:rsidR="00CC5E9B" w:rsidRPr="00A5667B">
        <w:rPr>
          <w:rFonts w:ascii="Arial" w:hAnsi="Arial" w:cs="Arial"/>
          <w:sz w:val="24"/>
          <w:szCs w:val="24"/>
        </w:rPr>
        <w:t xml:space="preserve">At </w:t>
      </w:r>
      <w:r w:rsidR="00DF7023" w:rsidRPr="00A5667B">
        <w:rPr>
          <w:rFonts w:ascii="Arial" w:hAnsi="Arial" w:cs="Arial"/>
          <w:sz w:val="24"/>
          <w:szCs w:val="24"/>
        </w:rPr>
        <w:t>a</w:t>
      </w:r>
      <w:r w:rsidR="00CC5E9B" w:rsidRPr="00A5667B">
        <w:rPr>
          <w:rFonts w:ascii="Arial" w:hAnsi="Arial" w:cs="Arial"/>
          <w:sz w:val="24"/>
          <w:szCs w:val="24"/>
        </w:rPr>
        <w:t xml:space="preserve"> country level,</w:t>
      </w:r>
      <w:r w:rsidR="000012BA" w:rsidRPr="00A5667B">
        <w:rPr>
          <w:rFonts w:ascii="Arial" w:hAnsi="Arial" w:cs="Arial"/>
          <w:sz w:val="24"/>
          <w:szCs w:val="24"/>
        </w:rPr>
        <w:t xml:space="preserve"> there is also </w:t>
      </w:r>
      <w:r w:rsidR="006C724E" w:rsidRPr="00A5667B">
        <w:rPr>
          <w:rFonts w:ascii="Arial" w:hAnsi="Arial" w:cs="Arial"/>
          <w:sz w:val="24"/>
          <w:szCs w:val="24"/>
        </w:rPr>
        <w:t xml:space="preserve">a </w:t>
      </w:r>
      <w:r w:rsidR="000012BA" w:rsidRPr="00A5667B">
        <w:rPr>
          <w:rFonts w:ascii="Arial" w:hAnsi="Arial" w:cs="Arial"/>
          <w:sz w:val="24"/>
          <w:szCs w:val="24"/>
        </w:rPr>
        <w:t xml:space="preserve">suggestion </w:t>
      </w:r>
      <w:r w:rsidR="008B42CE">
        <w:rPr>
          <w:rFonts w:ascii="Arial" w:hAnsi="Arial" w:cs="Arial"/>
          <w:sz w:val="24"/>
          <w:szCs w:val="24"/>
        </w:rPr>
        <w:t xml:space="preserve">that </w:t>
      </w:r>
      <w:r w:rsidR="008B42CE" w:rsidRPr="00A5667B">
        <w:rPr>
          <w:rFonts w:ascii="Arial" w:hAnsi="Arial" w:cs="Arial"/>
          <w:sz w:val="24"/>
          <w:szCs w:val="24"/>
        </w:rPr>
        <w:t xml:space="preserve">Renewable Energy Systems </w:t>
      </w:r>
      <w:r w:rsidR="008B42CE">
        <w:rPr>
          <w:rFonts w:ascii="Arial" w:hAnsi="Arial" w:cs="Arial"/>
          <w:sz w:val="24"/>
          <w:szCs w:val="24"/>
        </w:rPr>
        <w:t xml:space="preserve">(RES) on geographical islands provide </w:t>
      </w:r>
      <w:r w:rsidR="00892BEF" w:rsidRPr="00A5667B">
        <w:rPr>
          <w:rFonts w:ascii="Arial" w:hAnsi="Arial" w:cs="Arial"/>
          <w:sz w:val="24"/>
          <w:szCs w:val="24"/>
        </w:rPr>
        <w:t>economic</w:t>
      </w:r>
      <w:r w:rsidR="00892BEF">
        <w:rPr>
          <w:rFonts w:ascii="Arial" w:hAnsi="Arial" w:cs="Arial"/>
          <w:sz w:val="24"/>
          <w:szCs w:val="24"/>
        </w:rPr>
        <w:t xml:space="preserve"> </w:t>
      </w:r>
      <w:r w:rsidR="00892BEF" w:rsidRPr="00A5667B">
        <w:rPr>
          <w:rFonts w:ascii="Arial" w:hAnsi="Arial" w:cs="Arial"/>
          <w:sz w:val="24"/>
          <w:szCs w:val="24"/>
        </w:rPr>
        <w:t>benefits</w:t>
      </w:r>
      <w:r w:rsidR="000012BA" w:rsidRPr="00A5667B">
        <w:rPr>
          <w:rFonts w:ascii="Arial" w:hAnsi="Arial" w:cs="Arial"/>
          <w:sz w:val="24"/>
          <w:szCs w:val="24"/>
        </w:rPr>
        <w:t xml:space="preserve"> from saved fuel – oil purchases and carbon levies</w:t>
      </w:r>
      <w:r w:rsidR="0058491C">
        <w:rPr>
          <w:rFonts w:ascii="Arial" w:hAnsi="Arial" w:cs="Arial"/>
          <w:sz w:val="24"/>
          <w:szCs w:val="24"/>
        </w:rPr>
        <w:t xml:space="preserve"> [</w:t>
      </w:r>
      <w:r w:rsidR="00D53839">
        <w:rPr>
          <w:rFonts w:ascii="Arial" w:hAnsi="Arial" w:cs="Arial"/>
          <w:sz w:val="24"/>
          <w:szCs w:val="24"/>
        </w:rPr>
        <w:t>5</w:t>
      </w:r>
      <w:r w:rsidR="0058491C">
        <w:rPr>
          <w:rFonts w:ascii="Arial" w:hAnsi="Arial" w:cs="Arial"/>
          <w:sz w:val="24"/>
          <w:szCs w:val="24"/>
        </w:rPr>
        <w:t>].</w:t>
      </w:r>
      <w:r w:rsidR="008F7391" w:rsidRPr="0058491C">
        <w:rPr>
          <w:rFonts w:ascii="Arial" w:hAnsi="Arial" w:cs="Arial"/>
          <w:color w:val="FF0000"/>
          <w:sz w:val="24"/>
          <w:szCs w:val="24"/>
        </w:rPr>
        <w:t xml:space="preserve"> </w:t>
      </w:r>
      <w:proofErr w:type="spellStart"/>
      <w:r w:rsidR="00233B20" w:rsidRPr="00B65C6C">
        <w:rPr>
          <w:rFonts w:ascii="Arial" w:hAnsi="Arial" w:cs="Arial"/>
          <w:sz w:val="24"/>
          <w:szCs w:val="24"/>
        </w:rPr>
        <w:t>Marczinkowski</w:t>
      </w:r>
      <w:proofErr w:type="spellEnd"/>
      <w:r w:rsidR="00233B20" w:rsidRPr="00B65C6C">
        <w:rPr>
          <w:rFonts w:ascii="Arial" w:hAnsi="Arial" w:cs="Arial"/>
          <w:sz w:val="24"/>
          <w:szCs w:val="24"/>
        </w:rPr>
        <w:t xml:space="preserve"> [7] in his study concluded that the energy of islands contributes to the understanding of smart energy and sustainable energy planning, and this is achieved by islands playing a well-represented part in energy planning. </w:t>
      </w:r>
    </w:p>
    <w:p w14:paraId="2208FB85" w14:textId="287392A3" w:rsidR="00775F6B" w:rsidRDefault="00775F6B" w:rsidP="00872A9C">
      <w:pPr>
        <w:spacing w:line="360" w:lineRule="auto"/>
        <w:jc w:val="both"/>
        <w:rPr>
          <w:rFonts w:ascii="Arial" w:hAnsi="Arial" w:cs="Arial"/>
          <w:sz w:val="24"/>
          <w:szCs w:val="24"/>
        </w:rPr>
      </w:pPr>
      <w:r>
        <w:rPr>
          <w:rFonts w:ascii="Arial" w:hAnsi="Arial" w:cs="Arial"/>
          <w:sz w:val="24"/>
          <w:szCs w:val="24"/>
        </w:rPr>
        <w:t>However, the i</w:t>
      </w:r>
      <w:r w:rsidR="008F7391" w:rsidRPr="00A5667B">
        <w:rPr>
          <w:rFonts w:ascii="Arial" w:hAnsi="Arial" w:cs="Arial"/>
          <w:sz w:val="24"/>
          <w:szCs w:val="24"/>
        </w:rPr>
        <w:t xml:space="preserve">nvestment in </w:t>
      </w:r>
      <w:bookmarkStart w:id="1" w:name="_Hlk107505467"/>
      <w:r w:rsidR="008F7391" w:rsidRPr="00A5667B">
        <w:rPr>
          <w:rFonts w:ascii="Arial" w:hAnsi="Arial" w:cs="Arial"/>
          <w:sz w:val="24"/>
          <w:szCs w:val="24"/>
        </w:rPr>
        <w:t xml:space="preserve">RES </w:t>
      </w:r>
      <w:bookmarkEnd w:id="1"/>
      <w:r w:rsidR="008F7391" w:rsidRPr="00A5667B">
        <w:rPr>
          <w:rFonts w:ascii="Arial" w:hAnsi="Arial" w:cs="Arial"/>
          <w:sz w:val="24"/>
          <w:szCs w:val="24"/>
        </w:rPr>
        <w:t>facilities and decarbonisation processes</w:t>
      </w:r>
      <w:r>
        <w:rPr>
          <w:rFonts w:ascii="Arial" w:hAnsi="Arial" w:cs="Arial"/>
          <w:sz w:val="24"/>
          <w:szCs w:val="24"/>
        </w:rPr>
        <w:t xml:space="preserve"> necessary for energy autonomy</w:t>
      </w:r>
      <w:r w:rsidR="008F7391" w:rsidRPr="00A5667B">
        <w:rPr>
          <w:rFonts w:ascii="Arial" w:hAnsi="Arial" w:cs="Arial"/>
          <w:sz w:val="24"/>
          <w:szCs w:val="24"/>
        </w:rPr>
        <w:t xml:space="preserve"> involve</w:t>
      </w:r>
      <w:r>
        <w:rPr>
          <w:rFonts w:ascii="Arial" w:hAnsi="Arial" w:cs="Arial"/>
          <w:sz w:val="24"/>
          <w:szCs w:val="24"/>
        </w:rPr>
        <w:t>s</w:t>
      </w:r>
      <w:r w:rsidR="008F7391" w:rsidRPr="00A5667B">
        <w:rPr>
          <w:rFonts w:ascii="Arial" w:hAnsi="Arial" w:cs="Arial"/>
          <w:sz w:val="24"/>
          <w:szCs w:val="24"/>
        </w:rPr>
        <w:t xml:space="preserve"> high cost</w:t>
      </w:r>
      <w:r>
        <w:rPr>
          <w:rFonts w:ascii="Arial" w:hAnsi="Arial" w:cs="Arial"/>
          <w:sz w:val="24"/>
          <w:szCs w:val="24"/>
        </w:rPr>
        <w:t>s</w:t>
      </w:r>
      <w:r w:rsidR="0058491C">
        <w:rPr>
          <w:rFonts w:ascii="Arial" w:hAnsi="Arial" w:cs="Arial"/>
          <w:sz w:val="24"/>
          <w:szCs w:val="24"/>
        </w:rPr>
        <w:t xml:space="preserve"> [</w:t>
      </w:r>
      <w:r w:rsidR="00233B20">
        <w:rPr>
          <w:rFonts w:ascii="Arial" w:hAnsi="Arial" w:cs="Arial"/>
          <w:sz w:val="24"/>
          <w:szCs w:val="24"/>
        </w:rPr>
        <w:t>8</w:t>
      </w:r>
      <w:r w:rsidR="0058491C">
        <w:rPr>
          <w:rFonts w:ascii="Arial" w:hAnsi="Arial" w:cs="Arial"/>
          <w:sz w:val="24"/>
          <w:szCs w:val="24"/>
        </w:rPr>
        <w:t>].</w:t>
      </w:r>
      <w:r w:rsidR="00E86CB9">
        <w:rPr>
          <w:rFonts w:ascii="Arial" w:hAnsi="Arial" w:cs="Arial"/>
          <w:sz w:val="24"/>
          <w:szCs w:val="24"/>
        </w:rPr>
        <w:t xml:space="preserve"> </w:t>
      </w:r>
      <w:r w:rsidR="008B42CE">
        <w:rPr>
          <w:rFonts w:ascii="Arial" w:hAnsi="Arial" w:cs="Arial"/>
          <w:sz w:val="24"/>
          <w:szCs w:val="24"/>
        </w:rPr>
        <w:t>T</w:t>
      </w:r>
      <w:r w:rsidR="000D0678">
        <w:rPr>
          <w:rFonts w:ascii="Arial" w:hAnsi="Arial" w:cs="Arial"/>
          <w:sz w:val="24"/>
          <w:szCs w:val="24"/>
        </w:rPr>
        <w:t>o justify these costs</w:t>
      </w:r>
      <w:r w:rsidR="00C929F2">
        <w:rPr>
          <w:rFonts w:ascii="Arial" w:hAnsi="Arial" w:cs="Arial"/>
          <w:sz w:val="24"/>
          <w:szCs w:val="24"/>
        </w:rPr>
        <w:t>,</w:t>
      </w:r>
      <w:r w:rsidR="000D0678">
        <w:rPr>
          <w:rFonts w:ascii="Arial" w:hAnsi="Arial" w:cs="Arial"/>
          <w:sz w:val="24"/>
          <w:szCs w:val="24"/>
        </w:rPr>
        <w:t xml:space="preserve"> it is necessary to measure </w:t>
      </w:r>
      <w:r w:rsidR="00E86CB9">
        <w:rPr>
          <w:rFonts w:ascii="Arial" w:hAnsi="Arial" w:cs="Arial"/>
          <w:sz w:val="24"/>
          <w:szCs w:val="24"/>
        </w:rPr>
        <w:t xml:space="preserve">the socio-economic impact of such investment. </w:t>
      </w:r>
      <w:r w:rsidR="008F7391" w:rsidRPr="00A5667B">
        <w:rPr>
          <w:rFonts w:ascii="Arial" w:hAnsi="Arial" w:cs="Arial"/>
          <w:sz w:val="24"/>
          <w:szCs w:val="24"/>
        </w:rPr>
        <w:t xml:space="preserve"> </w:t>
      </w:r>
    </w:p>
    <w:p w14:paraId="4110BB03" w14:textId="1F9B2B32" w:rsidR="000D4955" w:rsidRPr="00A5667B" w:rsidRDefault="00775F6B" w:rsidP="00872A9C">
      <w:pPr>
        <w:spacing w:line="360" w:lineRule="auto"/>
        <w:jc w:val="both"/>
        <w:rPr>
          <w:rFonts w:ascii="Arial" w:hAnsi="Arial" w:cs="Arial"/>
          <w:sz w:val="24"/>
          <w:szCs w:val="24"/>
        </w:rPr>
      </w:pPr>
      <w:r>
        <w:rPr>
          <w:rFonts w:ascii="Arial" w:hAnsi="Arial" w:cs="Arial"/>
          <w:sz w:val="24"/>
          <w:szCs w:val="24"/>
        </w:rPr>
        <w:t>This study</w:t>
      </w:r>
      <w:r w:rsidR="00872A9C" w:rsidRPr="00A5667B">
        <w:rPr>
          <w:rFonts w:ascii="Arial" w:hAnsi="Arial" w:cs="Arial"/>
          <w:sz w:val="24"/>
          <w:szCs w:val="24"/>
        </w:rPr>
        <w:t xml:space="preserve"> investigate</w:t>
      </w:r>
      <w:r>
        <w:rPr>
          <w:rFonts w:ascii="Arial" w:hAnsi="Arial" w:cs="Arial"/>
          <w:sz w:val="24"/>
          <w:szCs w:val="24"/>
        </w:rPr>
        <w:t>s</w:t>
      </w:r>
      <w:r w:rsidR="00872A9C" w:rsidRPr="00A5667B">
        <w:rPr>
          <w:rFonts w:ascii="Arial" w:hAnsi="Arial" w:cs="Arial"/>
          <w:sz w:val="24"/>
          <w:szCs w:val="24"/>
        </w:rPr>
        <w:t xml:space="preserve"> the socio-economic impact of </w:t>
      </w:r>
      <w:r w:rsidR="0014000E" w:rsidRPr="00A5667B">
        <w:rPr>
          <w:rFonts w:ascii="Arial" w:hAnsi="Arial" w:cs="Arial"/>
          <w:sz w:val="24"/>
          <w:szCs w:val="24"/>
        </w:rPr>
        <w:t xml:space="preserve">renewable energy generation, storage, and </w:t>
      </w:r>
      <w:r w:rsidR="00A379A9">
        <w:rPr>
          <w:rFonts w:ascii="Arial" w:hAnsi="Arial" w:cs="Arial"/>
          <w:sz w:val="24"/>
          <w:szCs w:val="24"/>
        </w:rPr>
        <w:t>Information Communication Technologies</w:t>
      </w:r>
      <w:r w:rsidR="008B42CE">
        <w:rPr>
          <w:rFonts w:ascii="Arial" w:hAnsi="Arial" w:cs="Arial"/>
          <w:sz w:val="24"/>
          <w:szCs w:val="24"/>
        </w:rPr>
        <w:t xml:space="preserve"> (ICT)</w:t>
      </w:r>
      <w:r w:rsidR="0014000E" w:rsidRPr="00A5667B">
        <w:rPr>
          <w:rFonts w:ascii="Arial" w:hAnsi="Arial" w:cs="Arial"/>
          <w:sz w:val="24"/>
          <w:szCs w:val="24"/>
        </w:rPr>
        <w:t xml:space="preserve"> solution deployment </w:t>
      </w:r>
      <w:r w:rsidR="007668D8">
        <w:rPr>
          <w:rFonts w:ascii="Arial" w:hAnsi="Arial" w:cs="Arial"/>
          <w:sz w:val="24"/>
          <w:szCs w:val="24"/>
        </w:rPr>
        <w:t xml:space="preserve">for </w:t>
      </w:r>
      <w:r w:rsidR="007668D8">
        <w:rPr>
          <w:rFonts w:ascii="Arial" w:hAnsi="Arial" w:cs="Arial"/>
          <w:sz w:val="24"/>
          <w:szCs w:val="24"/>
        </w:rPr>
        <w:lastRenderedPageBreak/>
        <w:t xml:space="preserve">the facilitation of those </w:t>
      </w:r>
      <w:r w:rsidR="008F32B0">
        <w:rPr>
          <w:rFonts w:ascii="Arial" w:hAnsi="Arial" w:cs="Arial"/>
          <w:sz w:val="24"/>
          <w:szCs w:val="24"/>
        </w:rPr>
        <w:t>RES</w:t>
      </w:r>
      <w:r w:rsidR="007668D8">
        <w:rPr>
          <w:rFonts w:ascii="Arial" w:hAnsi="Arial" w:cs="Arial"/>
          <w:sz w:val="24"/>
          <w:szCs w:val="24"/>
        </w:rPr>
        <w:t xml:space="preserve"> </w:t>
      </w:r>
      <w:r w:rsidR="0014000E" w:rsidRPr="00A5667B">
        <w:rPr>
          <w:rFonts w:ascii="Arial" w:hAnsi="Arial" w:cs="Arial"/>
          <w:sz w:val="24"/>
          <w:szCs w:val="24"/>
        </w:rPr>
        <w:t>on geographical islands</w:t>
      </w:r>
      <w:r w:rsidR="00872A9C" w:rsidRPr="00A5667B">
        <w:rPr>
          <w:rFonts w:ascii="Arial" w:hAnsi="Arial" w:cs="Arial"/>
          <w:sz w:val="24"/>
          <w:szCs w:val="24"/>
        </w:rPr>
        <w:t xml:space="preserve">. </w:t>
      </w:r>
      <w:r w:rsidR="000D4955" w:rsidRPr="00A5667B">
        <w:rPr>
          <w:rFonts w:ascii="Arial" w:hAnsi="Arial" w:cs="Arial"/>
          <w:sz w:val="24"/>
          <w:szCs w:val="24"/>
        </w:rPr>
        <w:t xml:space="preserve">Specifically, </w:t>
      </w:r>
      <w:r w:rsidR="006A69FD" w:rsidRPr="00A5667B">
        <w:rPr>
          <w:rFonts w:ascii="Arial" w:hAnsi="Arial" w:cs="Arial"/>
          <w:sz w:val="24"/>
          <w:szCs w:val="24"/>
        </w:rPr>
        <w:t>a measur</w:t>
      </w:r>
      <w:r w:rsidR="00F42379" w:rsidRPr="00A5667B">
        <w:rPr>
          <w:rFonts w:ascii="Arial" w:hAnsi="Arial" w:cs="Arial"/>
          <w:sz w:val="24"/>
          <w:szCs w:val="24"/>
        </w:rPr>
        <w:t>ement of</w:t>
      </w:r>
      <w:r w:rsidR="006A69FD" w:rsidRPr="00A5667B">
        <w:rPr>
          <w:rFonts w:ascii="Arial" w:hAnsi="Arial" w:cs="Arial"/>
          <w:sz w:val="24"/>
          <w:szCs w:val="24"/>
        </w:rPr>
        <w:t xml:space="preserve"> the </w:t>
      </w:r>
      <w:r w:rsidR="0065013B" w:rsidRPr="00A5667B">
        <w:rPr>
          <w:rFonts w:ascii="Arial" w:hAnsi="Arial" w:cs="Arial"/>
          <w:sz w:val="24"/>
          <w:szCs w:val="24"/>
        </w:rPr>
        <w:t xml:space="preserve">local economic impact is </w:t>
      </w:r>
      <w:r w:rsidR="00872A9C" w:rsidRPr="00A5667B">
        <w:rPr>
          <w:rFonts w:ascii="Arial" w:hAnsi="Arial" w:cs="Arial"/>
          <w:sz w:val="24"/>
          <w:szCs w:val="24"/>
        </w:rPr>
        <w:t>developed</w:t>
      </w:r>
      <w:r w:rsidR="006C724E" w:rsidRPr="00A5667B">
        <w:rPr>
          <w:rFonts w:ascii="Arial" w:hAnsi="Arial" w:cs="Arial"/>
          <w:sz w:val="24"/>
          <w:szCs w:val="24"/>
        </w:rPr>
        <w:t xml:space="preserve"> </w:t>
      </w:r>
      <w:r w:rsidR="00C023FA">
        <w:rPr>
          <w:rFonts w:ascii="Arial" w:hAnsi="Arial" w:cs="Arial"/>
          <w:sz w:val="24"/>
          <w:szCs w:val="24"/>
        </w:rPr>
        <w:t>for</w:t>
      </w:r>
      <w:r w:rsidR="006C724E" w:rsidRPr="00A5667B">
        <w:rPr>
          <w:rFonts w:ascii="Arial" w:hAnsi="Arial" w:cs="Arial"/>
          <w:sz w:val="24"/>
          <w:szCs w:val="24"/>
        </w:rPr>
        <w:t xml:space="preserve"> geographical islands</w:t>
      </w:r>
      <w:r w:rsidR="0065013B" w:rsidRPr="00A5667B">
        <w:rPr>
          <w:rFonts w:ascii="Arial" w:hAnsi="Arial" w:cs="Arial"/>
          <w:sz w:val="24"/>
          <w:szCs w:val="24"/>
        </w:rPr>
        <w:t>.</w:t>
      </w:r>
    </w:p>
    <w:p w14:paraId="3B501F62" w14:textId="2A394D26" w:rsidR="00BC601C" w:rsidRDefault="001B6B75" w:rsidP="00BF0689">
      <w:pPr>
        <w:spacing w:line="360" w:lineRule="auto"/>
        <w:jc w:val="both"/>
        <w:rPr>
          <w:rFonts w:ascii="Arial" w:hAnsi="Arial" w:cs="Arial"/>
          <w:sz w:val="24"/>
          <w:szCs w:val="24"/>
        </w:rPr>
      </w:pPr>
      <w:r>
        <w:rPr>
          <w:rFonts w:ascii="Arial" w:hAnsi="Arial" w:cs="Arial"/>
          <w:sz w:val="24"/>
          <w:szCs w:val="24"/>
        </w:rPr>
        <w:t>Many</w:t>
      </w:r>
      <w:r w:rsidR="00A2178B">
        <w:rPr>
          <w:rFonts w:ascii="Arial" w:hAnsi="Arial" w:cs="Arial"/>
          <w:sz w:val="24"/>
          <w:szCs w:val="24"/>
        </w:rPr>
        <w:t xml:space="preserve"> </w:t>
      </w:r>
      <w:r>
        <w:rPr>
          <w:rFonts w:ascii="Arial" w:hAnsi="Arial" w:cs="Arial"/>
          <w:sz w:val="24"/>
          <w:szCs w:val="24"/>
        </w:rPr>
        <w:t>argue that r</w:t>
      </w:r>
      <w:r w:rsidR="00160981" w:rsidRPr="00A5667B">
        <w:rPr>
          <w:rFonts w:ascii="Arial" w:hAnsi="Arial" w:cs="Arial"/>
          <w:sz w:val="24"/>
          <w:szCs w:val="24"/>
        </w:rPr>
        <w:t>enewable energy/smart grid projects impact</w:t>
      </w:r>
      <w:r>
        <w:rPr>
          <w:rFonts w:ascii="Arial" w:hAnsi="Arial" w:cs="Arial"/>
          <w:sz w:val="24"/>
          <w:szCs w:val="24"/>
        </w:rPr>
        <w:t xml:space="preserve"> significantly on</w:t>
      </w:r>
      <w:r w:rsidR="00160981" w:rsidRPr="00A5667B">
        <w:rPr>
          <w:rFonts w:ascii="Arial" w:hAnsi="Arial" w:cs="Arial"/>
          <w:sz w:val="24"/>
          <w:szCs w:val="24"/>
        </w:rPr>
        <w:t xml:space="preserve"> electricity consumers’ </w:t>
      </w:r>
      <w:r w:rsidR="002C39D1" w:rsidRPr="00A5667B">
        <w:rPr>
          <w:rFonts w:ascii="Arial" w:hAnsi="Arial" w:cs="Arial"/>
          <w:sz w:val="24"/>
          <w:szCs w:val="24"/>
        </w:rPr>
        <w:t>behaviour</w:t>
      </w:r>
      <w:r w:rsidR="00160981" w:rsidRPr="00A5667B">
        <w:rPr>
          <w:rFonts w:ascii="Arial" w:hAnsi="Arial" w:cs="Arial"/>
          <w:sz w:val="24"/>
          <w:szCs w:val="24"/>
        </w:rPr>
        <w:t xml:space="preserve"> pattern</w:t>
      </w:r>
      <w:r w:rsidR="00460258" w:rsidRPr="00A5667B">
        <w:rPr>
          <w:rFonts w:ascii="Arial" w:hAnsi="Arial" w:cs="Arial"/>
          <w:sz w:val="24"/>
          <w:szCs w:val="24"/>
        </w:rPr>
        <w:t>s</w:t>
      </w:r>
      <w:r w:rsidR="00160981" w:rsidRPr="00A5667B">
        <w:rPr>
          <w:rFonts w:ascii="Arial" w:hAnsi="Arial" w:cs="Arial"/>
          <w:sz w:val="24"/>
          <w:szCs w:val="24"/>
        </w:rPr>
        <w:t>, culture, and lifestyle</w:t>
      </w:r>
      <w:r w:rsidR="0058491C">
        <w:rPr>
          <w:rFonts w:ascii="Arial" w:hAnsi="Arial" w:cs="Arial"/>
          <w:sz w:val="24"/>
          <w:szCs w:val="24"/>
        </w:rPr>
        <w:t xml:space="preserve"> [</w:t>
      </w:r>
      <w:r w:rsidR="00233B20">
        <w:rPr>
          <w:rFonts w:ascii="Arial" w:hAnsi="Arial" w:cs="Arial"/>
          <w:sz w:val="24"/>
          <w:szCs w:val="24"/>
        </w:rPr>
        <w:t>9</w:t>
      </w:r>
      <w:r w:rsidR="00D06462">
        <w:rPr>
          <w:rFonts w:ascii="Arial" w:hAnsi="Arial" w:cs="Arial"/>
          <w:sz w:val="24"/>
          <w:szCs w:val="24"/>
        </w:rPr>
        <w:t>-1</w:t>
      </w:r>
      <w:r w:rsidR="00233B20">
        <w:rPr>
          <w:rFonts w:ascii="Arial" w:hAnsi="Arial" w:cs="Arial"/>
          <w:sz w:val="24"/>
          <w:szCs w:val="24"/>
        </w:rPr>
        <w:t>2</w:t>
      </w:r>
      <w:r w:rsidR="0058491C">
        <w:rPr>
          <w:rFonts w:ascii="Arial" w:hAnsi="Arial" w:cs="Arial"/>
          <w:sz w:val="24"/>
          <w:szCs w:val="24"/>
        </w:rPr>
        <w:t>].</w:t>
      </w:r>
      <w:r>
        <w:rPr>
          <w:rFonts w:ascii="Arial" w:hAnsi="Arial" w:cs="Arial"/>
          <w:sz w:val="24"/>
          <w:szCs w:val="24"/>
        </w:rPr>
        <w:t xml:space="preserve"> Earlier studies have conducted impact assessments of RES on geographical regions</w:t>
      </w:r>
      <w:r w:rsidR="0048201D">
        <w:rPr>
          <w:rFonts w:ascii="Arial" w:hAnsi="Arial" w:cs="Arial"/>
          <w:sz w:val="24"/>
          <w:szCs w:val="24"/>
        </w:rPr>
        <w:t xml:space="preserve">, </w:t>
      </w:r>
      <w:r w:rsidR="004D246B">
        <w:rPr>
          <w:rFonts w:ascii="Arial" w:hAnsi="Arial" w:cs="Arial"/>
          <w:sz w:val="24"/>
          <w:szCs w:val="24"/>
        </w:rPr>
        <w:t xml:space="preserve">using </w:t>
      </w:r>
      <w:r w:rsidR="0048201D">
        <w:rPr>
          <w:rFonts w:ascii="Arial" w:hAnsi="Arial" w:cs="Arial"/>
          <w:sz w:val="24"/>
          <w:szCs w:val="24"/>
        </w:rPr>
        <w:t>different approaches</w:t>
      </w:r>
      <w:r w:rsidR="000F567A">
        <w:rPr>
          <w:rFonts w:ascii="Arial" w:hAnsi="Arial" w:cs="Arial"/>
          <w:sz w:val="24"/>
          <w:szCs w:val="24"/>
        </w:rPr>
        <w:t xml:space="preserve"> to</w:t>
      </w:r>
      <w:r w:rsidR="008D3730">
        <w:rPr>
          <w:rFonts w:ascii="Arial" w:hAnsi="Arial" w:cs="Arial"/>
          <w:sz w:val="24"/>
          <w:szCs w:val="24"/>
        </w:rPr>
        <w:t xml:space="preserve"> conduct a post </w:t>
      </w:r>
      <w:r w:rsidR="00070281">
        <w:rPr>
          <w:rFonts w:ascii="Arial" w:hAnsi="Arial" w:cs="Arial"/>
          <w:sz w:val="24"/>
          <w:szCs w:val="24"/>
        </w:rPr>
        <w:t>installation</w:t>
      </w:r>
      <w:r w:rsidR="000F567A">
        <w:rPr>
          <w:rFonts w:ascii="Arial" w:hAnsi="Arial" w:cs="Arial"/>
          <w:sz w:val="24"/>
          <w:szCs w:val="24"/>
        </w:rPr>
        <w:t xml:space="preserve"> assess</w:t>
      </w:r>
      <w:r w:rsidR="00070281">
        <w:rPr>
          <w:rFonts w:ascii="Arial" w:hAnsi="Arial" w:cs="Arial"/>
          <w:sz w:val="24"/>
          <w:szCs w:val="24"/>
        </w:rPr>
        <w:t>ment of the</w:t>
      </w:r>
      <w:r w:rsidR="000F567A">
        <w:rPr>
          <w:rFonts w:ascii="Arial" w:hAnsi="Arial" w:cs="Arial"/>
          <w:sz w:val="24"/>
          <w:szCs w:val="24"/>
        </w:rPr>
        <w:t xml:space="preserve"> socio-economic </w:t>
      </w:r>
      <w:r w:rsidR="00F604EC">
        <w:rPr>
          <w:rFonts w:ascii="Arial" w:hAnsi="Arial" w:cs="Arial"/>
          <w:sz w:val="24"/>
          <w:szCs w:val="24"/>
        </w:rPr>
        <w:t xml:space="preserve">benefits of the </w:t>
      </w:r>
      <w:r w:rsidR="00DA64C7">
        <w:rPr>
          <w:rFonts w:ascii="Arial" w:hAnsi="Arial" w:cs="Arial"/>
          <w:sz w:val="24"/>
          <w:szCs w:val="24"/>
        </w:rPr>
        <w:t>local community energy projects</w:t>
      </w:r>
      <w:r w:rsidR="004D246B">
        <w:rPr>
          <w:rFonts w:ascii="Arial" w:hAnsi="Arial" w:cs="Arial"/>
          <w:sz w:val="24"/>
          <w:szCs w:val="24"/>
        </w:rPr>
        <w:t>,</w:t>
      </w:r>
      <w:r w:rsidR="00DA64C7">
        <w:rPr>
          <w:rFonts w:ascii="Arial" w:hAnsi="Arial" w:cs="Arial"/>
          <w:sz w:val="24"/>
          <w:szCs w:val="24"/>
        </w:rPr>
        <w:t xml:space="preserve"> </w:t>
      </w:r>
      <w:r w:rsidR="00B97DEC">
        <w:rPr>
          <w:rFonts w:ascii="Arial" w:hAnsi="Arial" w:cs="Arial"/>
          <w:sz w:val="24"/>
          <w:szCs w:val="24"/>
        </w:rPr>
        <w:t xml:space="preserve">and </w:t>
      </w:r>
      <w:r w:rsidR="000E57D6">
        <w:rPr>
          <w:rFonts w:ascii="Arial" w:hAnsi="Arial" w:cs="Arial"/>
          <w:sz w:val="24"/>
          <w:szCs w:val="24"/>
        </w:rPr>
        <w:t xml:space="preserve">most </w:t>
      </w:r>
      <w:r w:rsidR="0078761C">
        <w:rPr>
          <w:rFonts w:ascii="Arial" w:hAnsi="Arial" w:cs="Arial"/>
          <w:sz w:val="24"/>
          <w:szCs w:val="24"/>
        </w:rPr>
        <w:t>utilis</w:t>
      </w:r>
      <w:r w:rsidR="00785A72">
        <w:rPr>
          <w:rFonts w:ascii="Arial" w:hAnsi="Arial" w:cs="Arial"/>
          <w:sz w:val="24"/>
          <w:szCs w:val="24"/>
        </w:rPr>
        <w:t>ed</w:t>
      </w:r>
      <w:r w:rsidR="0078761C">
        <w:rPr>
          <w:rFonts w:ascii="Arial" w:hAnsi="Arial" w:cs="Arial"/>
          <w:sz w:val="24"/>
          <w:szCs w:val="24"/>
        </w:rPr>
        <w:t xml:space="preserve"> more than 12 months </w:t>
      </w:r>
      <w:r w:rsidR="000116E6">
        <w:rPr>
          <w:rFonts w:ascii="Arial" w:hAnsi="Arial" w:cs="Arial"/>
          <w:sz w:val="24"/>
          <w:szCs w:val="24"/>
        </w:rPr>
        <w:t>of data from local businesses and services</w:t>
      </w:r>
      <w:r w:rsidR="00D06462">
        <w:rPr>
          <w:rFonts w:ascii="Arial" w:hAnsi="Arial" w:cs="Arial"/>
          <w:sz w:val="24"/>
          <w:szCs w:val="24"/>
        </w:rPr>
        <w:t xml:space="preserve"> [1</w:t>
      </w:r>
      <w:r w:rsidR="00233B20">
        <w:rPr>
          <w:rFonts w:ascii="Arial" w:hAnsi="Arial" w:cs="Arial"/>
          <w:sz w:val="24"/>
          <w:szCs w:val="24"/>
        </w:rPr>
        <w:t>3</w:t>
      </w:r>
      <w:r w:rsidR="00D06462">
        <w:rPr>
          <w:rFonts w:ascii="Arial" w:hAnsi="Arial" w:cs="Arial"/>
          <w:sz w:val="24"/>
          <w:szCs w:val="24"/>
        </w:rPr>
        <w:t>-1</w:t>
      </w:r>
      <w:r w:rsidR="00233B20">
        <w:rPr>
          <w:rFonts w:ascii="Arial" w:hAnsi="Arial" w:cs="Arial"/>
          <w:sz w:val="24"/>
          <w:szCs w:val="24"/>
        </w:rPr>
        <w:t>5</w:t>
      </w:r>
      <w:r w:rsidR="00D06462">
        <w:rPr>
          <w:rFonts w:ascii="Arial" w:hAnsi="Arial" w:cs="Arial"/>
          <w:sz w:val="24"/>
          <w:szCs w:val="24"/>
        </w:rPr>
        <w:t>].</w:t>
      </w:r>
      <w:r>
        <w:rPr>
          <w:rFonts w:ascii="Arial" w:hAnsi="Arial" w:cs="Arial"/>
          <w:sz w:val="24"/>
          <w:szCs w:val="24"/>
        </w:rPr>
        <w:t xml:space="preserve"> </w:t>
      </w:r>
      <w:r w:rsidR="00892BEF">
        <w:rPr>
          <w:rFonts w:ascii="Arial" w:hAnsi="Arial" w:cs="Arial"/>
          <w:sz w:val="24"/>
          <w:szCs w:val="24"/>
        </w:rPr>
        <w:t>However,</w:t>
      </w:r>
      <w:r w:rsidR="000946D5">
        <w:rPr>
          <w:rFonts w:ascii="Arial" w:hAnsi="Arial" w:cs="Arial"/>
          <w:sz w:val="24"/>
          <w:szCs w:val="24"/>
        </w:rPr>
        <w:t xml:space="preserve"> there is a lack of evidence for assessing </w:t>
      </w:r>
      <w:r w:rsidR="00D21556">
        <w:rPr>
          <w:rFonts w:ascii="Arial" w:hAnsi="Arial" w:cs="Arial"/>
          <w:sz w:val="24"/>
          <w:szCs w:val="24"/>
        </w:rPr>
        <w:t>the benefits of community energy projects</w:t>
      </w:r>
      <w:r w:rsidR="00D06462">
        <w:rPr>
          <w:rFonts w:ascii="Arial" w:hAnsi="Arial" w:cs="Arial"/>
          <w:sz w:val="24"/>
          <w:szCs w:val="24"/>
        </w:rPr>
        <w:t xml:space="preserve"> [1</w:t>
      </w:r>
      <w:r w:rsidR="00233B20">
        <w:rPr>
          <w:rFonts w:ascii="Arial" w:hAnsi="Arial" w:cs="Arial"/>
          <w:sz w:val="24"/>
          <w:szCs w:val="24"/>
        </w:rPr>
        <w:t>6</w:t>
      </w:r>
      <w:r w:rsidR="00D06462">
        <w:rPr>
          <w:rFonts w:ascii="Arial" w:hAnsi="Arial" w:cs="Arial"/>
          <w:sz w:val="24"/>
          <w:szCs w:val="24"/>
        </w:rPr>
        <w:t>]</w:t>
      </w:r>
      <w:r w:rsidR="002A5B63">
        <w:rPr>
          <w:rFonts w:ascii="Arial" w:hAnsi="Arial" w:cs="Arial"/>
          <w:sz w:val="24"/>
          <w:szCs w:val="24"/>
        </w:rPr>
        <w:t>.</w:t>
      </w:r>
    </w:p>
    <w:p w14:paraId="40C2BD9C" w14:textId="20E48BDB" w:rsidR="00D77B2B" w:rsidRPr="00A5667B" w:rsidRDefault="00D21556" w:rsidP="00BF0689">
      <w:pPr>
        <w:spacing w:line="360" w:lineRule="auto"/>
        <w:jc w:val="both"/>
        <w:rPr>
          <w:rFonts w:ascii="Arial" w:hAnsi="Arial" w:cs="Arial"/>
          <w:sz w:val="24"/>
          <w:szCs w:val="24"/>
        </w:rPr>
      </w:pPr>
      <w:r>
        <w:rPr>
          <w:rFonts w:ascii="Arial" w:hAnsi="Arial" w:cs="Arial"/>
          <w:sz w:val="24"/>
          <w:szCs w:val="24"/>
        </w:rPr>
        <w:t>As far as the authors are aware</w:t>
      </w:r>
      <w:r w:rsidR="00766761">
        <w:rPr>
          <w:rFonts w:ascii="Arial" w:hAnsi="Arial" w:cs="Arial"/>
          <w:sz w:val="24"/>
          <w:szCs w:val="24"/>
        </w:rPr>
        <w:t>,</w:t>
      </w:r>
      <w:r w:rsidR="006D634F" w:rsidRPr="00A5667B">
        <w:rPr>
          <w:rFonts w:ascii="Arial" w:hAnsi="Arial" w:cs="Arial"/>
          <w:sz w:val="24"/>
          <w:szCs w:val="24"/>
        </w:rPr>
        <w:t xml:space="preserve"> no studies have used methods for assessing the socio-economic impacts of self-sustaining energy system projects based on hypothetical </w:t>
      </w:r>
      <w:r w:rsidR="00766761">
        <w:rPr>
          <w:rFonts w:ascii="Arial" w:hAnsi="Arial" w:cs="Arial"/>
          <w:sz w:val="24"/>
          <w:szCs w:val="24"/>
        </w:rPr>
        <w:t xml:space="preserve">future </w:t>
      </w:r>
      <w:r w:rsidR="006D634F" w:rsidRPr="00A5667B">
        <w:rPr>
          <w:rFonts w:ascii="Arial" w:hAnsi="Arial" w:cs="Arial"/>
          <w:sz w:val="24"/>
          <w:szCs w:val="24"/>
        </w:rPr>
        <w:t xml:space="preserve">scenarios of RES </w:t>
      </w:r>
      <w:r w:rsidR="00766761">
        <w:rPr>
          <w:rFonts w:ascii="Arial" w:hAnsi="Arial" w:cs="Arial"/>
          <w:sz w:val="24"/>
          <w:szCs w:val="24"/>
        </w:rPr>
        <w:t xml:space="preserve">installation </w:t>
      </w:r>
      <w:r w:rsidR="006D634F" w:rsidRPr="00A5667B">
        <w:rPr>
          <w:rFonts w:ascii="Arial" w:hAnsi="Arial" w:cs="Arial"/>
          <w:sz w:val="24"/>
          <w:szCs w:val="24"/>
        </w:rPr>
        <w:t xml:space="preserve">and smart grid technologies. </w:t>
      </w:r>
      <w:r w:rsidR="00892BEF" w:rsidRPr="00A5667B">
        <w:rPr>
          <w:rFonts w:ascii="Arial" w:hAnsi="Arial" w:cs="Arial"/>
          <w:sz w:val="24"/>
          <w:szCs w:val="24"/>
        </w:rPr>
        <w:t>For</w:t>
      </w:r>
      <w:r w:rsidR="006D634F" w:rsidRPr="00A5667B">
        <w:rPr>
          <w:rFonts w:ascii="Arial" w:hAnsi="Arial" w:cs="Arial"/>
          <w:sz w:val="24"/>
          <w:szCs w:val="24"/>
        </w:rPr>
        <w:t xml:space="preserve"> geographical islands, RES-based energy systems </w:t>
      </w:r>
      <w:r w:rsidR="004E2376">
        <w:rPr>
          <w:rFonts w:ascii="Arial" w:hAnsi="Arial" w:cs="Arial"/>
          <w:sz w:val="24"/>
          <w:szCs w:val="24"/>
        </w:rPr>
        <w:t xml:space="preserve">projects </w:t>
      </w:r>
      <w:r w:rsidR="006D634F" w:rsidRPr="00A5667B">
        <w:rPr>
          <w:rFonts w:ascii="Arial" w:hAnsi="Arial" w:cs="Arial"/>
          <w:sz w:val="24"/>
          <w:szCs w:val="24"/>
        </w:rPr>
        <w:t>require estimations or forecasts of their local economic effects</w:t>
      </w:r>
      <w:r w:rsidR="00DC620F">
        <w:rPr>
          <w:rFonts w:ascii="Arial" w:hAnsi="Arial" w:cs="Arial"/>
          <w:sz w:val="24"/>
          <w:szCs w:val="24"/>
        </w:rPr>
        <w:t xml:space="preserve"> for scenario evaluation</w:t>
      </w:r>
      <w:r w:rsidR="006D634F" w:rsidRPr="00A5667B">
        <w:rPr>
          <w:rFonts w:ascii="Arial" w:hAnsi="Arial" w:cs="Arial"/>
          <w:sz w:val="24"/>
          <w:szCs w:val="24"/>
        </w:rPr>
        <w:t>.</w:t>
      </w:r>
    </w:p>
    <w:p w14:paraId="7856D864" w14:textId="72AFCB0A" w:rsidR="00981E18" w:rsidRPr="00A5667B" w:rsidRDefault="006D634F" w:rsidP="00E443CC">
      <w:pPr>
        <w:spacing w:line="360" w:lineRule="auto"/>
        <w:jc w:val="both"/>
        <w:rPr>
          <w:rFonts w:ascii="Arial" w:eastAsiaTheme="minorEastAsia" w:hAnsi="Arial" w:cs="Arial"/>
          <w:sz w:val="24"/>
          <w:szCs w:val="24"/>
        </w:rPr>
      </w:pPr>
      <w:r w:rsidRPr="00A5667B">
        <w:rPr>
          <w:rFonts w:ascii="Arial" w:eastAsiaTheme="minorEastAsia" w:hAnsi="Arial" w:cs="Arial"/>
          <w:sz w:val="24"/>
          <w:szCs w:val="24"/>
        </w:rPr>
        <w:t xml:space="preserve">We propose a novel approach </w:t>
      </w:r>
      <w:r w:rsidR="000937CE">
        <w:rPr>
          <w:rFonts w:ascii="Arial" w:eastAsiaTheme="minorEastAsia" w:hAnsi="Arial" w:cs="Arial"/>
          <w:sz w:val="24"/>
          <w:szCs w:val="24"/>
        </w:rPr>
        <w:t>for</w:t>
      </w:r>
      <w:r w:rsidRPr="00A5667B">
        <w:rPr>
          <w:rFonts w:ascii="Arial" w:eastAsiaTheme="minorEastAsia" w:hAnsi="Arial" w:cs="Arial"/>
          <w:sz w:val="24"/>
          <w:szCs w:val="24"/>
        </w:rPr>
        <w:t xml:space="preserve"> computing the forecasted value of socio</w:t>
      </w:r>
      <w:r w:rsidR="00F65198">
        <w:rPr>
          <w:rFonts w:ascii="Arial" w:eastAsiaTheme="minorEastAsia" w:hAnsi="Arial" w:cs="Arial"/>
          <w:sz w:val="24"/>
          <w:szCs w:val="24"/>
        </w:rPr>
        <w:t>-</w:t>
      </w:r>
      <w:r w:rsidRPr="00A5667B">
        <w:rPr>
          <w:rFonts w:ascii="Arial" w:eastAsiaTheme="minorEastAsia" w:hAnsi="Arial" w:cs="Arial"/>
          <w:sz w:val="24"/>
          <w:szCs w:val="24"/>
        </w:rPr>
        <w:t>economic impact on energy autonomous geographical islands. Th</w:t>
      </w:r>
      <w:r w:rsidR="00222287">
        <w:rPr>
          <w:rFonts w:ascii="Arial" w:eastAsiaTheme="minorEastAsia" w:hAnsi="Arial" w:cs="Arial"/>
          <w:sz w:val="24"/>
          <w:szCs w:val="24"/>
        </w:rPr>
        <w:t>is in</w:t>
      </w:r>
      <w:r w:rsidR="005C3F77">
        <w:rPr>
          <w:rFonts w:ascii="Arial" w:eastAsiaTheme="minorEastAsia" w:hAnsi="Arial" w:cs="Arial"/>
          <w:sz w:val="24"/>
          <w:szCs w:val="24"/>
        </w:rPr>
        <w:t>volves</w:t>
      </w:r>
      <w:r w:rsidRPr="00A5667B">
        <w:rPr>
          <w:rFonts w:ascii="Arial" w:eastAsiaTheme="minorEastAsia" w:hAnsi="Arial" w:cs="Arial"/>
          <w:sz w:val="24"/>
          <w:szCs w:val="24"/>
        </w:rPr>
        <w:t xml:space="preserve"> assessing the induced effects of renewable energy on the economy and various activities influencing employment and income generation in local economies. </w:t>
      </w:r>
      <w:r w:rsidR="00FB57A8" w:rsidRPr="00A5667B">
        <w:rPr>
          <w:rFonts w:ascii="Arial" w:eastAsiaTheme="minorEastAsia" w:hAnsi="Arial" w:cs="Arial"/>
          <w:sz w:val="24"/>
          <w:szCs w:val="24"/>
        </w:rPr>
        <w:t xml:space="preserve">The approach is </w:t>
      </w:r>
      <w:r w:rsidR="00F81401" w:rsidRPr="00A5667B">
        <w:rPr>
          <w:rFonts w:ascii="Arial" w:eastAsiaTheme="minorEastAsia" w:hAnsi="Arial" w:cs="Arial"/>
          <w:sz w:val="24"/>
          <w:szCs w:val="24"/>
        </w:rPr>
        <w:t xml:space="preserve">based on the </w:t>
      </w:r>
      <w:r w:rsidR="00F81401" w:rsidRPr="00A5667B">
        <w:rPr>
          <w:rFonts w:ascii="Arial" w:hAnsi="Arial" w:cs="Arial"/>
          <w:sz w:val="24"/>
          <w:szCs w:val="24"/>
        </w:rPr>
        <w:t>Keynesian income multiplier (KIM)</w:t>
      </w:r>
      <w:r w:rsidR="00512DE7" w:rsidRPr="00A5667B">
        <w:rPr>
          <w:rFonts w:ascii="Arial" w:hAnsi="Arial" w:cs="Arial"/>
          <w:sz w:val="24"/>
          <w:szCs w:val="24"/>
        </w:rPr>
        <w:t xml:space="preserve"> method, </w:t>
      </w:r>
      <w:proofErr w:type="spellStart"/>
      <w:r w:rsidR="00512DE7" w:rsidRPr="00A5667B">
        <w:rPr>
          <w:rFonts w:ascii="Arial" w:hAnsi="Arial" w:cs="Arial"/>
          <w:sz w:val="24"/>
          <w:szCs w:val="24"/>
        </w:rPr>
        <w:t>leveli</w:t>
      </w:r>
      <w:r w:rsidR="005C3F77">
        <w:rPr>
          <w:rFonts w:ascii="Arial" w:hAnsi="Arial" w:cs="Arial"/>
          <w:sz w:val="24"/>
          <w:szCs w:val="24"/>
        </w:rPr>
        <w:t>s</w:t>
      </w:r>
      <w:r w:rsidR="00512DE7" w:rsidRPr="00A5667B">
        <w:rPr>
          <w:rFonts w:ascii="Arial" w:hAnsi="Arial" w:cs="Arial"/>
          <w:sz w:val="24"/>
          <w:szCs w:val="24"/>
        </w:rPr>
        <w:t>ed</w:t>
      </w:r>
      <w:proofErr w:type="spellEnd"/>
      <w:r w:rsidR="00512DE7" w:rsidRPr="00A5667B">
        <w:rPr>
          <w:rFonts w:ascii="Arial" w:hAnsi="Arial" w:cs="Arial"/>
          <w:sz w:val="24"/>
          <w:szCs w:val="24"/>
        </w:rPr>
        <w:t xml:space="preserve"> cost of energy (LCOE) and involves the use of </w:t>
      </w:r>
      <w:r w:rsidR="00512DE7" w:rsidRPr="00A5667B">
        <w:rPr>
          <w:rFonts w:ascii="Arial" w:eastAsiaTheme="minorEastAsia" w:hAnsi="Arial" w:cs="Arial"/>
          <w:sz w:val="24"/>
          <w:szCs w:val="24"/>
        </w:rPr>
        <w:t>Analytical Hierarchy Process (AHP)</w:t>
      </w:r>
      <w:r w:rsidR="00B30DF7" w:rsidRPr="00A5667B">
        <w:rPr>
          <w:rFonts w:ascii="Arial" w:eastAsiaTheme="minorEastAsia" w:hAnsi="Arial" w:cs="Arial"/>
          <w:sz w:val="24"/>
          <w:szCs w:val="24"/>
        </w:rPr>
        <w:t xml:space="preserve">. </w:t>
      </w:r>
      <w:r w:rsidR="005451E6" w:rsidRPr="00CB4833">
        <w:rPr>
          <w:rFonts w:ascii="Arial" w:hAnsi="Arial" w:cs="Arial"/>
          <w:sz w:val="24"/>
          <w:szCs w:val="24"/>
        </w:rPr>
        <w:t xml:space="preserve">REACT </w:t>
      </w:r>
      <w:r w:rsidR="005451E6" w:rsidRPr="00926ED0">
        <w:rPr>
          <w:rFonts w:ascii="Arial" w:hAnsi="Arial" w:cs="Arial"/>
          <w:sz w:val="24"/>
          <w:szCs w:val="24"/>
        </w:rPr>
        <w:t>(Renewable Energy for self-</w:t>
      </w:r>
      <w:proofErr w:type="spellStart"/>
      <w:r w:rsidR="005451E6" w:rsidRPr="00926ED0">
        <w:rPr>
          <w:rFonts w:ascii="Arial" w:hAnsi="Arial" w:cs="Arial"/>
          <w:sz w:val="24"/>
          <w:szCs w:val="24"/>
        </w:rPr>
        <w:t>sustAinable</w:t>
      </w:r>
      <w:proofErr w:type="spellEnd"/>
      <w:r w:rsidR="005451E6" w:rsidRPr="00926ED0">
        <w:rPr>
          <w:rFonts w:ascii="Arial" w:hAnsi="Arial" w:cs="Arial"/>
          <w:sz w:val="24"/>
          <w:szCs w:val="24"/>
        </w:rPr>
        <w:t xml:space="preserve"> island </w:t>
      </w:r>
      <w:proofErr w:type="spellStart"/>
      <w:r w:rsidR="005451E6" w:rsidRPr="00926ED0">
        <w:rPr>
          <w:rFonts w:ascii="Arial" w:hAnsi="Arial" w:cs="Arial"/>
          <w:sz w:val="24"/>
          <w:szCs w:val="24"/>
        </w:rPr>
        <w:t>CommuniTies</w:t>
      </w:r>
      <w:proofErr w:type="spellEnd"/>
      <w:r w:rsidR="005451E6" w:rsidRPr="00926ED0">
        <w:rPr>
          <w:rFonts w:ascii="Arial" w:hAnsi="Arial" w:cs="Arial"/>
          <w:sz w:val="24"/>
          <w:szCs w:val="24"/>
        </w:rPr>
        <w:t>) is a</w:t>
      </w:r>
      <w:r w:rsidR="00B53C18">
        <w:rPr>
          <w:rFonts w:ascii="Arial" w:hAnsi="Arial" w:cs="Arial"/>
          <w:sz w:val="24"/>
          <w:szCs w:val="24"/>
        </w:rPr>
        <w:t>n</w:t>
      </w:r>
      <w:r w:rsidR="005451E6" w:rsidRPr="00926ED0">
        <w:rPr>
          <w:rFonts w:ascii="Arial" w:hAnsi="Arial" w:cs="Arial"/>
          <w:sz w:val="24"/>
          <w:szCs w:val="24"/>
        </w:rPr>
        <w:t xml:space="preserve"> EU Horizon 2020 research and innovation project investigating the propensity of enabling the </w:t>
      </w:r>
      <w:r w:rsidR="002D5803" w:rsidRPr="00926ED0">
        <w:rPr>
          <w:rFonts w:ascii="Arial" w:hAnsi="Arial" w:cs="Arial"/>
          <w:sz w:val="24"/>
          <w:szCs w:val="24"/>
        </w:rPr>
        <w:t>decarboni</w:t>
      </w:r>
      <w:r w:rsidR="002D5803">
        <w:rPr>
          <w:rFonts w:ascii="Arial" w:hAnsi="Arial" w:cs="Arial"/>
          <w:sz w:val="24"/>
          <w:szCs w:val="24"/>
        </w:rPr>
        <w:t>s</w:t>
      </w:r>
      <w:r w:rsidR="002D5803" w:rsidRPr="00926ED0">
        <w:rPr>
          <w:rFonts w:ascii="Arial" w:hAnsi="Arial" w:cs="Arial"/>
          <w:sz w:val="24"/>
          <w:szCs w:val="24"/>
        </w:rPr>
        <w:t xml:space="preserve">ation </w:t>
      </w:r>
      <w:r w:rsidR="005451E6" w:rsidRPr="00926ED0">
        <w:rPr>
          <w:rFonts w:ascii="Arial" w:hAnsi="Arial" w:cs="Arial"/>
          <w:sz w:val="24"/>
          <w:szCs w:val="24"/>
        </w:rPr>
        <w:t xml:space="preserve">and 100% energy autonomy of geographical islands’ energy systems transitioning from a conventional fossil fuel-based island generation system </w:t>
      </w:r>
      <w:r w:rsidR="002D5803">
        <w:rPr>
          <w:rFonts w:ascii="Arial" w:hAnsi="Arial" w:cs="Arial"/>
          <w:sz w:val="24"/>
          <w:szCs w:val="24"/>
        </w:rPr>
        <w:t>(</w:t>
      </w:r>
      <w:r w:rsidR="005451E6" w:rsidRPr="00926ED0">
        <w:rPr>
          <w:rFonts w:ascii="Arial" w:hAnsi="Arial" w:cs="Arial"/>
          <w:sz w:val="24"/>
          <w:szCs w:val="24"/>
        </w:rPr>
        <w:t>without information and communication technology interventions</w:t>
      </w:r>
      <w:r w:rsidR="002D5803">
        <w:rPr>
          <w:rFonts w:ascii="Arial" w:hAnsi="Arial" w:cs="Arial"/>
          <w:sz w:val="24"/>
          <w:szCs w:val="24"/>
        </w:rPr>
        <w:t>)</w:t>
      </w:r>
      <w:r w:rsidR="005451E6" w:rsidRPr="00926ED0">
        <w:rPr>
          <w:rFonts w:ascii="Arial" w:hAnsi="Arial" w:cs="Arial"/>
          <w:sz w:val="24"/>
          <w:szCs w:val="24"/>
        </w:rPr>
        <w:t xml:space="preserve"> to an autonomous energy system based on RES, storage, intelligent monitoring techniques and advanced energy management measures.</w:t>
      </w:r>
      <w:r w:rsidR="005451E6">
        <w:rPr>
          <w:rFonts w:ascii="Arial" w:hAnsi="Arial" w:cs="Arial"/>
          <w:sz w:val="24"/>
          <w:szCs w:val="24"/>
        </w:rPr>
        <w:t xml:space="preserve"> </w:t>
      </w:r>
      <w:r w:rsidR="003427E9">
        <w:rPr>
          <w:rFonts w:ascii="Arial" w:hAnsi="Arial" w:cs="Arial"/>
          <w:sz w:val="24"/>
          <w:szCs w:val="24"/>
        </w:rPr>
        <w:t xml:space="preserve">Out of the </w:t>
      </w:r>
      <w:r w:rsidR="00FA6D82">
        <w:rPr>
          <w:rFonts w:ascii="Arial" w:hAnsi="Arial" w:cs="Arial"/>
          <w:sz w:val="24"/>
          <w:szCs w:val="24"/>
        </w:rPr>
        <w:t>e</w:t>
      </w:r>
      <w:r w:rsidR="00763130" w:rsidRPr="00A5667B">
        <w:rPr>
          <w:rFonts w:ascii="Arial" w:hAnsi="Arial" w:cs="Arial"/>
          <w:sz w:val="24"/>
          <w:szCs w:val="24"/>
        </w:rPr>
        <w:t>ight geographical islands of different sizes</w:t>
      </w:r>
      <w:r w:rsidR="005250F1" w:rsidRPr="00926ED0">
        <w:rPr>
          <w:rFonts w:ascii="Arial" w:hAnsi="Arial" w:cs="Arial"/>
          <w:sz w:val="24"/>
          <w:szCs w:val="24"/>
        </w:rPr>
        <w:t xml:space="preserve"> focussed</w:t>
      </w:r>
      <w:r w:rsidR="003E6B8E">
        <w:rPr>
          <w:rFonts w:ascii="Arial" w:hAnsi="Arial" w:cs="Arial"/>
          <w:sz w:val="24"/>
          <w:szCs w:val="24"/>
        </w:rPr>
        <w:t xml:space="preserve"> </w:t>
      </w:r>
      <w:r w:rsidR="00892BEF">
        <w:rPr>
          <w:rFonts w:ascii="Arial" w:hAnsi="Arial" w:cs="Arial"/>
          <w:sz w:val="24"/>
          <w:szCs w:val="24"/>
        </w:rPr>
        <w:t xml:space="preserve">on </w:t>
      </w:r>
      <w:r w:rsidR="00892BEF" w:rsidRPr="00926ED0">
        <w:rPr>
          <w:rFonts w:ascii="Arial" w:hAnsi="Arial" w:cs="Arial"/>
          <w:sz w:val="24"/>
          <w:szCs w:val="24"/>
        </w:rPr>
        <w:t>in</w:t>
      </w:r>
      <w:r w:rsidR="005250F1" w:rsidRPr="00926ED0">
        <w:rPr>
          <w:rFonts w:ascii="Arial" w:hAnsi="Arial" w:cs="Arial"/>
          <w:sz w:val="24"/>
          <w:szCs w:val="24"/>
        </w:rPr>
        <w:t xml:space="preserve"> REACT</w:t>
      </w:r>
      <w:r w:rsidR="00A713C7">
        <w:rPr>
          <w:rFonts w:ascii="Arial" w:hAnsi="Arial" w:cs="Arial"/>
          <w:sz w:val="24"/>
          <w:szCs w:val="24"/>
        </w:rPr>
        <w:t xml:space="preserve">, two islands </w:t>
      </w:r>
      <w:r w:rsidR="00BF302D" w:rsidRPr="00A5667B">
        <w:rPr>
          <w:rFonts w:ascii="Arial" w:hAnsi="Arial" w:cs="Arial"/>
          <w:sz w:val="24"/>
          <w:szCs w:val="24"/>
        </w:rPr>
        <w:t xml:space="preserve">have been used as case studies </w:t>
      </w:r>
      <w:r w:rsidR="003004F3" w:rsidRPr="00A5667B">
        <w:rPr>
          <w:rFonts w:ascii="Arial" w:hAnsi="Arial" w:cs="Arial"/>
          <w:sz w:val="24"/>
          <w:szCs w:val="24"/>
        </w:rPr>
        <w:t>to demonstrate the utility of the proposed approach.</w:t>
      </w:r>
      <w:r w:rsidR="00E443CC" w:rsidRPr="00A5667B">
        <w:rPr>
          <w:rFonts w:ascii="Arial" w:hAnsi="Arial" w:cs="Arial"/>
          <w:sz w:val="24"/>
          <w:szCs w:val="24"/>
        </w:rPr>
        <w:t xml:space="preserve"> </w:t>
      </w:r>
      <w:r w:rsidR="00394250">
        <w:rPr>
          <w:rFonts w:ascii="Arial" w:hAnsi="Arial" w:cs="Arial"/>
          <w:sz w:val="24"/>
          <w:szCs w:val="24"/>
        </w:rPr>
        <w:t xml:space="preserve">The islands </w:t>
      </w:r>
      <w:r w:rsidR="00DC7E57">
        <w:rPr>
          <w:rFonts w:ascii="Arial" w:hAnsi="Arial" w:cs="Arial"/>
          <w:sz w:val="24"/>
          <w:szCs w:val="24"/>
        </w:rPr>
        <w:t>are</w:t>
      </w:r>
      <w:r w:rsidR="00394250">
        <w:rPr>
          <w:rFonts w:ascii="Arial" w:hAnsi="Arial" w:cs="Arial"/>
          <w:sz w:val="24"/>
          <w:szCs w:val="24"/>
        </w:rPr>
        <w:t xml:space="preserve"> </w:t>
      </w:r>
      <w:r w:rsidR="00E443CC" w:rsidRPr="00A5667B">
        <w:rPr>
          <w:rFonts w:ascii="Arial" w:hAnsi="Arial" w:cs="Arial"/>
          <w:sz w:val="24"/>
          <w:szCs w:val="24"/>
        </w:rPr>
        <w:t xml:space="preserve">La Graciosa, </w:t>
      </w:r>
      <w:r w:rsidR="00BB6CE4" w:rsidRPr="00A5667B">
        <w:rPr>
          <w:rFonts w:ascii="Arial" w:hAnsi="Arial" w:cs="Arial"/>
          <w:sz w:val="24"/>
          <w:szCs w:val="24"/>
        </w:rPr>
        <w:t xml:space="preserve">Canary Islands, </w:t>
      </w:r>
      <w:r w:rsidR="003C2D90" w:rsidRPr="00A5667B">
        <w:rPr>
          <w:rFonts w:ascii="Arial" w:hAnsi="Arial" w:cs="Arial"/>
          <w:sz w:val="24"/>
          <w:szCs w:val="24"/>
        </w:rPr>
        <w:t>Spain</w:t>
      </w:r>
      <w:r w:rsidR="003C2D90">
        <w:rPr>
          <w:rFonts w:ascii="Arial" w:hAnsi="Arial" w:cs="Arial"/>
          <w:sz w:val="24"/>
          <w:szCs w:val="24"/>
        </w:rPr>
        <w:t>,</w:t>
      </w:r>
      <w:r w:rsidR="00BB6CE4">
        <w:rPr>
          <w:rFonts w:ascii="Arial" w:hAnsi="Arial" w:cs="Arial"/>
          <w:sz w:val="24"/>
          <w:szCs w:val="24"/>
        </w:rPr>
        <w:t xml:space="preserve"> </w:t>
      </w:r>
      <w:r w:rsidR="000D1B11">
        <w:rPr>
          <w:rFonts w:ascii="Arial" w:hAnsi="Arial" w:cs="Arial"/>
          <w:sz w:val="24"/>
          <w:szCs w:val="24"/>
        </w:rPr>
        <w:t xml:space="preserve">and </w:t>
      </w:r>
      <w:r w:rsidR="00E443CC" w:rsidRPr="00A5667B">
        <w:rPr>
          <w:rFonts w:ascii="Arial" w:hAnsi="Arial" w:cs="Arial"/>
          <w:sz w:val="24"/>
          <w:szCs w:val="24"/>
        </w:rPr>
        <w:t>Gotland</w:t>
      </w:r>
      <w:r w:rsidR="00584FF1">
        <w:rPr>
          <w:rFonts w:ascii="Arial" w:hAnsi="Arial" w:cs="Arial"/>
          <w:sz w:val="24"/>
          <w:szCs w:val="24"/>
        </w:rPr>
        <w:t xml:space="preserve">, </w:t>
      </w:r>
      <w:r w:rsidR="004D20F8">
        <w:rPr>
          <w:rFonts w:ascii="Arial" w:hAnsi="Arial" w:cs="Arial"/>
          <w:sz w:val="24"/>
          <w:szCs w:val="24"/>
        </w:rPr>
        <w:t>Sweden.</w:t>
      </w:r>
    </w:p>
    <w:p w14:paraId="05F59D68" w14:textId="7D39FCE0" w:rsidR="00682614" w:rsidRPr="00A5667B" w:rsidRDefault="00160981" w:rsidP="00BF0689">
      <w:pPr>
        <w:spacing w:line="360" w:lineRule="auto"/>
        <w:jc w:val="both"/>
        <w:rPr>
          <w:rFonts w:ascii="Arial" w:hAnsi="Arial" w:cs="Arial"/>
        </w:rPr>
      </w:pPr>
      <w:r w:rsidRPr="00A5667B">
        <w:rPr>
          <w:rFonts w:ascii="Arial" w:hAnsi="Arial" w:cs="Arial"/>
          <w:sz w:val="24"/>
          <w:szCs w:val="24"/>
        </w:rPr>
        <w:t>The remainder of the paper is structured as follows; Section</w:t>
      </w:r>
      <w:r w:rsidR="004A5BB7" w:rsidRPr="00A5667B">
        <w:rPr>
          <w:rFonts w:ascii="Arial" w:hAnsi="Arial" w:cs="Arial"/>
          <w:sz w:val="24"/>
          <w:szCs w:val="24"/>
        </w:rPr>
        <w:t xml:space="preserve"> 2 </w:t>
      </w:r>
      <w:r w:rsidRPr="00A5667B">
        <w:rPr>
          <w:rFonts w:ascii="Arial" w:hAnsi="Arial" w:cs="Arial"/>
          <w:sz w:val="24"/>
          <w:szCs w:val="24"/>
        </w:rPr>
        <w:t>review</w:t>
      </w:r>
      <w:r w:rsidR="006B57E5" w:rsidRPr="00A5667B">
        <w:rPr>
          <w:rFonts w:ascii="Arial" w:hAnsi="Arial" w:cs="Arial"/>
          <w:sz w:val="24"/>
          <w:szCs w:val="24"/>
        </w:rPr>
        <w:t>s</w:t>
      </w:r>
      <w:r w:rsidRPr="00A5667B">
        <w:rPr>
          <w:rFonts w:ascii="Arial" w:hAnsi="Arial" w:cs="Arial"/>
          <w:sz w:val="24"/>
          <w:szCs w:val="24"/>
        </w:rPr>
        <w:t xml:space="preserve"> the common approaches to socio-economic impact assessment</w:t>
      </w:r>
      <w:r w:rsidR="002163EC" w:rsidRPr="00A5667B">
        <w:rPr>
          <w:rFonts w:ascii="Arial" w:hAnsi="Arial" w:cs="Arial"/>
          <w:sz w:val="24"/>
          <w:szCs w:val="24"/>
        </w:rPr>
        <w:t xml:space="preserve"> and introduces</w:t>
      </w:r>
      <w:r w:rsidR="0097052B" w:rsidRPr="00A5667B">
        <w:rPr>
          <w:rFonts w:ascii="Arial" w:hAnsi="Arial" w:cs="Arial"/>
          <w:sz w:val="24"/>
          <w:szCs w:val="24"/>
        </w:rPr>
        <w:t xml:space="preserve"> </w:t>
      </w:r>
      <w:r w:rsidR="002163EC" w:rsidRPr="00A5667B">
        <w:rPr>
          <w:rFonts w:ascii="Arial" w:hAnsi="Arial" w:cs="Arial"/>
          <w:sz w:val="24"/>
          <w:szCs w:val="24"/>
        </w:rPr>
        <w:t>KIM</w:t>
      </w:r>
      <w:r w:rsidR="0097052B" w:rsidRPr="00A5667B">
        <w:rPr>
          <w:rFonts w:ascii="Arial" w:hAnsi="Arial" w:cs="Arial"/>
          <w:sz w:val="24"/>
          <w:szCs w:val="24"/>
        </w:rPr>
        <w:t xml:space="preserve"> as an </w:t>
      </w:r>
      <w:r w:rsidR="0097052B" w:rsidRPr="00A5667B">
        <w:rPr>
          <w:rFonts w:ascii="Arial" w:hAnsi="Arial" w:cs="Arial"/>
          <w:sz w:val="24"/>
          <w:szCs w:val="24"/>
        </w:rPr>
        <w:lastRenderedPageBreak/>
        <w:t>economic multiplier</w:t>
      </w:r>
      <w:r w:rsidR="00D77ADB" w:rsidRPr="00A5667B">
        <w:rPr>
          <w:rFonts w:ascii="Arial" w:hAnsi="Arial" w:cs="Arial"/>
          <w:sz w:val="24"/>
          <w:szCs w:val="24"/>
        </w:rPr>
        <w:t xml:space="preserve"> concept based on AHP</w:t>
      </w:r>
      <w:r w:rsidR="00495C80" w:rsidRPr="00A5667B">
        <w:rPr>
          <w:rFonts w:ascii="Arial" w:hAnsi="Arial" w:cs="Arial"/>
          <w:sz w:val="24"/>
          <w:szCs w:val="24"/>
        </w:rPr>
        <w:t xml:space="preserve">. </w:t>
      </w:r>
      <w:r w:rsidRPr="00A5667B">
        <w:rPr>
          <w:rFonts w:ascii="Arial" w:hAnsi="Arial" w:cs="Arial"/>
          <w:sz w:val="24"/>
          <w:szCs w:val="24"/>
        </w:rPr>
        <w:t xml:space="preserve">Section </w:t>
      </w:r>
      <w:r w:rsidR="00495C80" w:rsidRPr="00A5667B">
        <w:rPr>
          <w:rFonts w:ascii="Arial" w:hAnsi="Arial" w:cs="Arial"/>
          <w:sz w:val="24"/>
          <w:szCs w:val="24"/>
        </w:rPr>
        <w:t>3</w:t>
      </w:r>
      <w:r w:rsidRPr="00A5667B">
        <w:rPr>
          <w:rFonts w:ascii="Arial" w:hAnsi="Arial" w:cs="Arial"/>
          <w:sz w:val="24"/>
          <w:szCs w:val="24"/>
        </w:rPr>
        <w:t xml:space="preserve"> describes the </w:t>
      </w:r>
      <w:r w:rsidR="00306B76" w:rsidRPr="00A5667B">
        <w:rPr>
          <w:rFonts w:ascii="Arial" w:hAnsi="Arial" w:cs="Arial"/>
          <w:sz w:val="24"/>
          <w:szCs w:val="24"/>
        </w:rPr>
        <w:t>case study</w:t>
      </w:r>
      <w:r w:rsidRPr="00A5667B">
        <w:rPr>
          <w:rFonts w:ascii="Arial" w:hAnsi="Arial" w:cs="Arial"/>
          <w:sz w:val="24"/>
          <w:szCs w:val="24"/>
        </w:rPr>
        <w:t xml:space="preserve"> </w:t>
      </w:r>
      <w:r w:rsidR="00306B76" w:rsidRPr="00A5667B">
        <w:rPr>
          <w:rFonts w:ascii="Arial" w:hAnsi="Arial" w:cs="Arial"/>
          <w:sz w:val="24"/>
          <w:szCs w:val="24"/>
        </w:rPr>
        <w:t xml:space="preserve">islands and their </w:t>
      </w:r>
      <w:r w:rsidR="007147B5" w:rsidRPr="00A5667B">
        <w:rPr>
          <w:rFonts w:ascii="Arial" w:hAnsi="Arial" w:cs="Arial"/>
          <w:sz w:val="24"/>
          <w:szCs w:val="24"/>
        </w:rPr>
        <w:t xml:space="preserve">energy </w:t>
      </w:r>
      <w:r w:rsidRPr="00A5667B">
        <w:rPr>
          <w:rFonts w:ascii="Arial" w:hAnsi="Arial" w:cs="Arial"/>
          <w:sz w:val="24"/>
          <w:szCs w:val="24"/>
        </w:rPr>
        <w:t xml:space="preserve">scenarios </w:t>
      </w:r>
      <w:r w:rsidR="007147B5" w:rsidRPr="00A5667B">
        <w:rPr>
          <w:rFonts w:ascii="Arial" w:hAnsi="Arial" w:cs="Arial"/>
          <w:sz w:val="24"/>
          <w:szCs w:val="24"/>
        </w:rPr>
        <w:t xml:space="preserve">based on previous </w:t>
      </w:r>
      <w:r w:rsidR="004F39E9" w:rsidRPr="00A5667B">
        <w:rPr>
          <w:rFonts w:ascii="Arial" w:hAnsi="Arial" w:cs="Arial"/>
          <w:sz w:val="24"/>
          <w:szCs w:val="24"/>
        </w:rPr>
        <w:t>research</w:t>
      </w:r>
      <w:r w:rsidRPr="00A5667B">
        <w:rPr>
          <w:rFonts w:ascii="Arial" w:hAnsi="Arial" w:cs="Arial"/>
          <w:sz w:val="24"/>
          <w:szCs w:val="24"/>
        </w:rPr>
        <w:t xml:space="preserve">. </w:t>
      </w:r>
      <w:r w:rsidR="00703441" w:rsidRPr="00A5667B">
        <w:rPr>
          <w:rFonts w:ascii="Arial" w:hAnsi="Arial" w:cs="Arial"/>
          <w:sz w:val="24"/>
          <w:szCs w:val="24"/>
        </w:rPr>
        <w:t xml:space="preserve">In </w:t>
      </w:r>
      <w:r w:rsidRPr="00A5667B">
        <w:rPr>
          <w:rFonts w:ascii="Arial" w:hAnsi="Arial" w:cs="Arial"/>
          <w:sz w:val="24"/>
          <w:szCs w:val="24"/>
        </w:rPr>
        <w:t xml:space="preserve">Section </w:t>
      </w:r>
      <w:r w:rsidR="002A6849" w:rsidRPr="00A5667B">
        <w:rPr>
          <w:rFonts w:ascii="Arial" w:hAnsi="Arial" w:cs="Arial"/>
          <w:sz w:val="24"/>
          <w:szCs w:val="24"/>
        </w:rPr>
        <w:t>4</w:t>
      </w:r>
      <w:r w:rsidR="00703441" w:rsidRPr="00A5667B">
        <w:rPr>
          <w:rFonts w:ascii="Arial" w:hAnsi="Arial" w:cs="Arial"/>
          <w:sz w:val="24"/>
          <w:szCs w:val="24"/>
        </w:rPr>
        <w:t>, we discuss</w:t>
      </w:r>
      <w:r w:rsidRPr="00A5667B">
        <w:rPr>
          <w:rFonts w:ascii="Arial" w:hAnsi="Arial" w:cs="Arial"/>
          <w:sz w:val="24"/>
          <w:szCs w:val="24"/>
        </w:rPr>
        <w:t xml:space="preserve"> the </w:t>
      </w:r>
      <w:r w:rsidR="004A5C4C" w:rsidRPr="00A5667B">
        <w:rPr>
          <w:rFonts w:ascii="Arial" w:hAnsi="Arial" w:cs="Arial"/>
          <w:sz w:val="24"/>
          <w:szCs w:val="24"/>
        </w:rPr>
        <w:t>proposed approach for the socio-economic impact analysis</w:t>
      </w:r>
      <w:r w:rsidRPr="00A5667B">
        <w:rPr>
          <w:rFonts w:ascii="Arial" w:hAnsi="Arial" w:cs="Arial"/>
          <w:sz w:val="24"/>
          <w:szCs w:val="24"/>
        </w:rPr>
        <w:t xml:space="preserve">, </w:t>
      </w:r>
      <w:r w:rsidR="002A6849" w:rsidRPr="00A5667B">
        <w:rPr>
          <w:rFonts w:ascii="Arial" w:hAnsi="Arial" w:cs="Arial"/>
          <w:sz w:val="24"/>
          <w:szCs w:val="24"/>
        </w:rPr>
        <w:t xml:space="preserve">while </w:t>
      </w:r>
      <w:r w:rsidRPr="00A5667B">
        <w:rPr>
          <w:rFonts w:ascii="Arial" w:hAnsi="Arial" w:cs="Arial"/>
          <w:sz w:val="24"/>
          <w:szCs w:val="24"/>
        </w:rPr>
        <w:t xml:space="preserve">results and discussions are presented in Section </w:t>
      </w:r>
      <w:r w:rsidR="002A6849" w:rsidRPr="00A5667B">
        <w:rPr>
          <w:rFonts w:ascii="Arial" w:hAnsi="Arial" w:cs="Arial"/>
          <w:sz w:val="24"/>
          <w:szCs w:val="24"/>
        </w:rPr>
        <w:t>5</w:t>
      </w:r>
      <w:r w:rsidRPr="00A5667B">
        <w:rPr>
          <w:rFonts w:ascii="Arial" w:hAnsi="Arial" w:cs="Arial"/>
          <w:sz w:val="24"/>
          <w:szCs w:val="24"/>
        </w:rPr>
        <w:t xml:space="preserve">. </w:t>
      </w:r>
      <w:r w:rsidR="00703441" w:rsidRPr="00A5667B">
        <w:rPr>
          <w:rFonts w:ascii="Arial" w:hAnsi="Arial" w:cs="Arial"/>
          <w:sz w:val="24"/>
          <w:szCs w:val="24"/>
        </w:rPr>
        <w:t>F</w:t>
      </w:r>
      <w:r w:rsidRPr="00A5667B">
        <w:rPr>
          <w:rFonts w:ascii="Arial" w:hAnsi="Arial" w:cs="Arial"/>
          <w:sz w:val="24"/>
          <w:szCs w:val="24"/>
        </w:rPr>
        <w:t>inally, conclusion</w:t>
      </w:r>
      <w:r w:rsidR="00CE7463">
        <w:rPr>
          <w:rFonts w:ascii="Arial" w:hAnsi="Arial" w:cs="Arial"/>
          <w:sz w:val="24"/>
          <w:szCs w:val="24"/>
        </w:rPr>
        <w:t>s</w:t>
      </w:r>
      <w:r w:rsidRPr="00A5667B">
        <w:rPr>
          <w:rFonts w:ascii="Arial" w:hAnsi="Arial" w:cs="Arial"/>
          <w:sz w:val="24"/>
          <w:szCs w:val="24"/>
        </w:rPr>
        <w:t xml:space="preserve"> </w:t>
      </w:r>
      <w:r w:rsidR="00CE7463">
        <w:rPr>
          <w:rFonts w:ascii="Arial" w:hAnsi="Arial" w:cs="Arial"/>
          <w:sz w:val="24"/>
          <w:szCs w:val="24"/>
        </w:rPr>
        <w:t>are</w:t>
      </w:r>
      <w:r w:rsidRPr="00A5667B">
        <w:rPr>
          <w:rFonts w:ascii="Arial" w:hAnsi="Arial" w:cs="Arial"/>
          <w:sz w:val="24"/>
          <w:szCs w:val="24"/>
        </w:rPr>
        <w:t xml:space="preserve"> drawn in Section </w:t>
      </w:r>
      <w:r w:rsidR="00C33CA4" w:rsidRPr="00A921EE">
        <w:rPr>
          <w:rFonts w:ascii="Arial" w:hAnsi="Arial" w:cs="Arial"/>
          <w:sz w:val="24"/>
          <w:szCs w:val="24"/>
        </w:rPr>
        <w:t>6</w:t>
      </w:r>
      <w:r w:rsidRPr="00A921EE">
        <w:rPr>
          <w:rFonts w:ascii="Arial" w:hAnsi="Arial" w:cs="Arial"/>
          <w:sz w:val="24"/>
          <w:szCs w:val="24"/>
        </w:rPr>
        <w:t>.</w:t>
      </w:r>
      <w:r w:rsidRPr="00A5667B">
        <w:rPr>
          <w:rFonts w:ascii="Arial" w:hAnsi="Arial" w:cs="Arial"/>
        </w:rPr>
        <w:t xml:space="preserve"> </w:t>
      </w:r>
    </w:p>
    <w:p w14:paraId="4CB8B987" w14:textId="1AD0FB2F" w:rsidR="00682614" w:rsidRPr="000514E3" w:rsidRDefault="008D716D" w:rsidP="0038797C">
      <w:pPr>
        <w:pStyle w:val="Heading1"/>
        <w:numPr>
          <w:ilvl w:val="0"/>
          <w:numId w:val="17"/>
        </w:numPr>
        <w:rPr>
          <w:rFonts w:ascii="Arial" w:hAnsi="Arial" w:cs="Arial"/>
          <w:sz w:val="24"/>
          <w:szCs w:val="24"/>
        </w:rPr>
      </w:pPr>
      <w:r w:rsidRPr="000514E3">
        <w:rPr>
          <w:rFonts w:ascii="Arial" w:hAnsi="Arial" w:cs="Arial"/>
          <w:sz w:val="24"/>
          <w:szCs w:val="24"/>
        </w:rPr>
        <w:t xml:space="preserve">EMPIRICAL </w:t>
      </w:r>
      <w:r w:rsidR="00682614" w:rsidRPr="000514E3">
        <w:rPr>
          <w:rFonts w:ascii="Arial" w:hAnsi="Arial" w:cs="Arial"/>
          <w:sz w:val="24"/>
          <w:szCs w:val="24"/>
        </w:rPr>
        <w:t>SOCIO-ECONOMIC IMPACT ASSESSMENT</w:t>
      </w:r>
    </w:p>
    <w:p w14:paraId="65B24A54" w14:textId="5A072F47" w:rsidR="00682614" w:rsidRPr="0015539B" w:rsidRDefault="00233B20" w:rsidP="00BF0689">
      <w:pPr>
        <w:spacing w:line="360" w:lineRule="auto"/>
        <w:jc w:val="both"/>
        <w:rPr>
          <w:rFonts w:ascii="Arial" w:hAnsi="Arial" w:cs="Arial"/>
          <w:color w:val="FF0000"/>
          <w:sz w:val="24"/>
          <w:szCs w:val="24"/>
        </w:rPr>
      </w:pPr>
      <w:r>
        <w:rPr>
          <w:rFonts w:ascii="Arial" w:hAnsi="Arial" w:cs="Arial"/>
          <w:sz w:val="24"/>
          <w:szCs w:val="24"/>
        </w:rPr>
        <w:t xml:space="preserve">Investment in any project involves high costs, therefore, an overall economic impact assessment is required to ascertain a balance of capital investment in its economic gain. </w:t>
      </w:r>
      <w:r w:rsidR="00682614" w:rsidRPr="00A5667B">
        <w:rPr>
          <w:rFonts w:ascii="Arial" w:hAnsi="Arial" w:cs="Arial"/>
          <w:sz w:val="24"/>
          <w:szCs w:val="24"/>
        </w:rPr>
        <w:t>For a project’s continuous improvement, there is a critical need to measure its economic impact on the geographical region because it links performance to t</w:t>
      </w:r>
      <w:r w:rsidR="00682614" w:rsidRPr="00CD5B8C">
        <w:rPr>
          <w:rFonts w:ascii="Arial" w:hAnsi="Arial" w:cs="Arial"/>
          <w:sz w:val="24"/>
          <w:szCs w:val="24"/>
        </w:rPr>
        <w:t>he principles of sustainability</w:t>
      </w:r>
      <w:r w:rsidR="009636ED">
        <w:rPr>
          <w:rFonts w:ascii="Arial" w:hAnsi="Arial" w:cs="Arial"/>
          <w:sz w:val="24"/>
          <w:szCs w:val="24"/>
        </w:rPr>
        <w:t xml:space="preserve"> [1</w:t>
      </w:r>
      <w:r>
        <w:rPr>
          <w:rFonts w:ascii="Arial" w:hAnsi="Arial" w:cs="Arial"/>
          <w:sz w:val="24"/>
          <w:szCs w:val="24"/>
        </w:rPr>
        <w:t>7</w:t>
      </w:r>
      <w:r w:rsidR="009636ED">
        <w:rPr>
          <w:rFonts w:ascii="Arial" w:hAnsi="Arial" w:cs="Arial"/>
          <w:sz w:val="24"/>
          <w:szCs w:val="24"/>
        </w:rPr>
        <w:t>]</w:t>
      </w:r>
      <w:r w:rsidR="00301A1E">
        <w:rPr>
          <w:rFonts w:ascii="Arial" w:hAnsi="Arial" w:cs="Arial"/>
          <w:sz w:val="24"/>
          <w:szCs w:val="24"/>
        </w:rPr>
        <w:t>.</w:t>
      </w:r>
      <w:r w:rsidR="00CD5B8C" w:rsidRPr="009636ED">
        <w:rPr>
          <w:rFonts w:ascii="Arial" w:hAnsi="Arial" w:cs="Arial"/>
          <w:color w:val="FF0000"/>
          <w:sz w:val="24"/>
          <w:szCs w:val="24"/>
        </w:rPr>
        <w:t xml:space="preserve"> </w:t>
      </w:r>
      <w:r w:rsidR="00682614" w:rsidRPr="00A5667B">
        <w:rPr>
          <w:rFonts w:ascii="Arial" w:hAnsi="Arial" w:cs="Arial"/>
          <w:sz w:val="24"/>
          <w:szCs w:val="24"/>
        </w:rPr>
        <w:t xml:space="preserve">The assessment of economic impact is an intrinsically complex multi-dimensional process </w:t>
      </w:r>
      <w:r w:rsidR="00CF4783" w:rsidRPr="00A5667B">
        <w:rPr>
          <w:rFonts w:ascii="Arial" w:hAnsi="Arial" w:cs="Arial"/>
          <w:sz w:val="24"/>
          <w:szCs w:val="24"/>
        </w:rPr>
        <w:t xml:space="preserve">that </w:t>
      </w:r>
      <w:r w:rsidR="00682614" w:rsidRPr="00A5667B">
        <w:rPr>
          <w:rFonts w:ascii="Arial" w:hAnsi="Arial" w:cs="Arial"/>
          <w:sz w:val="24"/>
          <w:szCs w:val="24"/>
        </w:rPr>
        <w:t xml:space="preserve">is usually challenging as its sustainability </w:t>
      </w:r>
      <w:r w:rsidR="00E140CC">
        <w:rPr>
          <w:rFonts w:ascii="Arial" w:hAnsi="Arial" w:cs="Arial"/>
          <w:sz w:val="24"/>
          <w:szCs w:val="24"/>
        </w:rPr>
        <w:t>impacts</w:t>
      </w:r>
      <w:r w:rsidR="00682614" w:rsidRPr="00A5667B">
        <w:rPr>
          <w:rFonts w:ascii="Arial" w:hAnsi="Arial" w:cs="Arial"/>
          <w:sz w:val="24"/>
          <w:szCs w:val="24"/>
        </w:rPr>
        <w:t xml:space="preserve"> are often seen as intangible and </w:t>
      </w:r>
      <w:r w:rsidR="00CF4783" w:rsidRPr="0015539B">
        <w:rPr>
          <w:rFonts w:ascii="Arial" w:hAnsi="Arial" w:cs="Arial"/>
          <w:sz w:val="24"/>
          <w:szCs w:val="24"/>
        </w:rPr>
        <w:t xml:space="preserve">somewhat </w:t>
      </w:r>
      <w:r w:rsidR="00682614" w:rsidRPr="0015539B">
        <w:rPr>
          <w:rFonts w:ascii="Arial" w:hAnsi="Arial" w:cs="Arial"/>
          <w:sz w:val="24"/>
          <w:szCs w:val="24"/>
        </w:rPr>
        <w:t xml:space="preserve">difficult to measure but must be integrated into crucial decision making.  </w:t>
      </w:r>
      <w:r w:rsidR="000D04B2">
        <w:rPr>
          <w:rFonts w:ascii="Arial" w:hAnsi="Arial" w:cs="Arial"/>
          <w:sz w:val="24"/>
          <w:szCs w:val="24"/>
        </w:rPr>
        <w:t>E</w:t>
      </w:r>
      <w:r w:rsidR="00682614" w:rsidRPr="0015539B">
        <w:rPr>
          <w:rFonts w:ascii="Arial" w:hAnsi="Arial" w:cs="Arial"/>
          <w:sz w:val="24"/>
          <w:szCs w:val="24"/>
        </w:rPr>
        <w:t xml:space="preserve">conomic impact analysis is an inexact process because at different points in the analysis, different procedures are deployed, and underlying assumptions </w:t>
      </w:r>
      <w:r w:rsidR="00365CA3" w:rsidRPr="0015539B">
        <w:rPr>
          <w:rFonts w:ascii="Arial" w:hAnsi="Arial" w:cs="Arial"/>
          <w:sz w:val="24"/>
          <w:szCs w:val="24"/>
        </w:rPr>
        <w:t xml:space="preserve">are </w:t>
      </w:r>
      <w:r w:rsidR="00682614" w:rsidRPr="0015539B">
        <w:rPr>
          <w:rFonts w:ascii="Arial" w:hAnsi="Arial" w:cs="Arial"/>
          <w:sz w:val="24"/>
          <w:szCs w:val="24"/>
        </w:rPr>
        <w:t xml:space="preserve">made that can substantially affect the result. </w:t>
      </w:r>
    </w:p>
    <w:p w14:paraId="3C6EB50B" w14:textId="31DEBA3E" w:rsidR="00590B97" w:rsidRPr="00A5667B" w:rsidRDefault="00590B97" w:rsidP="00BF0689">
      <w:pPr>
        <w:spacing w:line="360" w:lineRule="auto"/>
        <w:jc w:val="both"/>
        <w:rPr>
          <w:rFonts w:ascii="Arial" w:hAnsi="Arial" w:cs="Arial"/>
          <w:sz w:val="24"/>
          <w:szCs w:val="24"/>
        </w:rPr>
      </w:pPr>
      <w:r w:rsidRPr="00A5667B">
        <w:rPr>
          <w:rFonts w:ascii="Arial" w:hAnsi="Arial" w:cs="Arial"/>
          <w:sz w:val="24"/>
          <w:szCs w:val="24"/>
        </w:rPr>
        <w:t xml:space="preserve">In measuring </w:t>
      </w:r>
      <w:r w:rsidR="00BC55A3" w:rsidRPr="00A5667B">
        <w:rPr>
          <w:rFonts w:ascii="Arial" w:hAnsi="Arial" w:cs="Arial"/>
          <w:sz w:val="24"/>
          <w:szCs w:val="24"/>
        </w:rPr>
        <w:t>the local economic impacts of community energy projects, it is import</w:t>
      </w:r>
      <w:r w:rsidR="00A85204" w:rsidRPr="00A5667B">
        <w:rPr>
          <w:rFonts w:ascii="Arial" w:hAnsi="Arial" w:cs="Arial"/>
          <w:sz w:val="24"/>
          <w:szCs w:val="24"/>
        </w:rPr>
        <w:t>ant</w:t>
      </w:r>
      <w:r w:rsidR="00BC55A3" w:rsidRPr="00A5667B">
        <w:rPr>
          <w:rFonts w:ascii="Arial" w:hAnsi="Arial" w:cs="Arial"/>
          <w:sz w:val="24"/>
          <w:szCs w:val="24"/>
        </w:rPr>
        <w:t xml:space="preserve"> to distinguish </w:t>
      </w:r>
      <w:r w:rsidR="00830533" w:rsidRPr="00A5667B">
        <w:rPr>
          <w:rFonts w:ascii="Arial" w:hAnsi="Arial" w:cs="Arial"/>
          <w:sz w:val="24"/>
          <w:szCs w:val="24"/>
        </w:rPr>
        <w:t>between direct</w:t>
      </w:r>
      <w:r w:rsidR="00B000BC" w:rsidRPr="00A5667B">
        <w:rPr>
          <w:rFonts w:ascii="Arial" w:hAnsi="Arial" w:cs="Arial"/>
          <w:sz w:val="24"/>
          <w:szCs w:val="24"/>
        </w:rPr>
        <w:t xml:space="preserve"> </w:t>
      </w:r>
      <w:r w:rsidR="00490E7A" w:rsidRPr="00A5667B">
        <w:rPr>
          <w:rFonts w:ascii="Arial" w:hAnsi="Arial" w:cs="Arial"/>
          <w:sz w:val="24"/>
          <w:szCs w:val="24"/>
        </w:rPr>
        <w:t xml:space="preserve">and indirect </w:t>
      </w:r>
      <w:r w:rsidR="00B000BC" w:rsidRPr="00A5667B">
        <w:rPr>
          <w:rFonts w:ascii="Arial" w:hAnsi="Arial" w:cs="Arial"/>
          <w:sz w:val="24"/>
          <w:szCs w:val="24"/>
        </w:rPr>
        <w:t>effects</w:t>
      </w:r>
      <w:r w:rsidR="00490E7A" w:rsidRPr="00A5667B">
        <w:rPr>
          <w:rFonts w:ascii="Arial" w:hAnsi="Arial" w:cs="Arial"/>
          <w:sz w:val="24"/>
          <w:szCs w:val="24"/>
        </w:rPr>
        <w:t xml:space="preserve">. Direct effects </w:t>
      </w:r>
      <w:r w:rsidR="00AA2C94" w:rsidRPr="00A5667B">
        <w:rPr>
          <w:rFonts w:ascii="Arial" w:hAnsi="Arial" w:cs="Arial"/>
          <w:sz w:val="24"/>
          <w:szCs w:val="24"/>
        </w:rPr>
        <w:t>are the employment opportunities created f</w:t>
      </w:r>
      <w:r w:rsidR="009E040C" w:rsidRPr="00A5667B">
        <w:rPr>
          <w:rFonts w:ascii="Arial" w:hAnsi="Arial" w:cs="Arial"/>
          <w:sz w:val="24"/>
          <w:szCs w:val="24"/>
        </w:rPr>
        <w:t>or local employees at the RES facilities</w:t>
      </w:r>
      <w:r w:rsidR="00490E7A" w:rsidRPr="00A5667B">
        <w:rPr>
          <w:rFonts w:ascii="Arial" w:hAnsi="Arial" w:cs="Arial"/>
          <w:sz w:val="24"/>
          <w:szCs w:val="24"/>
        </w:rPr>
        <w:t>.</w:t>
      </w:r>
      <w:r w:rsidR="00B000BC" w:rsidRPr="00A5667B">
        <w:rPr>
          <w:rFonts w:ascii="Arial" w:hAnsi="Arial" w:cs="Arial"/>
          <w:sz w:val="24"/>
          <w:szCs w:val="24"/>
        </w:rPr>
        <w:t xml:space="preserve"> </w:t>
      </w:r>
      <w:r w:rsidR="00830533" w:rsidRPr="00A5667B">
        <w:rPr>
          <w:rFonts w:ascii="Arial" w:hAnsi="Arial" w:cs="Arial"/>
          <w:sz w:val="24"/>
          <w:szCs w:val="24"/>
        </w:rPr>
        <w:t xml:space="preserve"> </w:t>
      </w:r>
      <w:r w:rsidR="00490E7A" w:rsidRPr="00A5667B">
        <w:rPr>
          <w:rFonts w:ascii="Arial" w:hAnsi="Arial" w:cs="Arial"/>
          <w:sz w:val="24"/>
          <w:szCs w:val="24"/>
        </w:rPr>
        <w:t>I</w:t>
      </w:r>
      <w:r w:rsidR="008853AE" w:rsidRPr="00A5667B">
        <w:rPr>
          <w:rFonts w:ascii="Arial" w:hAnsi="Arial" w:cs="Arial"/>
          <w:sz w:val="24"/>
          <w:szCs w:val="24"/>
        </w:rPr>
        <w:t>ndirect</w:t>
      </w:r>
      <w:r w:rsidR="00052590" w:rsidRPr="00A5667B">
        <w:rPr>
          <w:rFonts w:ascii="Arial" w:hAnsi="Arial" w:cs="Arial"/>
          <w:sz w:val="24"/>
          <w:szCs w:val="24"/>
        </w:rPr>
        <w:t xml:space="preserve"> effects are </w:t>
      </w:r>
      <w:r w:rsidR="00804B50" w:rsidRPr="00A5667B">
        <w:rPr>
          <w:rFonts w:ascii="Arial" w:hAnsi="Arial" w:cs="Arial"/>
          <w:sz w:val="24"/>
          <w:szCs w:val="24"/>
        </w:rPr>
        <w:t xml:space="preserve">jobs in industries supplying </w:t>
      </w:r>
      <w:r w:rsidR="00F41DE5" w:rsidRPr="00A5667B">
        <w:rPr>
          <w:rFonts w:ascii="Arial" w:hAnsi="Arial" w:cs="Arial"/>
          <w:sz w:val="24"/>
          <w:szCs w:val="24"/>
        </w:rPr>
        <w:t>the RES facilities in the local area</w:t>
      </w:r>
      <w:r w:rsidR="00490E7A" w:rsidRPr="00A5667B">
        <w:rPr>
          <w:rFonts w:ascii="Arial" w:hAnsi="Arial" w:cs="Arial"/>
          <w:sz w:val="24"/>
          <w:szCs w:val="24"/>
        </w:rPr>
        <w:t>. Additionally,</w:t>
      </w:r>
      <w:r w:rsidR="00AA0B73" w:rsidRPr="00A5667B">
        <w:rPr>
          <w:rFonts w:ascii="Arial" w:hAnsi="Arial" w:cs="Arial"/>
          <w:sz w:val="24"/>
          <w:szCs w:val="24"/>
        </w:rPr>
        <w:t xml:space="preserve"> </w:t>
      </w:r>
      <w:r w:rsidR="005A1FBC" w:rsidRPr="00A5667B">
        <w:rPr>
          <w:rFonts w:ascii="Arial" w:hAnsi="Arial" w:cs="Arial"/>
          <w:sz w:val="24"/>
          <w:szCs w:val="24"/>
        </w:rPr>
        <w:t>induced</w:t>
      </w:r>
      <w:r w:rsidR="00830533" w:rsidRPr="00A5667B">
        <w:rPr>
          <w:rFonts w:ascii="Arial" w:hAnsi="Arial" w:cs="Arial"/>
          <w:sz w:val="24"/>
          <w:szCs w:val="24"/>
        </w:rPr>
        <w:t xml:space="preserve"> economic effects </w:t>
      </w:r>
      <w:r w:rsidR="005A1FBC" w:rsidRPr="00A5667B">
        <w:rPr>
          <w:rFonts w:ascii="Arial" w:hAnsi="Arial" w:cs="Arial"/>
          <w:sz w:val="24"/>
          <w:szCs w:val="24"/>
        </w:rPr>
        <w:t>on</w:t>
      </w:r>
      <w:r w:rsidR="00830533" w:rsidRPr="00A5667B">
        <w:rPr>
          <w:rFonts w:ascii="Arial" w:hAnsi="Arial" w:cs="Arial"/>
          <w:sz w:val="24"/>
          <w:szCs w:val="24"/>
        </w:rPr>
        <w:t xml:space="preserve"> the local econom</w:t>
      </w:r>
      <w:r w:rsidR="00A85204" w:rsidRPr="00A5667B">
        <w:rPr>
          <w:rFonts w:ascii="Arial" w:hAnsi="Arial" w:cs="Arial"/>
          <w:sz w:val="24"/>
          <w:szCs w:val="24"/>
        </w:rPr>
        <w:t>y</w:t>
      </w:r>
      <w:r w:rsidR="00AA0B73" w:rsidRPr="00A5667B">
        <w:rPr>
          <w:rFonts w:ascii="Arial" w:hAnsi="Arial" w:cs="Arial"/>
          <w:sz w:val="24"/>
          <w:szCs w:val="24"/>
        </w:rPr>
        <w:t xml:space="preserve"> </w:t>
      </w:r>
      <w:r w:rsidR="005A1FBC" w:rsidRPr="00A5667B">
        <w:rPr>
          <w:rFonts w:ascii="Arial" w:hAnsi="Arial" w:cs="Arial"/>
          <w:sz w:val="24"/>
          <w:szCs w:val="24"/>
        </w:rPr>
        <w:t>can be described as those</w:t>
      </w:r>
      <w:r w:rsidR="00141D95" w:rsidRPr="00A5667B">
        <w:rPr>
          <w:rFonts w:ascii="Arial" w:hAnsi="Arial" w:cs="Arial"/>
          <w:sz w:val="24"/>
          <w:szCs w:val="24"/>
        </w:rPr>
        <w:t xml:space="preserve"> result</w:t>
      </w:r>
      <w:r w:rsidR="005A1FBC" w:rsidRPr="00A5667B">
        <w:rPr>
          <w:rFonts w:ascii="Arial" w:hAnsi="Arial" w:cs="Arial"/>
          <w:sz w:val="24"/>
          <w:szCs w:val="24"/>
        </w:rPr>
        <w:t>ing</w:t>
      </w:r>
      <w:r w:rsidR="00141D95" w:rsidRPr="00A5667B">
        <w:rPr>
          <w:rFonts w:ascii="Arial" w:hAnsi="Arial" w:cs="Arial"/>
          <w:sz w:val="24"/>
          <w:szCs w:val="24"/>
        </w:rPr>
        <w:t xml:space="preserve"> from energy autonomy</w:t>
      </w:r>
      <w:r w:rsidR="005D7A1F" w:rsidRPr="00A5667B">
        <w:rPr>
          <w:rFonts w:ascii="Arial" w:hAnsi="Arial" w:cs="Arial"/>
          <w:sz w:val="24"/>
          <w:szCs w:val="24"/>
        </w:rPr>
        <w:t xml:space="preserve"> and RES energy benefits</w:t>
      </w:r>
      <w:r w:rsidR="00FB492B" w:rsidRPr="00A5667B">
        <w:rPr>
          <w:rFonts w:ascii="Arial" w:hAnsi="Arial" w:cs="Arial"/>
          <w:sz w:val="24"/>
          <w:szCs w:val="24"/>
        </w:rPr>
        <w:t xml:space="preserve"> accru</w:t>
      </w:r>
      <w:r w:rsidR="005A1FBC" w:rsidRPr="00A5667B">
        <w:rPr>
          <w:rFonts w:ascii="Arial" w:hAnsi="Arial" w:cs="Arial"/>
          <w:sz w:val="24"/>
          <w:szCs w:val="24"/>
        </w:rPr>
        <w:t>ing</w:t>
      </w:r>
      <w:r w:rsidR="00FB492B" w:rsidRPr="00A5667B">
        <w:rPr>
          <w:rFonts w:ascii="Arial" w:hAnsi="Arial" w:cs="Arial"/>
          <w:sz w:val="24"/>
          <w:szCs w:val="24"/>
        </w:rPr>
        <w:t xml:space="preserve"> to the island community </w:t>
      </w:r>
      <w:r w:rsidR="005A1FBC" w:rsidRPr="00A5667B">
        <w:rPr>
          <w:rFonts w:ascii="Arial" w:hAnsi="Arial" w:cs="Arial"/>
          <w:sz w:val="24"/>
          <w:szCs w:val="24"/>
        </w:rPr>
        <w:t>through</w:t>
      </w:r>
      <w:r w:rsidR="00663444" w:rsidRPr="00A5667B">
        <w:rPr>
          <w:rFonts w:ascii="Arial" w:hAnsi="Arial" w:cs="Arial"/>
          <w:sz w:val="24"/>
          <w:szCs w:val="24"/>
        </w:rPr>
        <w:t xml:space="preserve"> RES installation</w:t>
      </w:r>
      <w:r w:rsidR="00D06462">
        <w:rPr>
          <w:rFonts w:ascii="Arial" w:hAnsi="Arial" w:cs="Arial"/>
          <w:sz w:val="24"/>
          <w:szCs w:val="24"/>
        </w:rPr>
        <w:t xml:space="preserve"> [1</w:t>
      </w:r>
      <w:r w:rsidR="009636ED">
        <w:rPr>
          <w:rFonts w:ascii="Arial" w:hAnsi="Arial" w:cs="Arial"/>
          <w:sz w:val="24"/>
          <w:szCs w:val="24"/>
        </w:rPr>
        <w:t>8</w:t>
      </w:r>
      <w:r w:rsidR="00C7040F">
        <w:rPr>
          <w:rFonts w:ascii="Arial" w:hAnsi="Arial" w:cs="Arial"/>
          <w:sz w:val="24"/>
          <w:szCs w:val="24"/>
        </w:rPr>
        <w:t xml:space="preserve"> - </w:t>
      </w:r>
      <w:r w:rsidR="009636ED">
        <w:rPr>
          <w:rFonts w:ascii="Arial" w:hAnsi="Arial" w:cs="Arial"/>
          <w:sz w:val="24"/>
          <w:szCs w:val="24"/>
        </w:rPr>
        <w:t>20</w:t>
      </w:r>
      <w:r w:rsidR="00D06462">
        <w:rPr>
          <w:rFonts w:ascii="Arial" w:hAnsi="Arial" w:cs="Arial"/>
          <w:sz w:val="24"/>
          <w:szCs w:val="24"/>
        </w:rPr>
        <w:t>]</w:t>
      </w:r>
      <w:r w:rsidR="00C7040F">
        <w:rPr>
          <w:rFonts w:ascii="Arial" w:hAnsi="Arial" w:cs="Arial"/>
          <w:sz w:val="24"/>
          <w:szCs w:val="24"/>
        </w:rPr>
        <w:t>.</w:t>
      </w:r>
    </w:p>
    <w:p w14:paraId="5F306CF5" w14:textId="682A1045" w:rsidR="00036584" w:rsidRPr="00A5667B" w:rsidRDefault="00F21C92" w:rsidP="00BF0689">
      <w:pPr>
        <w:spacing w:line="360" w:lineRule="auto"/>
        <w:jc w:val="both"/>
        <w:rPr>
          <w:rFonts w:ascii="Arial" w:hAnsi="Arial" w:cs="Arial"/>
          <w:sz w:val="24"/>
          <w:szCs w:val="24"/>
        </w:rPr>
      </w:pPr>
      <w:r w:rsidRPr="00A5667B">
        <w:rPr>
          <w:rFonts w:ascii="Arial" w:hAnsi="Arial" w:cs="Arial"/>
          <w:sz w:val="24"/>
          <w:szCs w:val="24"/>
        </w:rPr>
        <w:t>For th</w:t>
      </w:r>
      <w:r w:rsidR="004C6929" w:rsidRPr="00A5667B">
        <w:rPr>
          <w:rFonts w:ascii="Arial" w:hAnsi="Arial" w:cs="Arial"/>
          <w:sz w:val="24"/>
          <w:szCs w:val="24"/>
        </w:rPr>
        <w:t xml:space="preserve">is </w:t>
      </w:r>
      <w:r w:rsidR="00DD656D">
        <w:rPr>
          <w:rFonts w:ascii="Arial" w:hAnsi="Arial" w:cs="Arial"/>
          <w:sz w:val="24"/>
          <w:szCs w:val="24"/>
        </w:rPr>
        <w:t>research</w:t>
      </w:r>
      <w:r w:rsidR="004C6929" w:rsidRPr="00A5667B">
        <w:rPr>
          <w:rFonts w:ascii="Arial" w:hAnsi="Arial" w:cs="Arial"/>
          <w:sz w:val="24"/>
          <w:szCs w:val="24"/>
        </w:rPr>
        <w:t>, the following assumptions were made for the socio-econ</w:t>
      </w:r>
      <w:r w:rsidR="00036584" w:rsidRPr="00A5667B">
        <w:rPr>
          <w:rFonts w:ascii="Arial" w:hAnsi="Arial" w:cs="Arial"/>
          <w:sz w:val="24"/>
          <w:szCs w:val="24"/>
        </w:rPr>
        <w:t>o</w:t>
      </w:r>
      <w:r w:rsidR="004C6929" w:rsidRPr="00A5667B">
        <w:rPr>
          <w:rFonts w:ascii="Arial" w:hAnsi="Arial" w:cs="Arial"/>
          <w:sz w:val="24"/>
          <w:szCs w:val="24"/>
        </w:rPr>
        <w:t>mic</w:t>
      </w:r>
      <w:r w:rsidR="00036584" w:rsidRPr="00A5667B">
        <w:rPr>
          <w:rFonts w:ascii="Arial" w:hAnsi="Arial" w:cs="Arial"/>
          <w:sz w:val="24"/>
          <w:szCs w:val="24"/>
        </w:rPr>
        <w:t xml:space="preserve"> impact analysis</w:t>
      </w:r>
      <w:r w:rsidR="00490E7A" w:rsidRPr="00A5667B">
        <w:rPr>
          <w:rFonts w:ascii="Arial" w:hAnsi="Arial" w:cs="Arial"/>
          <w:sz w:val="24"/>
          <w:szCs w:val="24"/>
        </w:rPr>
        <w:t>.</w:t>
      </w:r>
    </w:p>
    <w:p w14:paraId="170677B2" w14:textId="101D1CAD" w:rsidR="0024682E" w:rsidRPr="00A5667B" w:rsidRDefault="0024682E" w:rsidP="00BF0689">
      <w:pPr>
        <w:numPr>
          <w:ilvl w:val="0"/>
          <w:numId w:val="3"/>
        </w:numPr>
        <w:spacing w:line="360" w:lineRule="auto"/>
        <w:jc w:val="both"/>
        <w:rPr>
          <w:rFonts w:ascii="Arial" w:hAnsi="Arial" w:cs="Arial"/>
          <w:sz w:val="24"/>
          <w:szCs w:val="24"/>
        </w:rPr>
      </w:pPr>
      <w:r w:rsidRPr="00A5667B">
        <w:rPr>
          <w:rFonts w:ascii="Arial" w:hAnsi="Arial" w:cs="Arial"/>
          <w:sz w:val="24"/>
          <w:szCs w:val="24"/>
        </w:rPr>
        <w:t>In terms of direct effects, the impact of 100% RES-based energy autonomy negative</w:t>
      </w:r>
      <w:r w:rsidR="00F40183" w:rsidRPr="00A5667B">
        <w:rPr>
          <w:rFonts w:ascii="Arial" w:hAnsi="Arial" w:cs="Arial"/>
          <w:sz w:val="24"/>
          <w:szCs w:val="24"/>
        </w:rPr>
        <w:t>ly</w:t>
      </w:r>
      <w:r w:rsidRPr="00A5667B">
        <w:rPr>
          <w:rFonts w:ascii="Arial" w:hAnsi="Arial" w:cs="Arial"/>
          <w:sz w:val="24"/>
          <w:szCs w:val="24"/>
        </w:rPr>
        <w:t xml:space="preserve"> impact</w:t>
      </w:r>
      <w:r w:rsidR="00F40183" w:rsidRPr="00A5667B">
        <w:rPr>
          <w:rFonts w:ascii="Arial" w:hAnsi="Arial" w:cs="Arial"/>
          <w:sz w:val="24"/>
          <w:szCs w:val="24"/>
        </w:rPr>
        <w:t>s</w:t>
      </w:r>
      <w:r w:rsidRPr="00A5667B">
        <w:rPr>
          <w:rFonts w:ascii="Arial" w:hAnsi="Arial" w:cs="Arial"/>
          <w:sz w:val="24"/>
          <w:szCs w:val="24"/>
        </w:rPr>
        <w:t xml:space="preserve"> on employment in the conventional energy sector on the island. It is assumed that the new local employment created by the RES installation would offer a vis-a-vis replacement for employment lost in the conventional energy sector. This</w:t>
      </w:r>
      <w:r w:rsidR="00DD656D">
        <w:rPr>
          <w:rFonts w:ascii="Arial" w:hAnsi="Arial" w:cs="Arial"/>
          <w:sz w:val="24"/>
          <w:szCs w:val="24"/>
        </w:rPr>
        <w:t xml:space="preserve"> is reasonable as</w:t>
      </w:r>
      <w:r w:rsidRPr="00A5667B">
        <w:rPr>
          <w:rFonts w:ascii="Arial" w:hAnsi="Arial" w:cs="Arial"/>
          <w:sz w:val="24"/>
          <w:szCs w:val="24"/>
        </w:rPr>
        <w:t xml:space="preserve"> employees</w:t>
      </w:r>
      <w:r w:rsidR="00DD656D">
        <w:rPr>
          <w:rFonts w:ascii="Arial" w:hAnsi="Arial" w:cs="Arial"/>
          <w:sz w:val="24"/>
          <w:szCs w:val="24"/>
        </w:rPr>
        <w:t xml:space="preserve"> in the conventional energy sector</w:t>
      </w:r>
      <w:r w:rsidRPr="00A5667B">
        <w:rPr>
          <w:rFonts w:ascii="Arial" w:hAnsi="Arial" w:cs="Arial"/>
          <w:sz w:val="24"/>
          <w:szCs w:val="24"/>
        </w:rPr>
        <w:t xml:space="preserve"> are </w:t>
      </w:r>
      <w:r w:rsidR="00FC2DC0">
        <w:rPr>
          <w:rFonts w:ascii="Arial" w:hAnsi="Arial" w:cs="Arial"/>
          <w:sz w:val="24"/>
          <w:szCs w:val="24"/>
        </w:rPr>
        <w:t>familiar with</w:t>
      </w:r>
      <w:r w:rsidRPr="00A5667B">
        <w:rPr>
          <w:rFonts w:ascii="Arial" w:hAnsi="Arial" w:cs="Arial"/>
          <w:sz w:val="24"/>
          <w:szCs w:val="24"/>
        </w:rPr>
        <w:t xml:space="preserve"> the electrical power system</w:t>
      </w:r>
      <w:r w:rsidR="00FC2DC0">
        <w:rPr>
          <w:rFonts w:ascii="Arial" w:hAnsi="Arial" w:cs="Arial"/>
          <w:sz w:val="24"/>
          <w:szCs w:val="24"/>
        </w:rPr>
        <w:t>s on the island</w:t>
      </w:r>
      <w:r w:rsidRPr="00A5667B">
        <w:rPr>
          <w:rFonts w:ascii="Arial" w:hAnsi="Arial" w:cs="Arial"/>
          <w:sz w:val="24"/>
          <w:szCs w:val="24"/>
        </w:rPr>
        <w:t>.</w:t>
      </w:r>
      <w:r w:rsidR="00B36BAD" w:rsidRPr="00A5667B">
        <w:rPr>
          <w:rFonts w:ascii="Arial" w:hAnsi="Arial" w:cs="Arial"/>
          <w:sz w:val="24"/>
          <w:szCs w:val="24"/>
        </w:rPr>
        <w:t xml:space="preserve"> </w:t>
      </w:r>
    </w:p>
    <w:p w14:paraId="6E2AAA46" w14:textId="39B5BA9A" w:rsidR="0024682E" w:rsidRPr="00A5667B" w:rsidRDefault="0024682E" w:rsidP="00BF0689">
      <w:pPr>
        <w:numPr>
          <w:ilvl w:val="0"/>
          <w:numId w:val="3"/>
        </w:numPr>
        <w:spacing w:line="360" w:lineRule="auto"/>
        <w:jc w:val="both"/>
        <w:rPr>
          <w:rFonts w:ascii="Arial" w:hAnsi="Arial" w:cs="Arial"/>
          <w:sz w:val="24"/>
          <w:szCs w:val="24"/>
        </w:rPr>
      </w:pPr>
      <w:r w:rsidRPr="00A5667B">
        <w:rPr>
          <w:rFonts w:ascii="Arial" w:hAnsi="Arial" w:cs="Arial"/>
          <w:sz w:val="24"/>
          <w:szCs w:val="24"/>
        </w:rPr>
        <w:lastRenderedPageBreak/>
        <w:t>In terms of indirect effects,</w:t>
      </w:r>
      <w:r w:rsidR="007515BB">
        <w:rPr>
          <w:rFonts w:ascii="Arial" w:hAnsi="Arial" w:cs="Arial"/>
          <w:sz w:val="24"/>
          <w:szCs w:val="24"/>
        </w:rPr>
        <w:t xml:space="preserve"> </w:t>
      </w:r>
      <w:r w:rsidRPr="00A5667B">
        <w:rPr>
          <w:rFonts w:ascii="Arial" w:hAnsi="Arial" w:cs="Arial"/>
          <w:sz w:val="24"/>
          <w:szCs w:val="24"/>
        </w:rPr>
        <w:t>La Graciosa have fewer inhabitants and fewer industries that can sub-contract elements of the installation of the RES facility. The construction of the RES facility will be sub-contracted and will be a one-off economic influx happening in one snapshot of time rather than bein</w:t>
      </w:r>
      <w:r w:rsidR="00FC2DC0">
        <w:rPr>
          <w:rFonts w:ascii="Arial" w:hAnsi="Arial" w:cs="Arial"/>
          <w:sz w:val="24"/>
          <w:szCs w:val="24"/>
        </w:rPr>
        <w:t>g</w:t>
      </w:r>
      <w:r w:rsidRPr="00A5667B">
        <w:rPr>
          <w:rFonts w:ascii="Arial" w:hAnsi="Arial" w:cs="Arial"/>
          <w:sz w:val="24"/>
          <w:szCs w:val="24"/>
        </w:rPr>
        <w:t xml:space="preserve"> continuous.</w:t>
      </w:r>
      <w:r w:rsidR="00FC2DC0">
        <w:rPr>
          <w:rFonts w:ascii="Arial" w:hAnsi="Arial" w:cs="Arial"/>
          <w:sz w:val="24"/>
          <w:szCs w:val="24"/>
        </w:rPr>
        <w:t xml:space="preserve"> For these reasons</w:t>
      </w:r>
      <w:r w:rsidRPr="00A5667B">
        <w:rPr>
          <w:rFonts w:ascii="Arial" w:hAnsi="Arial" w:cs="Arial"/>
          <w:sz w:val="24"/>
          <w:szCs w:val="24"/>
        </w:rPr>
        <w:t xml:space="preserve"> the indirect effects</w:t>
      </w:r>
      <w:r w:rsidR="00FC2DC0">
        <w:rPr>
          <w:rFonts w:ascii="Arial" w:hAnsi="Arial" w:cs="Arial"/>
          <w:sz w:val="24"/>
          <w:szCs w:val="24"/>
        </w:rPr>
        <w:t xml:space="preserve"> of the construction of RES facilities on th</w:t>
      </w:r>
      <w:r w:rsidR="001342A5">
        <w:rPr>
          <w:rFonts w:ascii="Arial" w:hAnsi="Arial" w:cs="Arial"/>
          <w:sz w:val="24"/>
          <w:szCs w:val="24"/>
        </w:rPr>
        <w:t>is</w:t>
      </w:r>
      <w:r w:rsidR="00FC2DC0">
        <w:rPr>
          <w:rFonts w:ascii="Arial" w:hAnsi="Arial" w:cs="Arial"/>
          <w:sz w:val="24"/>
          <w:szCs w:val="24"/>
        </w:rPr>
        <w:t xml:space="preserve"> island</w:t>
      </w:r>
      <w:r w:rsidR="001342A5">
        <w:rPr>
          <w:rFonts w:ascii="Arial" w:hAnsi="Arial" w:cs="Arial"/>
          <w:sz w:val="24"/>
          <w:szCs w:val="24"/>
        </w:rPr>
        <w:t xml:space="preserve"> </w:t>
      </w:r>
      <w:r w:rsidR="00FF4DCC">
        <w:rPr>
          <w:rFonts w:ascii="Arial" w:hAnsi="Arial" w:cs="Arial"/>
          <w:sz w:val="24"/>
          <w:szCs w:val="24"/>
        </w:rPr>
        <w:t>are</w:t>
      </w:r>
      <w:r w:rsidRPr="00A5667B">
        <w:rPr>
          <w:rFonts w:ascii="Arial" w:hAnsi="Arial" w:cs="Arial"/>
          <w:sz w:val="24"/>
          <w:szCs w:val="24"/>
        </w:rPr>
        <w:t xml:space="preserve"> not explored in detail in this </w:t>
      </w:r>
      <w:r w:rsidR="00531B01" w:rsidRPr="00A5667B">
        <w:rPr>
          <w:rFonts w:ascii="Arial" w:hAnsi="Arial" w:cs="Arial"/>
          <w:sz w:val="24"/>
          <w:szCs w:val="24"/>
        </w:rPr>
        <w:t>paper</w:t>
      </w:r>
      <w:r w:rsidRPr="00A5667B">
        <w:rPr>
          <w:rFonts w:ascii="Arial" w:hAnsi="Arial" w:cs="Arial"/>
          <w:sz w:val="24"/>
          <w:szCs w:val="24"/>
        </w:rPr>
        <w:t>.</w:t>
      </w:r>
    </w:p>
    <w:p w14:paraId="6D31B3E2" w14:textId="2E3C72CF" w:rsidR="00036584" w:rsidRPr="00A5667B" w:rsidRDefault="0024682E" w:rsidP="00BF0689">
      <w:pPr>
        <w:numPr>
          <w:ilvl w:val="0"/>
          <w:numId w:val="3"/>
        </w:numPr>
        <w:spacing w:line="360" w:lineRule="auto"/>
        <w:jc w:val="both"/>
        <w:rPr>
          <w:rFonts w:ascii="Arial" w:hAnsi="Arial" w:cs="Arial"/>
          <w:sz w:val="24"/>
          <w:szCs w:val="24"/>
        </w:rPr>
      </w:pPr>
      <w:r w:rsidRPr="00A5667B">
        <w:rPr>
          <w:rFonts w:ascii="Arial" w:hAnsi="Arial" w:cs="Arial"/>
          <w:sz w:val="24"/>
          <w:szCs w:val="24"/>
        </w:rPr>
        <w:t xml:space="preserve">Induced effects are the </w:t>
      </w:r>
      <w:r w:rsidR="002647D0" w:rsidRPr="00A5667B">
        <w:rPr>
          <w:rFonts w:ascii="Arial" w:hAnsi="Arial" w:cs="Arial"/>
          <w:sz w:val="24"/>
          <w:szCs w:val="24"/>
        </w:rPr>
        <w:t xml:space="preserve">primary </w:t>
      </w:r>
      <w:r w:rsidRPr="00A5667B">
        <w:rPr>
          <w:rFonts w:ascii="Arial" w:hAnsi="Arial" w:cs="Arial"/>
          <w:sz w:val="24"/>
          <w:szCs w:val="24"/>
        </w:rPr>
        <w:t>means by which RES-based autonomous energy systems</w:t>
      </w:r>
      <w:r w:rsidR="00FC2DC0">
        <w:rPr>
          <w:rFonts w:ascii="Arial" w:hAnsi="Arial" w:cs="Arial"/>
          <w:sz w:val="24"/>
          <w:szCs w:val="24"/>
        </w:rPr>
        <w:t xml:space="preserve"> on geographical islands</w:t>
      </w:r>
      <w:r w:rsidRPr="00A5667B">
        <w:rPr>
          <w:rFonts w:ascii="Arial" w:hAnsi="Arial" w:cs="Arial"/>
          <w:sz w:val="24"/>
          <w:szCs w:val="24"/>
        </w:rPr>
        <w:t xml:space="preserve"> bring about positive socio-economic changes in geographical islands. </w:t>
      </w:r>
      <w:r w:rsidR="00892BEF" w:rsidRPr="00A5667B">
        <w:rPr>
          <w:rFonts w:ascii="Arial" w:hAnsi="Arial" w:cs="Arial"/>
          <w:sz w:val="24"/>
          <w:szCs w:val="24"/>
        </w:rPr>
        <w:t>Therefore,</w:t>
      </w:r>
      <w:r w:rsidR="00FC2DC0">
        <w:rPr>
          <w:rFonts w:ascii="Arial" w:hAnsi="Arial" w:cs="Arial"/>
          <w:sz w:val="24"/>
          <w:szCs w:val="24"/>
        </w:rPr>
        <w:t xml:space="preserve"> they are the</w:t>
      </w:r>
      <w:r w:rsidRPr="00A5667B">
        <w:rPr>
          <w:rFonts w:ascii="Arial" w:hAnsi="Arial" w:cs="Arial"/>
          <w:sz w:val="24"/>
          <w:szCs w:val="24"/>
        </w:rPr>
        <w:t xml:space="preserve"> most important focus of</w:t>
      </w:r>
      <w:r w:rsidR="00963098" w:rsidRPr="00A5667B">
        <w:rPr>
          <w:rFonts w:ascii="Arial" w:hAnsi="Arial" w:cs="Arial"/>
          <w:sz w:val="24"/>
          <w:szCs w:val="24"/>
        </w:rPr>
        <w:t xml:space="preserve"> </w:t>
      </w:r>
      <w:r w:rsidR="00FC2DC0">
        <w:rPr>
          <w:rFonts w:ascii="Arial" w:hAnsi="Arial" w:cs="Arial"/>
          <w:sz w:val="24"/>
          <w:szCs w:val="24"/>
        </w:rPr>
        <w:t>the</w:t>
      </w:r>
      <w:r w:rsidR="00963098" w:rsidRPr="00A5667B">
        <w:rPr>
          <w:rFonts w:ascii="Arial" w:hAnsi="Arial" w:cs="Arial"/>
          <w:sz w:val="24"/>
          <w:szCs w:val="24"/>
        </w:rPr>
        <w:t xml:space="preserve"> </w:t>
      </w:r>
      <w:r w:rsidRPr="00A5667B">
        <w:rPr>
          <w:rFonts w:ascii="Arial" w:hAnsi="Arial" w:cs="Arial"/>
          <w:sz w:val="24"/>
          <w:szCs w:val="24"/>
        </w:rPr>
        <w:t>socio-economic impact assessment</w:t>
      </w:r>
      <w:r w:rsidR="00FC2DC0">
        <w:rPr>
          <w:rFonts w:ascii="Arial" w:hAnsi="Arial" w:cs="Arial"/>
          <w:sz w:val="24"/>
          <w:szCs w:val="24"/>
        </w:rPr>
        <w:t xml:space="preserve">s of the implementation of </w:t>
      </w:r>
      <w:r w:rsidR="00FC2DC0" w:rsidRPr="00A5667B">
        <w:rPr>
          <w:rFonts w:ascii="Arial" w:hAnsi="Arial" w:cs="Arial"/>
          <w:sz w:val="24"/>
          <w:szCs w:val="24"/>
        </w:rPr>
        <w:t>RES-based autonomous energy systems</w:t>
      </w:r>
      <w:r w:rsidR="00FC2DC0">
        <w:rPr>
          <w:rFonts w:ascii="Arial" w:hAnsi="Arial" w:cs="Arial"/>
          <w:sz w:val="24"/>
          <w:szCs w:val="24"/>
        </w:rPr>
        <w:t xml:space="preserve"> on geographical islands</w:t>
      </w:r>
      <w:r w:rsidR="00963098" w:rsidRPr="00A5667B">
        <w:rPr>
          <w:rFonts w:ascii="Arial" w:hAnsi="Arial" w:cs="Arial"/>
          <w:sz w:val="24"/>
          <w:szCs w:val="24"/>
        </w:rPr>
        <w:t>.</w:t>
      </w:r>
    </w:p>
    <w:p w14:paraId="11EB8D56" w14:textId="349823EF" w:rsidR="00963098" w:rsidRPr="00DC07B9" w:rsidRDefault="003623EE" w:rsidP="00DC07B9">
      <w:pPr>
        <w:spacing w:line="360" w:lineRule="auto"/>
        <w:jc w:val="both"/>
        <w:rPr>
          <w:rFonts w:ascii="Arial" w:hAnsi="Arial" w:cs="Arial"/>
          <w:sz w:val="24"/>
          <w:szCs w:val="24"/>
        </w:rPr>
      </w:pPr>
      <w:r w:rsidRPr="00A5667B">
        <w:rPr>
          <w:rFonts w:ascii="Arial" w:hAnsi="Arial" w:cs="Arial"/>
          <w:sz w:val="24"/>
          <w:szCs w:val="24"/>
        </w:rPr>
        <w:t xml:space="preserve">There are several indicators by which economic impact assessment is expressed, but almost all use the multiplier concept. </w:t>
      </w:r>
      <w:r w:rsidR="008E0510">
        <w:rPr>
          <w:rFonts w:ascii="Arial" w:hAnsi="Arial" w:cs="Arial"/>
          <w:sz w:val="24"/>
          <w:szCs w:val="24"/>
        </w:rPr>
        <w:t xml:space="preserve">Economic </w:t>
      </w:r>
      <w:r w:rsidR="004F3692">
        <w:rPr>
          <w:rFonts w:ascii="Arial" w:hAnsi="Arial" w:cs="Arial"/>
          <w:sz w:val="24"/>
          <w:szCs w:val="24"/>
        </w:rPr>
        <w:t>Base Multiplier, Input-output</w:t>
      </w:r>
      <w:r w:rsidR="003103EB">
        <w:rPr>
          <w:rFonts w:ascii="Arial" w:hAnsi="Arial" w:cs="Arial"/>
          <w:sz w:val="24"/>
          <w:szCs w:val="24"/>
        </w:rPr>
        <w:t xml:space="preserve"> and Keynesian </w:t>
      </w:r>
      <w:r w:rsidR="00D43019">
        <w:rPr>
          <w:rFonts w:ascii="Arial" w:hAnsi="Arial" w:cs="Arial"/>
          <w:sz w:val="24"/>
          <w:szCs w:val="24"/>
        </w:rPr>
        <w:t xml:space="preserve">Income </w:t>
      </w:r>
      <w:r w:rsidR="003103EB">
        <w:rPr>
          <w:rFonts w:ascii="Arial" w:hAnsi="Arial" w:cs="Arial"/>
          <w:sz w:val="24"/>
          <w:szCs w:val="24"/>
        </w:rPr>
        <w:t>Multiplier</w:t>
      </w:r>
      <w:r w:rsidR="00D43019">
        <w:rPr>
          <w:rFonts w:ascii="Arial" w:hAnsi="Arial" w:cs="Arial"/>
          <w:sz w:val="24"/>
          <w:szCs w:val="24"/>
        </w:rPr>
        <w:t xml:space="preserve"> (KIM)</w:t>
      </w:r>
      <w:r w:rsidR="00D669DB">
        <w:rPr>
          <w:rFonts w:ascii="Arial" w:hAnsi="Arial" w:cs="Arial"/>
          <w:sz w:val="24"/>
          <w:szCs w:val="24"/>
        </w:rPr>
        <w:t xml:space="preserve"> are</w:t>
      </w:r>
      <w:r w:rsidR="00963098" w:rsidRPr="00A5667B">
        <w:rPr>
          <w:rFonts w:ascii="Arial" w:hAnsi="Arial" w:cs="Arial"/>
          <w:sz w:val="24"/>
          <w:szCs w:val="24"/>
        </w:rPr>
        <w:t xml:space="preserve"> techniques</w:t>
      </w:r>
      <w:r w:rsidR="00F06E7F">
        <w:rPr>
          <w:rFonts w:ascii="Arial" w:hAnsi="Arial" w:cs="Arial"/>
          <w:sz w:val="24"/>
          <w:szCs w:val="24"/>
        </w:rPr>
        <w:t>/models</w:t>
      </w:r>
      <w:r w:rsidR="00963098" w:rsidRPr="00A5667B">
        <w:rPr>
          <w:rFonts w:ascii="Arial" w:hAnsi="Arial" w:cs="Arial"/>
          <w:sz w:val="24"/>
          <w:szCs w:val="24"/>
        </w:rPr>
        <w:t xml:space="preserve"> </w:t>
      </w:r>
      <w:r w:rsidR="00F06E7F">
        <w:rPr>
          <w:rFonts w:ascii="Arial" w:hAnsi="Arial" w:cs="Arial"/>
          <w:sz w:val="24"/>
          <w:szCs w:val="24"/>
        </w:rPr>
        <w:t xml:space="preserve">commonly </w:t>
      </w:r>
      <w:r w:rsidR="00963098" w:rsidRPr="00A5667B">
        <w:rPr>
          <w:rFonts w:ascii="Arial" w:hAnsi="Arial" w:cs="Arial"/>
          <w:sz w:val="24"/>
          <w:szCs w:val="24"/>
        </w:rPr>
        <w:t xml:space="preserve">employed </w:t>
      </w:r>
      <w:r w:rsidR="00FD24AB" w:rsidRPr="00A5667B">
        <w:rPr>
          <w:rFonts w:ascii="Arial" w:hAnsi="Arial" w:cs="Arial"/>
          <w:sz w:val="24"/>
          <w:szCs w:val="24"/>
        </w:rPr>
        <w:t xml:space="preserve">in the </w:t>
      </w:r>
      <w:r w:rsidR="00963098" w:rsidRPr="00A5667B">
        <w:rPr>
          <w:rFonts w:ascii="Arial" w:hAnsi="Arial" w:cs="Arial"/>
          <w:sz w:val="24"/>
          <w:szCs w:val="24"/>
        </w:rPr>
        <w:t>analys</w:t>
      </w:r>
      <w:r w:rsidR="00FD24AB" w:rsidRPr="00A5667B">
        <w:rPr>
          <w:rFonts w:ascii="Arial" w:hAnsi="Arial" w:cs="Arial"/>
          <w:sz w:val="24"/>
          <w:szCs w:val="24"/>
        </w:rPr>
        <w:t>is</w:t>
      </w:r>
      <w:r w:rsidR="00963098" w:rsidRPr="00A5667B">
        <w:rPr>
          <w:rFonts w:ascii="Arial" w:hAnsi="Arial" w:cs="Arial"/>
          <w:sz w:val="24"/>
          <w:szCs w:val="24"/>
        </w:rPr>
        <w:t xml:space="preserve"> of</w:t>
      </w:r>
      <w:r w:rsidR="000178F9">
        <w:rPr>
          <w:rFonts w:ascii="Arial" w:hAnsi="Arial" w:cs="Arial"/>
          <w:sz w:val="24"/>
          <w:szCs w:val="24"/>
        </w:rPr>
        <w:t xml:space="preserve"> the impact of the </w:t>
      </w:r>
      <w:r w:rsidR="00963098" w:rsidRPr="00A5667B">
        <w:rPr>
          <w:rFonts w:ascii="Arial" w:hAnsi="Arial" w:cs="Arial"/>
          <w:sz w:val="24"/>
          <w:szCs w:val="24"/>
        </w:rPr>
        <w:t xml:space="preserve">additional income and employment in the local economy </w:t>
      </w:r>
      <w:r w:rsidR="000178F9">
        <w:rPr>
          <w:rFonts w:ascii="Arial" w:hAnsi="Arial" w:cs="Arial"/>
          <w:sz w:val="24"/>
          <w:szCs w:val="24"/>
        </w:rPr>
        <w:t xml:space="preserve">generated by a major new project </w:t>
      </w:r>
      <w:r w:rsidR="00C7040F">
        <w:rPr>
          <w:rFonts w:ascii="Arial" w:hAnsi="Arial" w:cs="Arial"/>
          <w:sz w:val="24"/>
          <w:szCs w:val="24"/>
        </w:rPr>
        <w:t>[</w:t>
      </w:r>
      <w:r w:rsidR="009636ED">
        <w:rPr>
          <w:rFonts w:ascii="Arial" w:hAnsi="Arial" w:cs="Arial"/>
          <w:sz w:val="24"/>
          <w:szCs w:val="24"/>
        </w:rPr>
        <w:t>21</w:t>
      </w:r>
      <w:r w:rsidR="00C7040F">
        <w:rPr>
          <w:rFonts w:ascii="Arial" w:hAnsi="Arial" w:cs="Arial"/>
          <w:sz w:val="24"/>
          <w:szCs w:val="24"/>
        </w:rPr>
        <w:t>].</w:t>
      </w:r>
      <w:r w:rsidR="006B0D54">
        <w:rPr>
          <w:rFonts w:ascii="Arial" w:hAnsi="Arial" w:cs="Arial"/>
          <w:sz w:val="24"/>
          <w:szCs w:val="24"/>
        </w:rPr>
        <w:t xml:space="preserve"> </w:t>
      </w:r>
      <w:r w:rsidR="00C7040F" w:rsidRPr="00DC07B9">
        <w:rPr>
          <w:rFonts w:ascii="Arial" w:hAnsi="Arial" w:cs="Arial"/>
          <w:sz w:val="24"/>
          <w:szCs w:val="24"/>
        </w:rPr>
        <w:t>KIM,</w:t>
      </w:r>
      <w:r w:rsidR="000178F9" w:rsidRPr="00DC07B9">
        <w:rPr>
          <w:rFonts w:ascii="Arial" w:hAnsi="Arial" w:cs="Arial"/>
          <w:sz w:val="24"/>
          <w:szCs w:val="24"/>
        </w:rPr>
        <w:t xml:space="preserve"> which is</w:t>
      </w:r>
      <w:r w:rsidR="00963098" w:rsidRPr="00DC07B9">
        <w:rPr>
          <w:rFonts w:ascii="Arial" w:hAnsi="Arial" w:cs="Arial"/>
          <w:sz w:val="24"/>
          <w:szCs w:val="24"/>
        </w:rPr>
        <w:t xml:space="preserve"> an economic theory</w:t>
      </w:r>
      <w:r w:rsidR="00A00EBE">
        <w:rPr>
          <w:rFonts w:ascii="Arial" w:hAnsi="Arial" w:cs="Arial"/>
          <w:sz w:val="24"/>
          <w:szCs w:val="24"/>
        </w:rPr>
        <w:t>,</w:t>
      </w:r>
      <w:r w:rsidR="00963098" w:rsidRPr="00DC07B9">
        <w:rPr>
          <w:rFonts w:ascii="Arial" w:hAnsi="Arial" w:cs="Arial"/>
          <w:sz w:val="24"/>
          <w:szCs w:val="24"/>
        </w:rPr>
        <w:t xml:space="preserve"> stat</w:t>
      </w:r>
      <w:r w:rsidR="00987FFD">
        <w:rPr>
          <w:rFonts w:ascii="Arial" w:hAnsi="Arial" w:cs="Arial"/>
          <w:sz w:val="24"/>
          <w:szCs w:val="24"/>
        </w:rPr>
        <w:t>es</w:t>
      </w:r>
      <w:r w:rsidR="00963098" w:rsidRPr="00DC07B9">
        <w:rPr>
          <w:rFonts w:ascii="Arial" w:hAnsi="Arial" w:cs="Arial"/>
          <w:sz w:val="24"/>
          <w:szCs w:val="24"/>
        </w:rPr>
        <w:t xml:space="preserve"> that an increase in income (private consumption expenditures, investment expenditures, or government </w:t>
      </w:r>
      <w:r w:rsidR="002647D0" w:rsidRPr="00DC07B9">
        <w:rPr>
          <w:rFonts w:ascii="Arial" w:hAnsi="Arial" w:cs="Arial"/>
          <w:sz w:val="24"/>
          <w:szCs w:val="24"/>
        </w:rPr>
        <w:t>expenditures</w:t>
      </w:r>
      <w:r w:rsidR="00963098" w:rsidRPr="00DC07B9">
        <w:rPr>
          <w:rFonts w:ascii="Arial" w:hAnsi="Arial" w:cs="Arial"/>
          <w:sz w:val="24"/>
          <w:szCs w:val="24"/>
        </w:rPr>
        <w:t>) will cause an increase in the total Gross Domestic Product (GDP)</w:t>
      </w:r>
      <w:r w:rsidR="002E5107">
        <w:rPr>
          <w:rFonts w:ascii="Arial" w:hAnsi="Arial" w:cs="Arial"/>
          <w:sz w:val="24"/>
          <w:szCs w:val="24"/>
        </w:rPr>
        <w:t xml:space="preserve">, </w:t>
      </w:r>
      <w:r w:rsidR="00963098" w:rsidRPr="00DC07B9">
        <w:rPr>
          <w:rFonts w:ascii="Arial" w:hAnsi="Arial" w:cs="Arial"/>
          <w:sz w:val="24"/>
          <w:szCs w:val="24"/>
        </w:rPr>
        <w:t>proportionately greater than the original change in income. The value of the multiplier depends on the Marginal Propensity to Consume (MPC)</w:t>
      </w:r>
      <w:r w:rsidR="00900B9A" w:rsidRPr="00DC07B9">
        <w:rPr>
          <w:rFonts w:ascii="Arial" w:hAnsi="Arial" w:cs="Arial"/>
          <w:sz w:val="24"/>
          <w:szCs w:val="24"/>
        </w:rPr>
        <w:t xml:space="preserve"> </w:t>
      </w:r>
      <w:r w:rsidR="00963098" w:rsidRPr="00DC07B9">
        <w:rPr>
          <w:rFonts w:ascii="Arial" w:hAnsi="Arial" w:cs="Arial"/>
          <w:sz w:val="24"/>
          <w:szCs w:val="24"/>
        </w:rPr>
        <w:t>which is the change in total consumption caused by a change in total income</w:t>
      </w:r>
      <w:r w:rsidR="003B0278">
        <w:rPr>
          <w:rFonts w:ascii="Arial" w:hAnsi="Arial" w:cs="Arial"/>
          <w:sz w:val="24"/>
          <w:szCs w:val="24"/>
        </w:rPr>
        <w:t xml:space="preserve"> as represented in Equation (1)</w:t>
      </w:r>
      <w:r w:rsidR="00C7040F">
        <w:rPr>
          <w:rFonts w:ascii="Arial" w:hAnsi="Arial" w:cs="Arial"/>
          <w:sz w:val="24"/>
          <w:szCs w:val="24"/>
        </w:rPr>
        <w:t xml:space="preserve"> [2</w:t>
      </w:r>
      <w:r w:rsidR="009636ED">
        <w:rPr>
          <w:rFonts w:ascii="Arial" w:hAnsi="Arial" w:cs="Arial"/>
          <w:sz w:val="24"/>
          <w:szCs w:val="24"/>
        </w:rPr>
        <w:t>2</w:t>
      </w:r>
      <w:r w:rsidR="00C7040F">
        <w:rPr>
          <w:rFonts w:ascii="Arial" w:hAnsi="Arial" w:cs="Arial"/>
          <w:sz w:val="24"/>
          <w:szCs w:val="24"/>
        </w:rPr>
        <w:t>]</w:t>
      </w:r>
      <w:r w:rsidR="00963098" w:rsidRPr="00DC07B9">
        <w:rPr>
          <w:rFonts w:ascii="Arial" w:hAnsi="Arial" w:cs="Arial"/>
          <w:sz w:val="24"/>
          <w:szCs w:val="24"/>
        </w:rPr>
        <w:t xml:space="preserve">. </w:t>
      </w:r>
      <w:r w:rsidR="007F6398" w:rsidRPr="00DC07B9">
        <w:rPr>
          <w:rFonts w:ascii="Arial" w:hAnsi="Arial" w:cs="Arial"/>
          <w:sz w:val="24"/>
          <w:szCs w:val="24"/>
        </w:rPr>
        <w:t>KIM is based on money re-spent in the economy and</w:t>
      </w:r>
      <w:r w:rsidR="00963098" w:rsidRPr="00DC07B9">
        <w:rPr>
          <w:rFonts w:ascii="Arial" w:hAnsi="Arial" w:cs="Arial"/>
          <w:sz w:val="24"/>
          <w:szCs w:val="24"/>
        </w:rPr>
        <w:t xml:space="preserve"> measures how consumer spending changes with a change in income</w:t>
      </w:r>
      <w:r w:rsidR="007F6398" w:rsidRPr="00DC07B9">
        <w:rPr>
          <w:rFonts w:ascii="Arial" w:hAnsi="Arial" w:cs="Arial"/>
          <w:sz w:val="24"/>
          <w:szCs w:val="24"/>
        </w:rPr>
        <w:t xml:space="preserve">, </w:t>
      </w:r>
      <w:r w:rsidR="00963098" w:rsidRPr="00DC07B9">
        <w:rPr>
          <w:rFonts w:ascii="Arial" w:hAnsi="Arial" w:cs="Arial"/>
          <w:sz w:val="24"/>
          <w:szCs w:val="24"/>
        </w:rPr>
        <w:t>mathematically represented as</w:t>
      </w:r>
      <w:r w:rsidR="00BF4730" w:rsidRPr="00DC07B9">
        <w:rPr>
          <w:rFonts w:ascii="Arial" w:hAnsi="Arial" w:cs="Arial"/>
          <w:sz w:val="24"/>
          <w:szCs w:val="24"/>
        </w:rPr>
        <w:t xml:space="preserve"> in Equation (</w:t>
      </w:r>
      <w:r w:rsidR="003B0278">
        <w:rPr>
          <w:rFonts w:ascii="Arial" w:hAnsi="Arial" w:cs="Arial"/>
          <w:sz w:val="24"/>
          <w:szCs w:val="24"/>
        </w:rPr>
        <w:t>2</w:t>
      </w:r>
      <w:r w:rsidR="00BF4730" w:rsidRPr="00DC07B9">
        <w:rPr>
          <w:rFonts w:ascii="Arial" w:hAnsi="Arial" w:cs="Arial"/>
          <w:sz w:val="24"/>
          <w:szCs w:val="24"/>
        </w:rPr>
        <w:t>)</w:t>
      </w:r>
      <w:r w:rsidR="00963098" w:rsidRPr="00DC07B9">
        <w:rPr>
          <w:rFonts w:ascii="Arial" w:hAnsi="Arial" w:cs="Arial"/>
          <w:sz w:val="24"/>
          <w:szCs w:val="24"/>
        </w:rPr>
        <w:t>:</w:t>
      </w:r>
    </w:p>
    <w:p w14:paraId="1499E680" w14:textId="0791C588" w:rsidR="00963098" w:rsidRPr="00A5667B" w:rsidRDefault="00963098" w:rsidP="00BF0689">
      <w:pPr>
        <w:spacing w:line="360" w:lineRule="auto"/>
        <w:jc w:val="both"/>
        <w:rPr>
          <w:rFonts w:ascii="Arial" w:hAnsi="Arial" w:cs="Arial"/>
          <w:sz w:val="24"/>
          <w:szCs w:val="24"/>
        </w:rPr>
      </w:pPr>
      <m:oMath>
        <m:r>
          <w:rPr>
            <w:rFonts w:ascii="Cambria Math" w:hAnsi="Cambria Math" w:cs="Arial"/>
            <w:sz w:val="24"/>
            <w:szCs w:val="24"/>
          </w:rPr>
          <m:t>MPC=</m:t>
        </m:r>
        <m:f>
          <m:fPr>
            <m:type m:val="lin"/>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∆Y</m:t>
            </m:r>
          </m:den>
        </m:f>
      </m:oMath>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t>(</w:t>
      </w:r>
      <w:r w:rsidR="00855720">
        <w:rPr>
          <w:rFonts w:ascii="Arial" w:hAnsi="Arial" w:cs="Arial"/>
          <w:sz w:val="24"/>
          <w:szCs w:val="24"/>
        </w:rPr>
        <w:t>1</w:t>
      </w:r>
      <w:r w:rsidRPr="00A5667B">
        <w:rPr>
          <w:rFonts w:ascii="Arial" w:hAnsi="Arial" w:cs="Arial"/>
          <w:sz w:val="24"/>
          <w:szCs w:val="24"/>
        </w:rPr>
        <w:t>)</w:t>
      </w:r>
    </w:p>
    <w:p w14:paraId="16D93B1B" w14:textId="77777777" w:rsidR="00963098" w:rsidRPr="00A5667B" w:rsidRDefault="00963098" w:rsidP="00BF0689">
      <w:pPr>
        <w:spacing w:line="360" w:lineRule="auto"/>
        <w:jc w:val="both"/>
        <w:rPr>
          <w:rFonts w:ascii="Arial" w:hAnsi="Arial" w:cs="Arial"/>
          <w:sz w:val="24"/>
          <w:szCs w:val="24"/>
        </w:rPr>
      </w:pPr>
      <w:r w:rsidRPr="00A5667B">
        <w:rPr>
          <w:rFonts w:ascii="Arial" w:hAnsi="Arial" w:cs="Arial"/>
          <w:sz w:val="24"/>
          <w:szCs w:val="24"/>
        </w:rPr>
        <w:t xml:space="preserve">where </w:t>
      </w:r>
      <w:r w:rsidRPr="00A5667B">
        <w:rPr>
          <w:rFonts w:ascii="Arial" w:hAnsi="Arial" w:cs="Arial"/>
          <w:i/>
          <w:iCs/>
          <w:sz w:val="24"/>
          <w:szCs w:val="24"/>
        </w:rPr>
        <w:t>Y</w:t>
      </w:r>
      <w:r w:rsidRPr="00A5667B">
        <w:rPr>
          <w:rFonts w:ascii="Arial" w:hAnsi="Arial" w:cs="Arial"/>
          <w:sz w:val="24"/>
          <w:szCs w:val="24"/>
        </w:rPr>
        <w:t xml:space="preserve"> is Income, and </w:t>
      </w:r>
      <w:r w:rsidRPr="00A5667B">
        <w:rPr>
          <w:rFonts w:ascii="Arial" w:hAnsi="Arial" w:cs="Arial"/>
          <w:i/>
          <w:iCs/>
          <w:sz w:val="24"/>
          <w:szCs w:val="24"/>
        </w:rPr>
        <w:t>C</w:t>
      </w:r>
      <w:r w:rsidRPr="00A5667B">
        <w:rPr>
          <w:rFonts w:ascii="Arial" w:hAnsi="Arial" w:cs="Arial"/>
          <w:sz w:val="24"/>
          <w:szCs w:val="24"/>
        </w:rPr>
        <w:t xml:space="preserve"> is Consumption.</w:t>
      </w:r>
    </w:p>
    <w:p w14:paraId="467C8BF6" w14:textId="16D1DA29" w:rsidR="00963098" w:rsidRPr="00A5667B" w:rsidRDefault="00963098" w:rsidP="00BF0689">
      <w:pPr>
        <w:spacing w:line="360" w:lineRule="auto"/>
        <w:jc w:val="both"/>
        <w:rPr>
          <w:rFonts w:ascii="Arial" w:hAnsi="Arial" w:cs="Arial"/>
          <w:sz w:val="24"/>
          <w:szCs w:val="24"/>
        </w:rPr>
      </w:pPr>
      <w:r w:rsidRPr="00A5667B">
        <w:rPr>
          <w:rFonts w:ascii="Arial" w:hAnsi="Arial" w:cs="Arial"/>
          <w:sz w:val="24"/>
          <w:szCs w:val="24"/>
        </w:rPr>
        <w:t>Therefore, KIM can be written as</w:t>
      </w:r>
      <w:r w:rsidR="00BF4730" w:rsidRPr="00A5667B">
        <w:rPr>
          <w:rFonts w:ascii="Arial" w:hAnsi="Arial" w:cs="Arial"/>
          <w:sz w:val="24"/>
          <w:szCs w:val="24"/>
        </w:rPr>
        <w:t xml:space="preserve"> in Equation (</w:t>
      </w:r>
      <w:r w:rsidR="00855720">
        <w:rPr>
          <w:rFonts w:ascii="Arial" w:hAnsi="Arial" w:cs="Arial"/>
          <w:sz w:val="24"/>
          <w:szCs w:val="24"/>
        </w:rPr>
        <w:t>2</w:t>
      </w:r>
      <w:r w:rsidR="00BF4730" w:rsidRPr="00A5667B">
        <w:rPr>
          <w:rFonts w:ascii="Arial" w:hAnsi="Arial" w:cs="Arial"/>
          <w:sz w:val="24"/>
          <w:szCs w:val="24"/>
        </w:rPr>
        <w:t>)</w:t>
      </w:r>
      <w:r w:rsidRPr="00A5667B">
        <w:rPr>
          <w:rFonts w:ascii="Arial" w:hAnsi="Arial" w:cs="Arial"/>
          <w:sz w:val="24"/>
          <w:szCs w:val="24"/>
        </w:rPr>
        <w:t>:</w:t>
      </w:r>
    </w:p>
    <w:p w14:paraId="5E26505F" w14:textId="6CC74179" w:rsidR="00963098" w:rsidRPr="00A5667B" w:rsidRDefault="00963098" w:rsidP="00BF0689">
      <w:pPr>
        <w:spacing w:line="360" w:lineRule="auto"/>
        <w:jc w:val="both"/>
        <w:rPr>
          <w:rFonts w:ascii="Arial" w:hAnsi="Arial" w:cs="Arial"/>
          <w:sz w:val="24"/>
          <w:szCs w:val="24"/>
        </w:rPr>
      </w:pPr>
      <m:oMath>
        <m:r>
          <w:rPr>
            <w:rFonts w:ascii="Cambria Math" w:hAnsi="Cambria Math" w:cs="Arial"/>
            <w:sz w:val="24"/>
            <w:szCs w:val="24"/>
          </w:rPr>
          <m:t>KIM=</m:t>
        </m:r>
        <m:f>
          <m:fPr>
            <m:type m:val="lin"/>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(1-MPC)</m:t>
            </m:r>
          </m:den>
        </m:f>
      </m:oMath>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r>
      <w:r w:rsidRPr="00A5667B">
        <w:rPr>
          <w:rFonts w:ascii="Arial" w:hAnsi="Arial" w:cs="Arial"/>
          <w:sz w:val="24"/>
          <w:szCs w:val="24"/>
        </w:rPr>
        <w:tab/>
        <w:t>(</w:t>
      </w:r>
      <w:r w:rsidR="00855720">
        <w:rPr>
          <w:rFonts w:ascii="Arial" w:hAnsi="Arial" w:cs="Arial"/>
          <w:sz w:val="24"/>
          <w:szCs w:val="24"/>
        </w:rPr>
        <w:t>2</w:t>
      </w:r>
      <w:r w:rsidRPr="00A5667B">
        <w:rPr>
          <w:rFonts w:ascii="Arial" w:hAnsi="Arial" w:cs="Arial"/>
          <w:sz w:val="24"/>
          <w:szCs w:val="24"/>
        </w:rPr>
        <w:t>)</w:t>
      </w:r>
    </w:p>
    <w:p w14:paraId="5C1B79E1" w14:textId="4D1910C5" w:rsidR="00963098" w:rsidRPr="00A5667B" w:rsidRDefault="00963098" w:rsidP="00BF0689">
      <w:pPr>
        <w:spacing w:line="360" w:lineRule="auto"/>
        <w:jc w:val="both"/>
        <w:rPr>
          <w:rFonts w:ascii="Arial" w:hAnsi="Arial" w:cs="Arial"/>
          <w:sz w:val="24"/>
          <w:szCs w:val="24"/>
        </w:rPr>
      </w:pPr>
      <w:r w:rsidRPr="00A5667B">
        <w:rPr>
          <w:rFonts w:ascii="Arial" w:hAnsi="Arial" w:cs="Arial"/>
          <w:sz w:val="24"/>
          <w:szCs w:val="24"/>
        </w:rPr>
        <w:t>The marginal propensity to consume (MPC) measure</w:t>
      </w:r>
      <w:r w:rsidR="001E1328" w:rsidRPr="00A5667B">
        <w:rPr>
          <w:rFonts w:ascii="Arial" w:hAnsi="Arial" w:cs="Arial"/>
          <w:sz w:val="24"/>
          <w:szCs w:val="24"/>
        </w:rPr>
        <w:t>s</w:t>
      </w:r>
      <w:r w:rsidRPr="00A5667B">
        <w:rPr>
          <w:rFonts w:ascii="Arial" w:hAnsi="Arial" w:cs="Arial"/>
          <w:sz w:val="24"/>
          <w:szCs w:val="24"/>
        </w:rPr>
        <w:t xml:space="preserve"> how consumer spending changes with income.</w:t>
      </w:r>
      <w:r w:rsidR="001E1328" w:rsidRPr="00A5667B">
        <w:rPr>
          <w:rFonts w:ascii="Arial" w:hAnsi="Arial" w:cs="Arial"/>
          <w:sz w:val="24"/>
          <w:szCs w:val="24"/>
        </w:rPr>
        <w:t xml:space="preserve"> </w:t>
      </w:r>
      <w:r w:rsidRPr="00A5667B">
        <w:rPr>
          <w:rFonts w:ascii="Arial" w:hAnsi="Arial" w:cs="Arial"/>
          <w:sz w:val="24"/>
          <w:szCs w:val="24"/>
        </w:rPr>
        <w:t>The Keynesian Theory states that an increase in production leads to a rise in income</w:t>
      </w:r>
      <w:r w:rsidR="00EF1D60" w:rsidRPr="00A5667B">
        <w:rPr>
          <w:rFonts w:ascii="Arial" w:hAnsi="Arial" w:cs="Arial"/>
          <w:sz w:val="24"/>
          <w:szCs w:val="24"/>
        </w:rPr>
        <w:t xml:space="preserve"> and </w:t>
      </w:r>
      <w:r w:rsidR="001E1328" w:rsidRPr="00A5667B">
        <w:rPr>
          <w:rFonts w:ascii="Arial" w:hAnsi="Arial" w:cs="Arial"/>
          <w:sz w:val="24"/>
          <w:szCs w:val="24"/>
        </w:rPr>
        <w:t>consequently,</w:t>
      </w:r>
      <w:r w:rsidRPr="00A5667B">
        <w:rPr>
          <w:rFonts w:ascii="Arial" w:hAnsi="Arial" w:cs="Arial"/>
          <w:sz w:val="24"/>
          <w:szCs w:val="24"/>
        </w:rPr>
        <w:t xml:space="preserve"> an increase in spending. The value of </w:t>
      </w:r>
      <w:r w:rsidRPr="00A5667B">
        <w:rPr>
          <w:rFonts w:ascii="Arial" w:hAnsi="Arial" w:cs="Arial"/>
          <w:sz w:val="24"/>
          <w:szCs w:val="24"/>
        </w:rPr>
        <w:lastRenderedPageBreak/>
        <w:t>MPC allows us to calculate the size of the multiplier using the formula</w:t>
      </w:r>
      <w:r w:rsidR="001E1328" w:rsidRPr="00A5667B">
        <w:rPr>
          <w:rFonts w:ascii="Arial" w:hAnsi="Arial" w:cs="Arial"/>
          <w:sz w:val="24"/>
          <w:szCs w:val="24"/>
        </w:rPr>
        <w:t xml:space="preserve"> as </w:t>
      </w:r>
      <w:r w:rsidR="006056AC">
        <w:rPr>
          <w:rFonts w:ascii="Arial" w:hAnsi="Arial" w:cs="Arial"/>
          <w:sz w:val="24"/>
          <w:szCs w:val="24"/>
        </w:rPr>
        <w:t>shown in Equ</w:t>
      </w:r>
      <w:r w:rsidR="007F4C2E">
        <w:rPr>
          <w:rFonts w:ascii="Arial" w:hAnsi="Arial" w:cs="Arial"/>
          <w:sz w:val="24"/>
          <w:szCs w:val="24"/>
        </w:rPr>
        <w:t>ation (</w:t>
      </w:r>
      <w:r w:rsidR="00B66679">
        <w:rPr>
          <w:rFonts w:ascii="Arial" w:hAnsi="Arial" w:cs="Arial"/>
          <w:sz w:val="24"/>
          <w:szCs w:val="24"/>
        </w:rPr>
        <w:t>2</w:t>
      </w:r>
      <w:r w:rsidR="007F4C2E">
        <w:rPr>
          <w:rFonts w:ascii="Arial" w:hAnsi="Arial" w:cs="Arial"/>
          <w:sz w:val="24"/>
          <w:szCs w:val="24"/>
        </w:rPr>
        <w:t>)</w:t>
      </w:r>
    </w:p>
    <w:p w14:paraId="51E1325C" w14:textId="4831436B" w:rsidR="000763EA" w:rsidRPr="00A5667B" w:rsidRDefault="00963098" w:rsidP="00BF0689">
      <w:pPr>
        <w:spacing w:line="360" w:lineRule="auto"/>
        <w:jc w:val="both"/>
        <w:rPr>
          <w:rFonts w:ascii="Arial" w:hAnsi="Arial" w:cs="Arial"/>
          <w:sz w:val="24"/>
          <w:szCs w:val="24"/>
        </w:rPr>
      </w:pPr>
      <w:r w:rsidRPr="00A5667B">
        <w:rPr>
          <w:rFonts w:ascii="Arial" w:hAnsi="Arial" w:cs="Arial"/>
          <w:sz w:val="24"/>
          <w:szCs w:val="24"/>
        </w:rPr>
        <w:t>In estimating the impacts on the local economy, the KIM can be tailored to focus on the local economic product, such as New Economic Foundation’s Local Multiplier 3 (LM3)</w:t>
      </w:r>
      <w:r w:rsidR="00C7040F">
        <w:rPr>
          <w:rFonts w:ascii="Arial" w:hAnsi="Arial" w:cs="Arial"/>
          <w:sz w:val="24"/>
          <w:szCs w:val="24"/>
        </w:rPr>
        <w:t xml:space="preserve"> [2</w:t>
      </w:r>
      <w:r w:rsidR="00FE7EA2">
        <w:rPr>
          <w:rFonts w:ascii="Arial" w:hAnsi="Arial" w:cs="Arial"/>
          <w:sz w:val="24"/>
          <w:szCs w:val="24"/>
        </w:rPr>
        <w:t>3</w:t>
      </w:r>
      <w:r w:rsidR="00C7040F">
        <w:rPr>
          <w:rFonts w:ascii="Arial" w:hAnsi="Arial" w:cs="Arial"/>
          <w:sz w:val="24"/>
          <w:szCs w:val="24"/>
        </w:rPr>
        <w:t>].</w:t>
      </w:r>
      <w:r w:rsidR="009A3A79">
        <w:rPr>
          <w:rFonts w:ascii="Arial" w:hAnsi="Arial" w:cs="Arial"/>
          <w:sz w:val="24"/>
          <w:szCs w:val="24"/>
        </w:rPr>
        <w:t xml:space="preserve"> </w:t>
      </w:r>
      <w:r w:rsidRPr="00A5667B">
        <w:rPr>
          <w:rFonts w:ascii="Arial" w:hAnsi="Arial" w:cs="Arial"/>
          <w:sz w:val="24"/>
          <w:szCs w:val="24"/>
        </w:rPr>
        <w:t>However, as explained by Sacks</w:t>
      </w:r>
      <w:r w:rsidR="00892F69" w:rsidRPr="00A5667B">
        <w:rPr>
          <w:rFonts w:ascii="Arial" w:hAnsi="Arial" w:cs="Arial"/>
          <w:sz w:val="24"/>
          <w:szCs w:val="24"/>
        </w:rPr>
        <w:t xml:space="preserve"> </w:t>
      </w:r>
      <w:r w:rsidR="00C7040F">
        <w:rPr>
          <w:rFonts w:ascii="Arial" w:hAnsi="Arial" w:cs="Arial"/>
          <w:sz w:val="24"/>
          <w:szCs w:val="24"/>
        </w:rPr>
        <w:t>[2</w:t>
      </w:r>
      <w:r w:rsidR="00FE7EA2">
        <w:rPr>
          <w:rFonts w:ascii="Arial" w:hAnsi="Arial" w:cs="Arial"/>
          <w:sz w:val="24"/>
          <w:szCs w:val="24"/>
        </w:rPr>
        <w:t>3</w:t>
      </w:r>
      <w:r w:rsidR="00C7040F">
        <w:rPr>
          <w:rFonts w:ascii="Arial" w:hAnsi="Arial" w:cs="Arial"/>
          <w:sz w:val="24"/>
          <w:szCs w:val="24"/>
        </w:rPr>
        <w:t>]</w:t>
      </w:r>
      <w:r w:rsidRPr="00A5667B">
        <w:rPr>
          <w:rFonts w:ascii="Arial" w:hAnsi="Arial" w:cs="Arial"/>
          <w:sz w:val="24"/>
          <w:szCs w:val="24"/>
        </w:rPr>
        <w:t xml:space="preserve">, LM3 needs 9 to 12 months’ worth of data from local businesses and services after the installation of the RES facility to calculate its socio-economic impact on the local economy. </w:t>
      </w:r>
      <w:r w:rsidR="00D11DF3">
        <w:rPr>
          <w:rFonts w:ascii="Arial" w:hAnsi="Arial" w:cs="Arial"/>
          <w:sz w:val="24"/>
          <w:szCs w:val="24"/>
        </w:rPr>
        <w:t>In our case, we are investigating</w:t>
      </w:r>
      <w:r w:rsidR="0031595A" w:rsidRPr="00A5667B">
        <w:rPr>
          <w:rFonts w:ascii="Arial" w:hAnsi="Arial" w:cs="Arial"/>
          <w:sz w:val="24"/>
          <w:szCs w:val="24"/>
        </w:rPr>
        <w:t xml:space="preserve"> pre-installed project</w:t>
      </w:r>
      <w:r w:rsidR="00D11DF3">
        <w:rPr>
          <w:rFonts w:ascii="Arial" w:hAnsi="Arial" w:cs="Arial"/>
          <w:sz w:val="24"/>
          <w:szCs w:val="24"/>
        </w:rPr>
        <w:t>s</w:t>
      </w:r>
      <w:r w:rsidR="00D062AC">
        <w:rPr>
          <w:rFonts w:ascii="Arial" w:hAnsi="Arial" w:cs="Arial"/>
          <w:sz w:val="24"/>
          <w:szCs w:val="24"/>
        </w:rPr>
        <w:t xml:space="preserve"> in geogra</w:t>
      </w:r>
      <w:r w:rsidR="00433BDF">
        <w:rPr>
          <w:rFonts w:ascii="Arial" w:hAnsi="Arial" w:cs="Arial"/>
          <w:sz w:val="24"/>
          <w:szCs w:val="24"/>
        </w:rPr>
        <w:t>phical islands</w:t>
      </w:r>
      <w:r w:rsidR="008F0814">
        <w:rPr>
          <w:rFonts w:ascii="Arial" w:hAnsi="Arial" w:cs="Arial"/>
          <w:sz w:val="24"/>
          <w:szCs w:val="24"/>
        </w:rPr>
        <w:t>. Hence</w:t>
      </w:r>
      <w:r w:rsidR="0031595A" w:rsidRPr="00A5667B">
        <w:rPr>
          <w:rFonts w:ascii="Arial" w:hAnsi="Arial" w:cs="Arial"/>
          <w:sz w:val="24"/>
          <w:szCs w:val="24"/>
        </w:rPr>
        <w:t xml:space="preserve">, there was a need to estimate or forecast the induced effects of hypothetical RES scenarios, so a new method was </w:t>
      </w:r>
      <w:r w:rsidR="008F0814">
        <w:rPr>
          <w:rFonts w:ascii="Arial" w:hAnsi="Arial" w:cs="Arial"/>
          <w:sz w:val="24"/>
          <w:szCs w:val="24"/>
        </w:rPr>
        <w:t>developed based on the</w:t>
      </w:r>
      <w:r w:rsidR="008F0814" w:rsidRPr="008F0814">
        <w:rPr>
          <w:rFonts w:ascii="Arial" w:hAnsi="Arial" w:cs="Arial"/>
          <w:sz w:val="24"/>
          <w:szCs w:val="24"/>
        </w:rPr>
        <w:t xml:space="preserve"> </w:t>
      </w:r>
      <w:r w:rsidR="00085239">
        <w:rPr>
          <w:rFonts w:ascii="Arial" w:hAnsi="Arial" w:cs="Arial"/>
          <w:sz w:val="24"/>
          <w:szCs w:val="24"/>
        </w:rPr>
        <w:t xml:space="preserve">KIM </w:t>
      </w:r>
      <w:r w:rsidR="00CA2A6C">
        <w:rPr>
          <w:rFonts w:ascii="Arial" w:hAnsi="Arial" w:cs="Arial"/>
          <w:sz w:val="24"/>
          <w:szCs w:val="24"/>
        </w:rPr>
        <w:t>technique.</w:t>
      </w:r>
    </w:p>
    <w:p w14:paraId="45620A77" w14:textId="73543BDA" w:rsidR="000763EA" w:rsidRPr="000514E3" w:rsidRDefault="000763EA" w:rsidP="00F63DD7">
      <w:pPr>
        <w:pStyle w:val="Heading1"/>
        <w:numPr>
          <w:ilvl w:val="0"/>
          <w:numId w:val="17"/>
        </w:numPr>
        <w:rPr>
          <w:rFonts w:ascii="Arial" w:hAnsi="Arial" w:cs="Arial"/>
          <w:sz w:val="24"/>
          <w:szCs w:val="24"/>
        </w:rPr>
      </w:pPr>
      <w:r w:rsidRPr="000514E3">
        <w:rPr>
          <w:rFonts w:ascii="Arial" w:hAnsi="Arial" w:cs="Arial"/>
          <w:sz w:val="24"/>
          <w:szCs w:val="24"/>
        </w:rPr>
        <w:t>CASE STUD</w:t>
      </w:r>
      <w:r w:rsidR="00BA3F04" w:rsidRPr="000514E3">
        <w:rPr>
          <w:rFonts w:ascii="Arial" w:hAnsi="Arial" w:cs="Arial"/>
          <w:sz w:val="24"/>
          <w:szCs w:val="24"/>
        </w:rPr>
        <w:t>Y ISLANDS</w:t>
      </w:r>
    </w:p>
    <w:p w14:paraId="30DB0E8E" w14:textId="031203D7" w:rsidR="00046552" w:rsidRPr="00A5667B" w:rsidRDefault="00321D02">
      <w:pPr>
        <w:spacing w:line="360" w:lineRule="auto"/>
        <w:jc w:val="both"/>
        <w:rPr>
          <w:rFonts w:ascii="Arial" w:hAnsi="Arial" w:cs="Arial"/>
          <w:sz w:val="24"/>
          <w:szCs w:val="24"/>
        </w:rPr>
      </w:pPr>
      <w:r>
        <w:rPr>
          <w:rFonts w:ascii="Arial" w:hAnsi="Arial" w:cs="Arial"/>
          <w:sz w:val="24"/>
          <w:szCs w:val="24"/>
        </w:rPr>
        <w:t xml:space="preserve">Two </w:t>
      </w:r>
      <w:r w:rsidR="00550C2D">
        <w:rPr>
          <w:rFonts w:ascii="Arial" w:hAnsi="Arial" w:cs="Arial"/>
          <w:sz w:val="24"/>
          <w:szCs w:val="24"/>
        </w:rPr>
        <w:t xml:space="preserve">geographical </w:t>
      </w:r>
      <w:r w:rsidR="00C80FE0" w:rsidRPr="00A5667B">
        <w:rPr>
          <w:rFonts w:ascii="Arial" w:hAnsi="Arial" w:cs="Arial"/>
          <w:sz w:val="24"/>
          <w:szCs w:val="24"/>
        </w:rPr>
        <w:t>islands</w:t>
      </w:r>
      <w:r w:rsidR="00123180">
        <w:rPr>
          <w:rFonts w:ascii="Arial" w:hAnsi="Arial" w:cs="Arial"/>
          <w:sz w:val="24"/>
          <w:szCs w:val="24"/>
        </w:rPr>
        <w:t xml:space="preserve"> which</w:t>
      </w:r>
      <w:r w:rsidR="00E433DC" w:rsidRPr="00A5667B">
        <w:rPr>
          <w:rFonts w:ascii="Arial" w:hAnsi="Arial" w:cs="Arial"/>
          <w:sz w:val="24"/>
          <w:szCs w:val="24"/>
        </w:rPr>
        <w:t xml:space="preserve"> </w:t>
      </w:r>
      <w:r w:rsidR="00BF0689" w:rsidRPr="00A5667B">
        <w:rPr>
          <w:rFonts w:ascii="Arial" w:hAnsi="Arial" w:cs="Arial"/>
          <w:sz w:val="24"/>
          <w:szCs w:val="24"/>
        </w:rPr>
        <w:t>are in</w:t>
      </w:r>
      <w:r w:rsidR="00E433DC" w:rsidRPr="00A5667B">
        <w:rPr>
          <w:rFonts w:ascii="Arial" w:hAnsi="Arial" w:cs="Arial"/>
          <w:sz w:val="24"/>
          <w:szCs w:val="24"/>
        </w:rPr>
        <w:t xml:space="preserve"> different climatic zones, with different underlying energy system requirements and population densities</w:t>
      </w:r>
      <w:r w:rsidR="00AC7787">
        <w:rPr>
          <w:rFonts w:ascii="Arial" w:hAnsi="Arial" w:cs="Arial"/>
          <w:sz w:val="24"/>
          <w:szCs w:val="24"/>
        </w:rPr>
        <w:t xml:space="preserve"> provide the case studies in this research</w:t>
      </w:r>
      <w:r w:rsidR="00E433DC" w:rsidRPr="00A5667B">
        <w:rPr>
          <w:rFonts w:ascii="Arial" w:hAnsi="Arial" w:cs="Arial"/>
          <w:sz w:val="24"/>
          <w:szCs w:val="24"/>
        </w:rPr>
        <w:t>.</w:t>
      </w:r>
      <w:r w:rsidR="006E1562" w:rsidRPr="00A5667B">
        <w:rPr>
          <w:rFonts w:ascii="Arial" w:hAnsi="Arial" w:cs="Arial"/>
          <w:sz w:val="24"/>
          <w:szCs w:val="24"/>
        </w:rPr>
        <w:t xml:space="preserve"> Depending on their environmental characteristics and national regulatory policies, t</w:t>
      </w:r>
      <w:r w:rsidR="00D356E1" w:rsidRPr="00A5667B">
        <w:rPr>
          <w:rFonts w:ascii="Arial" w:hAnsi="Arial" w:cs="Arial"/>
          <w:sz w:val="24"/>
          <w:szCs w:val="24"/>
        </w:rPr>
        <w:t xml:space="preserve">he </w:t>
      </w:r>
      <w:r w:rsidR="00C03532" w:rsidRPr="00A5667B">
        <w:rPr>
          <w:rFonts w:ascii="Arial" w:hAnsi="Arial" w:cs="Arial"/>
          <w:sz w:val="24"/>
          <w:szCs w:val="24"/>
        </w:rPr>
        <w:t xml:space="preserve">islands have </w:t>
      </w:r>
      <w:r w:rsidR="00224E77">
        <w:rPr>
          <w:rFonts w:ascii="Arial" w:hAnsi="Arial" w:cs="Arial"/>
          <w:sz w:val="24"/>
          <w:szCs w:val="24"/>
        </w:rPr>
        <w:t>different</w:t>
      </w:r>
      <w:r w:rsidR="00224E77" w:rsidRPr="00A5667B">
        <w:rPr>
          <w:rFonts w:ascii="Arial" w:hAnsi="Arial" w:cs="Arial"/>
          <w:sz w:val="24"/>
          <w:szCs w:val="24"/>
        </w:rPr>
        <w:t xml:space="preserve"> </w:t>
      </w:r>
      <w:r w:rsidR="00A95230">
        <w:rPr>
          <w:rFonts w:ascii="Arial" w:hAnsi="Arial" w:cs="Arial"/>
          <w:sz w:val="24"/>
          <w:szCs w:val="24"/>
        </w:rPr>
        <w:t xml:space="preserve">energy generation </w:t>
      </w:r>
      <w:r w:rsidR="00C03532" w:rsidRPr="00A5667B">
        <w:rPr>
          <w:rFonts w:ascii="Arial" w:hAnsi="Arial" w:cs="Arial"/>
          <w:sz w:val="24"/>
          <w:szCs w:val="24"/>
        </w:rPr>
        <w:t>potentials</w:t>
      </w:r>
      <w:r w:rsidR="00A95230">
        <w:rPr>
          <w:rFonts w:ascii="Arial" w:hAnsi="Arial" w:cs="Arial"/>
          <w:sz w:val="24"/>
          <w:szCs w:val="24"/>
        </w:rPr>
        <w:t xml:space="preserve"> for</w:t>
      </w:r>
      <w:r w:rsidR="00224E77">
        <w:rPr>
          <w:rFonts w:ascii="Arial" w:hAnsi="Arial" w:cs="Arial"/>
          <w:sz w:val="24"/>
          <w:szCs w:val="24"/>
        </w:rPr>
        <w:t xml:space="preserve"> different RES technologies</w:t>
      </w:r>
      <w:r w:rsidR="00590006" w:rsidRPr="00A5667B">
        <w:rPr>
          <w:rFonts w:ascii="Arial" w:hAnsi="Arial" w:cs="Arial"/>
          <w:sz w:val="24"/>
          <w:szCs w:val="24"/>
        </w:rPr>
        <w:t>.</w:t>
      </w:r>
      <w:r w:rsidR="00450F1B" w:rsidRPr="00A5667B">
        <w:rPr>
          <w:rFonts w:ascii="Arial" w:hAnsi="Arial" w:cs="Arial"/>
          <w:sz w:val="24"/>
          <w:szCs w:val="24"/>
        </w:rPr>
        <w:t xml:space="preserve"> </w:t>
      </w:r>
      <w:r w:rsidR="0061005D">
        <w:rPr>
          <w:rFonts w:ascii="Arial" w:hAnsi="Arial" w:cs="Arial"/>
          <w:sz w:val="24"/>
          <w:szCs w:val="24"/>
        </w:rPr>
        <w:t xml:space="preserve">As part of their work in the REACT project </w:t>
      </w:r>
      <w:r w:rsidR="00D7572C">
        <w:rPr>
          <w:rFonts w:ascii="Arial" w:hAnsi="Arial" w:cs="Arial"/>
          <w:sz w:val="24"/>
          <w:szCs w:val="24"/>
        </w:rPr>
        <w:t xml:space="preserve">Barney, et al </w:t>
      </w:r>
      <w:r w:rsidR="00C7040F">
        <w:rPr>
          <w:rFonts w:ascii="Arial" w:hAnsi="Arial" w:cs="Arial"/>
          <w:sz w:val="24"/>
          <w:szCs w:val="24"/>
        </w:rPr>
        <w:t>[2</w:t>
      </w:r>
      <w:r w:rsidR="00FE7EA2">
        <w:rPr>
          <w:rFonts w:ascii="Arial" w:hAnsi="Arial" w:cs="Arial"/>
          <w:sz w:val="24"/>
          <w:szCs w:val="24"/>
        </w:rPr>
        <w:t>4</w:t>
      </w:r>
      <w:r w:rsidR="00C7040F">
        <w:rPr>
          <w:rFonts w:ascii="Arial" w:hAnsi="Arial" w:cs="Arial"/>
          <w:sz w:val="24"/>
          <w:szCs w:val="24"/>
        </w:rPr>
        <w:t xml:space="preserve">] </w:t>
      </w:r>
      <w:r w:rsidR="00745227">
        <w:rPr>
          <w:rFonts w:ascii="Arial" w:hAnsi="Arial" w:cs="Arial"/>
          <w:sz w:val="24"/>
          <w:szCs w:val="24"/>
        </w:rPr>
        <w:t xml:space="preserve">identified </w:t>
      </w:r>
      <w:r w:rsidR="00D26139">
        <w:rPr>
          <w:rFonts w:ascii="Arial" w:hAnsi="Arial" w:cs="Arial"/>
          <w:sz w:val="24"/>
          <w:szCs w:val="24"/>
        </w:rPr>
        <w:t xml:space="preserve">renewable </w:t>
      </w:r>
      <w:r w:rsidR="00745227">
        <w:rPr>
          <w:rFonts w:ascii="Arial" w:hAnsi="Arial" w:cs="Arial"/>
          <w:sz w:val="24"/>
          <w:szCs w:val="24"/>
        </w:rPr>
        <w:t xml:space="preserve">energy </w:t>
      </w:r>
      <w:r w:rsidR="00D26139">
        <w:rPr>
          <w:rFonts w:ascii="Arial" w:hAnsi="Arial" w:cs="Arial"/>
          <w:sz w:val="24"/>
          <w:szCs w:val="24"/>
        </w:rPr>
        <w:t xml:space="preserve">(and electricity storage – where needed) </w:t>
      </w:r>
      <w:r w:rsidR="00745227">
        <w:rPr>
          <w:rFonts w:ascii="Arial" w:hAnsi="Arial" w:cs="Arial"/>
          <w:sz w:val="24"/>
          <w:szCs w:val="24"/>
        </w:rPr>
        <w:t xml:space="preserve">mix scenarios for </w:t>
      </w:r>
      <w:r w:rsidR="00187C1B">
        <w:rPr>
          <w:rFonts w:ascii="Arial" w:hAnsi="Arial" w:cs="Arial"/>
          <w:sz w:val="24"/>
          <w:szCs w:val="24"/>
        </w:rPr>
        <w:t xml:space="preserve">the </w:t>
      </w:r>
      <w:r w:rsidR="00892BEF">
        <w:rPr>
          <w:rFonts w:ascii="Arial" w:hAnsi="Arial" w:cs="Arial"/>
          <w:sz w:val="24"/>
          <w:szCs w:val="24"/>
        </w:rPr>
        <w:t>island</w:t>
      </w:r>
      <w:r w:rsidR="00187C1B">
        <w:rPr>
          <w:rFonts w:ascii="Arial" w:hAnsi="Arial" w:cs="Arial"/>
          <w:sz w:val="24"/>
          <w:szCs w:val="24"/>
        </w:rPr>
        <w:t>s</w:t>
      </w:r>
      <w:r w:rsidR="00745227">
        <w:rPr>
          <w:rFonts w:ascii="Arial" w:hAnsi="Arial" w:cs="Arial"/>
          <w:sz w:val="24"/>
          <w:szCs w:val="24"/>
        </w:rPr>
        <w:t xml:space="preserve"> to attain </w:t>
      </w:r>
      <w:r w:rsidR="00D26139">
        <w:rPr>
          <w:rFonts w:ascii="Arial" w:hAnsi="Arial" w:cs="Arial"/>
          <w:sz w:val="24"/>
          <w:szCs w:val="24"/>
        </w:rPr>
        <w:t>energy autonomy</w:t>
      </w:r>
      <w:r w:rsidR="00C06AFC">
        <w:rPr>
          <w:rFonts w:ascii="Arial" w:hAnsi="Arial" w:cs="Arial"/>
          <w:sz w:val="24"/>
          <w:szCs w:val="24"/>
        </w:rPr>
        <w:t>.</w:t>
      </w:r>
      <w:bookmarkStart w:id="2" w:name="_Hlk104213836"/>
      <w:r w:rsidR="00FF2287" w:rsidRPr="00A5667B">
        <w:rPr>
          <w:rFonts w:ascii="Arial" w:hAnsi="Arial" w:cs="Arial"/>
          <w:sz w:val="24"/>
          <w:szCs w:val="24"/>
        </w:rPr>
        <w:t xml:space="preserve"> </w:t>
      </w:r>
      <w:bookmarkEnd w:id="2"/>
    </w:p>
    <w:p w14:paraId="0768A183" w14:textId="3A3D0BB7" w:rsidR="00224C3F" w:rsidRPr="00A5667B" w:rsidRDefault="000946D5" w:rsidP="00224C3F">
      <w:pPr>
        <w:spacing w:line="360" w:lineRule="auto"/>
        <w:jc w:val="both"/>
        <w:rPr>
          <w:rFonts w:ascii="Arial" w:hAnsi="Arial" w:cs="Arial"/>
          <w:sz w:val="24"/>
          <w:szCs w:val="24"/>
        </w:rPr>
      </w:pPr>
      <w:r>
        <w:rPr>
          <w:rFonts w:ascii="Arial" w:hAnsi="Arial" w:cs="Arial"/>
          <w:sz w:val="24"/>
          <w:szCs w:val="24"/>
        </w:rPr>
        <w:t>S</w:t>
      </w:r>
      <w:r w:rsidR="00224C3F" w:rsidRPr="00A5667B">
        <w:rPr>
          <w:rFonts w:ascii="Arial" w:hAnsi="Arial" w:cs="Arial"/>
          <w:sz w:val="24"/>
          <w:szCs w:val="24"/>
        </w:rPr>
        <w:t>ocio-economic impacts are the outcome of the interaction between the characteristics of the project</w:t>
      </w:r>
      <w:r w:rsidR="00A3114B" w:rsidRPr="00A5667B">
        <w:rPr>
          <w:rFonts w:ascii="Arial" w:hAnsi="Arial" w:cs="Arial"/>
          <w:sz w:val="24"/>
          <w:szCs w:val="24"/>
        </w:rPr>
        <w:t xml:space="preserve"> and </w:t>
      </w:r>
      <w:r w:rsidR="00224C3F" w:rsidRPr="00A5667B">
        <w:rPr>
          <w:rFonts w:ascii="Arial" w:hAnsi="Arial" w:cs="Arial"/>
          <w:sz w:val="24"/>
          <w:szCs w:val="24"/>
        </w:rPr>
        <w:t>development actions</w:t>
      </w:r>
      <w:r w:rsidR="007879D4">
        <w:rPr>
          <w:rFonts w:ascii="Arial" w:hAnsi="Arial" w:cs="Arial"/>
          <w:sz w:val="24"/>
          <w:szCs w:val="24"/>
        </w:rPr>
        <w:t xml:space="preserve"> i.e., </w:t>
      </w:r>
      <w:r w:rsidR="00AD3723">
        <w:rPr>
          <w:rFonts w:ascii="Arial" w:hAnsi="Arial" w:cs="Arial"/>
          <w:sz w:val="24"/>
          <w:szCs w:val="24"/>
        </w:rPr>
        <w:t>the RES</w:t>
      </w:r>
      <w:r w:rsidR="00A475C5">
        <w:rPr>
          <w:rFonts w:ascii="Arial" w:hAnsi="Arial" w:cs="Arial"/>
          <w:sz w:val="24"/>
          <w:szCs w:val="24"/>
        </w:rPr>
        <w:t xml:space="preserve"> facility </w:t>
      </w:r>
      <w:r w:rsidR="00224C3F" w:rsidRPr="00A5667B">
        <w:rPr>
          <w:rFonts w:ascii="Arial" w:hAnsi="Arial" w:cs="Arial"/>
          <w:sz w:val="24"/>
          <w:szCs w:val="24"/>
        </w:rPr>
        <w:t>and the characteristics of the ‘host’ environment</w:t>
      </w:r>
      <w:r w:rsidR="00C7040F">
        <w:rPr>
          <w:rFonts w:ascii="Arial" w:hAnsi="Arial" w:cs="Arial"/>
          <w:sz w:val="24"/>
          <w:szCs w:val="24"/>
        </w:rPr>
        <w:t xml:space="preserve"> </w:t>
      </w:r>
      <w:r w:rsidR="00A475C5">
        <w:rPr>
          <w:rFonts w:ascii="Arial" w:hAnsi="Arial" w:cs="Arial"/>
          <w:sz w:val="24"/>
          <w:szCs w:val="24"/>
        </w:rPr>
        <w:t>which is the local economy</w:t>
      </w:r>
      <w:r w:rsidR="00AC505B" w:rsidRPr="00A5667B">
        <w:rPr>
          <w:rFonts w:ascii="Arial" w:hAnsi="Arial" w:cs="Arial"/>
          <w:sz w:val="24"/>
          <w:szCs w:val="24"/>
        </w:rPr>
        <w:t xml:space="preserve"> composed of the different business/service sectors active in the economy</w:t>
      </w:r>
      <w:r w:rsidR="00A475C5">
        <w:rPr>
          <w:rFonts w:ascii="Arial" w:hAnsi="Arial" w:cs="Arial"/>
          <w:sz w:val="24"/>
          <w:szCs w:val="24"/>
        </w:rPr>
        <w:t xml:space="preserve"> </w:t>
      </w:r>
      <w:r w:rsidR="00C7040F">
        <w:rPr>
          <w:rFonts w:ascii="Arial" w:hAnsi="Arial" w:cs="Arial"/>
          <w:sz w:val="24"/>
          <w:szCs w:val="24"/>
        </w:rPr>
        <w:t>[2</w:t>
      </w:r>
      <w:r w:rsidR="00FE7EA2">
        <w:rPr>
          <w:rFonts w:ascii="Arial" w:hAnsi="Arial" w:cs="Arial"/>
          <w:sz w:val="24"/>
          <w:szCs w:val="24"/>
        </w:rPr>
        <w:t>1</w:t>
      </w:r>
      <w:r w:rsidR="00C7040F">
        <w:rPr>
          <w:rFonts w:ascii="Arial" w:hAnsi="Arial" w:cs="Arial"/>
          <w:sz w:val="24"/>
          <w:szCs w:val="24"/>
        </w:rPr>
        <w:t>].</w:t>
      </w:r>
      <w:r w:rsidR="00304043">
        <w:rPr>
          <w:rFonts w:ascii="Arial" w:hAnsi="Arial" w:cs="Arial"/>
          <w:sz w:val="24"/>
          <w:szCs w:val="24"/>
        </w:rPr>
        <w:t xml:space="preserve"> </w:t>
      </w:r>
      <w:r w:rsidR="00E57991" w:rsidRPr="00A5667B">
        <w:rPr>
          <w:rFonts w:ascii="Arial" w:hAnsi="Arial" w:cs="Arial"/>
          <w:sz w:val="24"/>
          <w:szCs w:val="24"/>
        </w:rPr>
        <w:t>In terms of</w:t>
      </w:r>
      <w:r w:rsidR="00224C3F" w:rsidRPr="00A5667B">
        <w:rPr>
          <w:rFonts w:ascii="Arial" w:hAnsi="Arial" w:cs="Arial"/>
          <w:sz w:val="24"/>
          <w:szCs w:val="24"/>
        </w:rPr>
        <w:t xml:space="preserve"> Marginal Propensities to Consume (MPCs), the strength of </w:t>
      </w:r>
      <w:r w:rsidR="00525937">
        <w:rPr>
          <w:rFonts w:ascii="Arial" w:hAnsi="Arial" w:cs="Arial"/>
          <w:sz w:val="24"/>
          <w:szCs w:val="24"/>
        </w:rPr>
        <w:t xml:space="preserve">different </w:t>
      </w:r>
      <w:r w:rsidR="00224C3F" w:rsidRPr="00A5667B">
        <w:rPr>
          <w:rFonts w:ascii="Arial" w:hAnsi="Arial" w:cs="Arial"/>
          <w:sz w:val="24"/>
          <w:szCs w:val="24"/>
        </w:rPr>
        <w:t>sectors in instigating re-spend</w:t>
      </w:r>
      <w:r w:rsidR="00E57991" w:rsidRPr="00A5667B">
        <w:rPr>
          <w:rFonts w:ascii="Arial" w:hAnsi="Arial" w:cs="Arial"/>
          <w:sz w:val="24"/>
          <w:szCs w:val="24"/>
        </w:rPr>
        <w:t>ing</w:t>
      </w:r>
      <w:r w:rsidR="00224C3F" w:rsidRPr="00A5667B">
        <w:rPr>
          <w:rFonts w:ascii="Arial" w:hAnsi="Arial" w:cs="Arial"/>
          <w:sz w:val="24"/>
          <w:szCs w:val="24"/>
        </w:rPr>
        <w:t xml:space="preserve"> varies from island to island</w:t>
      </w:r>
      <w:r w:rsidR="00E57991" w:rsidRPr="00A5667B">
        <w:rPr>
          <w:rFonts w:ascii="Arial" w:hAnsi="Arial" w:cs="Arial"/>
          <w:sz w:val="24"/>
          <w:szCs w:val="24"/>
        </w:rPr>
        <w:t>.</w:t>
      </w:r>
      <w:r w:rsidR="003C16E7">
        <w:rPr>
          <w:rFonts w:ascii="Arial" w:hAnsi="Arial" w:cs="Arial"/>
          <w:sz w:val="24"/>
          <w:szCs w:val="24"/>
        </w:rPr>
        <w:t xml:space="preserve"> </w:t>
      </w:r>
      <w:r w:rsidR="00224C3F" w:rsidRPr="00A5667B">
        <w:rPr>
          <w:rFonts w:ascii="Arial" w:hAnsi="Arial" w:cs="Arial"/>
          <w:sz w:val="24"/>
          <w:szCs w:val="24"/>
        </w:rPr>
        <w:t>T</w:t>
      </w:r>
      <w:r w:rsidR="0044015B" w:rsidRPr="00A5667B">
        <w:rPr>
          <w:rFonts w:ascii="Arial" w:hAnsi="Arial" w:cs="Arial"/>
          <w:sz w:val="24"/>
          <w:szCs w:val="24"/>
        </w:rPr>
        <w:t>his variation in MPCs</w:t>
      </w:r>
      <w:r w:rsidR="00A20AA5">
        <w:rPr>
          <w:rFonts w:ascii="Arial" w:hAnsi="Arial" w:cs="Arial"/>
          <w:sz w:val="24"/>
          <w:szCs w:val="24"/>
        </w:rPr>
        <w:t xml:space="preserve"> should be captured by the </w:t>
      </w:r>
      <w:r w:rsidR="00224C3F" w:rsidRPr="00A5667B">
        <w:rPr>
          <w:rFonts w:ascii="Arial" w:hAnsi="Arial" w:cs="Arial"/>
          <w:sz w:val="24"/>
          <w:szCs w:val="24"/>
        </w:rPr>
        <w:t>new method of assessment proposed.</w:t>
      </w:r>
    </w:p>
    <w:p w14:paraId="4A7FF63B" w14:textId="298992E4" w:rsidR="006573AA" w:rsidRPr="006573AA" w:rsidRDefault="006573AA" w:rsidP="00A663E9">
      <w:pPr>
        <w:pStyle w:val="Heading2"/>
        <w:ind w:firstLine="720"/>
      </w:pPr>
      <w:r>
        <w:t>3.</w:t>
      </w:r>
      <w:r w:rsidRPr="000514E3">
        <w:rPr>
          <w:rFonts w:ascii="Arial" w:hAnsi="Arial" w:cs="Arial"/>
          <w:sz w:val="24"/>
          <w:szCs w:val="24"/>
        </w:rPr>
        <w:t>1 L</w:t>
      </w:r>
      <w:r w:rsidR="00383ABB" w:rsidRPr="000514E3">
        <w:rPr>
          <w:rFonts w:ascii="Arial" w:hAnsi="Arial" w:cs="Arial"/>
          <w:sz w:val="24"/>
          <w:szCs w:val="24"/>
        </w:rPr>
        <w:t>a</w:t>
      </w:r>
      <w:r w:rsidRPr="000514E3">
        <w:rPr>
          <w:rFonts w:ascii="Arial" w:hAnsi="Arial" w:cs="Arial"/>
          <w:sz w:val="24"/>
          <w:szCs w:val="24"/>
        </w:rPr>
        <w:t xml:space="preserve"> G</w:t>
      </w:r>
      <w:r w:rsidR="00383ABB" w:rsidRPr="000514E3">
        <w:rPr>
          <w:rFonts w:ascii="Arial" w:hAnsi="Arial" w:cs="Arial"/>
          <w:sz w:val="24"/>
          <w:szCs w:val="24"/>
        </w:rPr>
        <w:t>raciosa</w:t>
      </w:r>
      <w:r w:rsidR="009A2B07" w:rsidRPr="000514E3">
        <w:rPr>
          <w:rFonts w:ascii="Arial" w:hAnsi="Arial" w:cs="Arial"/>
          <w:sz w:val="24"/>
          <w:szCs w:val="24"/>
        </w:rPr>
        <w:t xml:space="preserve"> Island</w:t>
      </w:r>
    </w:p>
    <w:p w14:paraId="24A57FF5" w14:textId="057D0E87" w:rsidR="00C718FC" w:rsidRDefault="0063637D" w:rsidP="00686CE0">
      <w:pPr>
        <w:spacing w:line="360" w:lineRule="auto"/>
        <w:jc w:val="both"/>
        <w:rPr>
          <w:rFonts w:ascii="Arial" w:hAnsi="Arial" w:cs="Arial"/>
          <w:sz w:val="24"/>
          <w:szCs w:val="24"/>
        </w:rPr>
      </w:pPr>
      <w:r>
        <w:rPr>
          <w:rFonts w:ascii="Arial" w:hAnsi="Arial" w:cs="Arial"/>
          <w:sz w:val="24"/>
          <w:szCs w:val="24"/>
        </w:rPr>
        <w:t>La Graciosa</w:t>
      </w:r>
      <w:r w:rsidR="009E36AC" w:rsidRPr="00A5667B">
        <w:rPr>
          <w:rFonts w:ascii="Arial" w:hAnsi="Arial" w:cs="Arial"/>
          <w:sz w:val="24"/>
          <w:szCs w:val="24"/>
        </w:rPr>
        <w:t xml:space="preserve"> </w:t>
      </w:r>
      <w:r w:rsidR="00BE18EA" w:rsidRPr="00A5667B">
        <w:rPr>
          <w:rFonts w:ascii="Arial" w:hAnsi="Arial" w:cs="Arial"/>
          <w:sz w:val="24"/>
          <w:szCs w:val="24"/>
        </w:rPr>
        <w:t>is a vol</w:t>
      </w:r>
      <w:r w:rsidR="007965E8" w:rsidRPr="00A5667B">
        <w:rPr>
          <w:rFonts w:ascii="Arial" w:hAnsi="Arial" w:cs="Arial"/>
          <w:sz w:val="24"/>
          <w:szCs w:val="24"/>
        </w:rPr>
        <w:t xml:space="preserve">canic </w:t>
      </w:r>
      <w:r w:rsidR="009B7F95" w:rsidRPr="00A5667B">
        <w:rPr>
          <w:rFonts w:ascii="Arial" w:hAnsi="Arial" w:cs="Arial"/>
          <w:sz w:val="24"/>
          <w:szCs w:val="24"/>
        </w:rPr>
        <w:t>i</w:t>
      </w:r>
      <w:r w:rsidR="007965E8" w:rsidRPr="00A5667B">
        <w:rPr>
          <w:rFonts w:ascii="Arial" w:hAnsi="Arial" w:cs="Arial"/>
          <w:sz w:val="24"/>
          <w:szCs w:val="24"/>
        </w:rPr>
        <w:t xml:space="preserve">sland in the Canary Islands of Spain </w:t>
      </w:r>
      <w:r w:rsidR="009B7F95" w:rsidRPr="00A5667B">
        <w:rPr>
          <w:rFonts w:ascii="Arial" w:hAnsi="Arial" w:cs="Arial"/>
          <w:sz w:val="24"/>
          <w:szCs w:val="24"/>
        </w:rPr>
        <w:t>with</w:t>
      </w:r>
      <w:r w:rsidR="007965E8" w:rsidRPr="00A5667B">
        <w:rPr>
          <w:rFonts w:ascii="Arial" w:hAnsi="Arial" w:cs="Arial"/>
          <w:sz w:val="24"/>
          <w:szCs w:val="24"/>
        </w:rPr>
        <w:t xml:space="preserve"> an area of 29km</w:t>
      </w:r>
      <w:r w:rsidR="007965E8" w:rsidRPr="00A5667B">
        <w:rPr>
          <w:rFonts w:ascii="Arial" w:hAnsi="Arial" w:cs="Arial"/>
          <w:sz w:val="24"/>
          <w:szCs w:val="24"/>
          <w:vertAlign w:val="superscript"/>
        </w:rPr>
        <w:t>2</w:t>
      </w:r>
      <w:r w:rsidR="000C3A86" w:rsidRPr="00A5667B">
        <w:rPr>
          <w:rFonts w:ascii="Arial" w:hAnsi="Arial" w:cs="Arial"/>
          <w:sz w:val="24"/>
          <w:szCs w:val="24"/>
        </w:rPr>
        <w:t xml:space="preserve">. It has </w:t>
      </w:r>
      <w:r w:rsidR="00887B44" w:rsidRPr="00A5667B">
        <w:rPr>
          <w:rFonts w:ascii="Arial" w:hAnsi="Arial" w:cs="Arial"/>
          <w:sz w:val="24"/>
          <w:szCs w:val="24"/>
        </w:rPr>
        <w:t>two</w:t>
      </w:r>
      <w:r w:rsidR="000C3A86" w:rsidRPr="00A5667B">
        <w:rPr>
          <w:rFonts w:ascii="Arial" w:hAnsi="Arial" w:cs="Arial"/>
          <w:sz w:val="24"/>
          <w:szCs w:val="24"/>
        </w:rPr>
        <w:t xml:space="preserve"> population centres, Caleta del Sebo and Pedro Barba. In 2018, the population registered was 734 inhabitants, of which 730 w</w:t>
      </w:r>
      <w:r w:rsidR="009B7F95" w:rsidRPr="00A5667B">
        <w:rPr>
          <w:rFonts w:ascii="Arial" w:hAnsi="Arial" w:cs="Arial"/>
          <w:sz w:val="24"/>
          <w:szCs w:val="24"/>
        </w:rPr>
        <w:t>ere</w:t>
      </w:r>
      <w:r w:rsidR="000C3A86" w:rsidRPr="00A5667B">
        <w:rPr>
          <w:rFonts w:ascii="Arial" w:hAnsi="Arial" w:cs="Arial"/>
          <w:sz w:val="24"/>
          <w:szCs w:val="24"/>
        </w:rPr>
        <w:t xml:space="preserve"> for Caleta del Sebo.</w:t>
      </w:r>
      <w:r w:rsidR="003C4648" w:rsidRPr="00A5667B">
        <w:rPr>
          <w:rFonts w:ascii="Arial" w:hAnsi="Arial" w:cs="Arial"/>
          <w:sz w:val="24"/>
          <w:szCs w:val="24"/>
        </w:rPr>
        <w:t xml:space="preserve"> It</w:t>
      </w:r>
      <w:r w:rsidR="009B7F95" w:rsidRPr="00A5667B">
        <w:rPr>
          <w:rFonts w:ascii="Arial" w:hAnsi="Arial" w:cs="Arial"/>
          <w:sz w:val="24"/>
          <w:szCs w:val="24"/>
        </w:rPr>
        <w:t>’</w:t>
      </w:r>
      <w:r w:rsidR="003C4648" w:rsidRPr="00A5667B">
        <w:rPr>
          <w:rFonts w:ascii="Arial" w:hAnsi="Arial" w:cs="Arial"/>
          <w:sz w:val="24"/>
          <w:szCs w:val="24"/>
        </w:rPr>
        <w:t>s electricity consumption</w:t>
      </w:r>
      <w:r w:rsidR="009B7F95" w:rsidRPr="00A5667B">
        <w:rPr>
          <w:rFonts w:ascii="Arial" w:hAnsi="Arial" w:cs="Arial"/>
          <w:sz w:val="24"/>
          <w:szCs w:val="24"/>
        </w:rPr>
        <w:t>,</w:t>
      </w:r>
      <w:r w:rsidR="003C4648" w:rsidRPr="00A5667B">
        <w:rPr>
          <w:rFonts w:ascii="Arial" w:hAnsi="Arial" w:cs="Arial"/>
          <w:sz w:val="24"/>
          <w:szCs w:val="24"/>
        </w:rPr>
        <w:t xml:space="preserve"> as recorded in 2017 by </w:t>
      </w:r>
      <w:proofErr w:type="spellStart"/>
      <w:r w:rsidR="003C4648" w:rsidRPr="00A5667B">
        <w:rPr>
          <w:rFonts w:ascii="Arial" w:hAnsi="Arial" w:cs="Arial"/>
          <w:sz w:val="24"/>
          <w:szCs w:val="24"/>
        </w:rPr>
        <w:t>Fenie</w:t>
      </w:r>
      <w:proofErr w:type="spellEnd"/>
      <w:r w:rsidR="003C4648" w:rsidRPr="00A5667B">
        <w:rPr>
          <w:rFonts w:ascii="Arial" w:hAnsi="Arial" w:cs="Arial"/>
          <w:sz w:val="24"/>
          <w:szCs w:val="24"/>
        </w:rPr>
        <w:t xml:space="preserve"> </w:t>
      </w:r>
      <w:proofErr w:type="spellStart"/>
      <w:r w:rsidR="003C4648" w:rsidRPr="00A5667B">
        <w:rPr>
          <w:rFonts w:ascii="Arial" w:hAnsi="Arial" w:cs="Arial"/>
          <w:sz w:val="24"/>
          <w:szCs w:val="24"/>
        </w:rPr>
        <w:t>Energia</w:t>
      </w:r>
      <w:proofErr w:type="spellEnd"/>
      <w:r w:rsidR="003C4648" w:rsidRPr="00A5667B">
        <w:rPr>
          <w:rFonts w:ascii="Arial" w:hAnsi="Arial" w:cs="Arial"/>
          <w:sz w:val="24"/>
          <w:szCs w:val="24"/>
        </w:rPr>
        <w:t>, the electricity retailer in Spain</w:t>
      </w:r>
      <w:r w:rsidR="009B7F95" w:rsidRPr="00A5667B">
        <w:rPr>
          <w:rFonts w:ascii="Arial" w:hAnsi="Arial" w:cs="Arial"/>
          <w:sz w:val="24"/>
          <w:szCs w:val="24"/>
        </w:rPr>
        <w:t>,</w:t>
      </w:r>
      <w:r w:rsidR="003C4648" w:rsidRPr="00A5667B">
        <w:rPr>
          <w:rFonts w:ascii="Arial" w:hAnsi="Arial" w:cs="Arial"/>
          <w:sz w:val="24"/>
          <w:szCs w:val="24"/>
        </w:rPr>
        <w:t xml:space="preserve"> </w:t>
      </w:r>
      <w:r w:rsidR="00A464A7" w:rsidRPr="00A5667B">
        <w:rPr>
          <w:rFonts w:ascii="Arial" w:hAnsi="Arial" w:cs="Arial"/>
          <w:sz w:val="24"/>
          <w:szCs w:val="24"/>
        </w:rPr>
        <w:t>was</w:t>
      </w:r>
      <w:r w:rsidR="003C4648" w:rsidRPr="00A5667B">
        <w:rPr>
          <w:rFonts w:ascii="Arial" w:hAnsi="Arial" w:cs="Arial"/>
          <w:sz w:val="24"/>
          <w:szCs w:val="24"/>
        </w:rPr>
        <w:t xml:space="preserve"> 1,861MWh. The major economic sectors in La Graciosa are </w:t>
      </w:r>
      <w:r w:rsidR="008A7742" w:rsidRPr="00A5667B">
        <w:rPr>
          <w:rFonts w:ascii="Arial" w:hAnsi="Arial" w:cs="Arial"/>
          <w:sz w:val="24"/>
          <w:szCs w:val="24"/>
        </w:rPr>
        <w:t xml:space="preserve">tourism </w:t>
      </w:r>
      <w:r w:rsidR="0099577E" w:rsidRPr="00A5667B">
        <w:rPr>
          <w:rFonts w:ascii="Arial" w:hAnsi="Arial" w:cs="Arial"/>
          <w:sz w:val="24"/>
          <w:szCs w:val="24"/>
        </w:rPr>
        <w:t>and</w:t>
      </w:r>
      <w:r w:rsidR="003C4648" w:rsidRPr="00A5667B">
        <w:rPr>
          <w:rFonts w:ascii="Arial" w:hAnsi="Arial" w:cs="Arial"/>
          <w:sz w:val="24"/>
          <w:szCs w:val="24"/>
        </w:rPr>
        <w:t xml:space="preserve"> fishing</w:t>
      </w:r>
      <w:r w:rsidR="008A7742" w:rsidRPr="00A5667B">
        <w:rPr>
          <w:rFonts w:ascii="Arial" w:hAnsi="Arial" w:cs="Arial"/>
          <w:sz w:val="24"/>
          <w:szCs w:val="24"/>
        </w:rPr>
        <w:t>.</w:t>
      </w:r>
      <w:r w:rsidR="00686CE0" w:rsidRPr="00A5667B">
        <w:rPr>
          <w:rFonts w:ascii="Arial" w:hAnsi="Arial" w:cs="Arial"/>
          <w:sz w:val="24"/>
          <w:szCs w:val="24"/>
        </w:rPr>
        <w:t xml:space="preserve"> </w:t>
      </w:r>
      <w:r w:rsidR="009B4A75" w:rsidRPr="00A5667B">
        <w:rPr>
          <w:rFonts w:ascii="Arial" w:hAnsi="Arial" w:cs="Arial"/>
          <w:sz w:val="24"/>
          <w:szCs w:val="24"/>
        </w:rPr>
        <w:t xml:space="preserve">The </w:t>
      </w:r>
      <w:r w:rsidR="006A2A17">
        <w:rPr>
          <w:rFonts w:ascii="Arial" w:hAnsi="Arial" w:cs="Arial"/>
          <w:sz w:val="24"/>
          <w:szCs w:val="24"/>
        </w:rPr>
        <w:t xml:space="preserve">100% </w:t>
      </w:r>
      <w:r w:rsidR="00EB37B5">
        <w:rPr>
          <w:rFonts w:ascii="Arial" w:hAnsi="Arial" w:cs="Arial"/>
          <w:sz w:val="24"/>
          <w:szCs w:val="24"/>
        </w:rPr>
        <w:t xml:space="preserve">RES </w:t>
      </w:r>
      <w:r w:rsidR="009B4A75" w:rsidRPr="00A5667B">
        <w:rPr>
          <w:rFonts w:ascii="Arial" w:hAnsi="Arial" w:cs="Arial"/>
          <w:sz w:val="24"/>
          <w:szCs w:val="24"/>
        </w:rPr>
        <w:t xml:space="preserve">energy </w:t>
      </w:r>
      <w:r w:rsidR="00EB37B5">
        <w:rPr>
          <w:rFonts w:ascii="Arial" w:hAnsi="Arial" w:cs="Arial"/>
          <w:sz w:val="24"/>
          <w:szCs w:val="24"/>
        </w:rPr>
        <w:t>autonomy</w:t>
      </w:r>
      <w:r w:rsidR="00EB37B5" w:rsidRPr="00A5667B">
        <w:rPr>
          <w:rFonts w:ascii="Arial" w:hAnsi="Arial" w:cs="Arial"/>
          <w:sz w:val="24"/>
          <w:szCs w:val="24"/>
        </w:rPr>
        <w:t xml:space="preserve"> </w:t>
      </w:r>
      <w:r w:rsidR="009B4A75" w:rsidRPr="00A5667B">
        <w:rPr>
          <w:rFonts w:ascii="Arial" w:hAnsi="Arial" w:cs="Arial"/>
          <w:sz w:val="24"/>
          <w:szCs w:val="24"/>
        </w:rPr>
        <w:t xml:space="preserve">scenario best suited for it based on </w:t>
      </w:r>
      <w:r w:rsidR="005C2223" w:rsidRPr="00A5667B">
        <w:rPr>
          <w:rFonts w:ascii="Arial" w:hAnsi="Arial" w:cs="Arial"/>
          <w:sz w:val="24"/>
          <w:szCs w:val="24"/>
        </w:rPr>
        <w:t xml:space="preserve">previous </w:t>
      </w:r>
      <w:r w:rsidR="005C2223" w:rsidRPr="00A5667B">
        <w:rPr>
          <w:rFonts w:ascii="Arial" w:hAnsi="Arial" w:cs="Arial"/>
          <w:sz w:val="24"/>
          <w:szCs w:val="24"/>
        </w:rPr>
        <w:lastRenderedPageBreak/>
        <w:t xml:space="preserve">research </w:t>
      </w:r>
      <w:r w:rsidR="00C7040F">
        <w:rPr>
          <w:rFonts w:ascii="Arial" w:hAnsi="Arial" w:cs="Arial"/>
          <w:sz w:val="24"/>
          <w:szCs w:val="24"/>
        </w:rPr>
        <w:t>[2</w:t>
      </w:r>
      <w:r w:rsidR="00FE7EA2">
        <w:rPr>
          <w:rFonts w:ascii="Arial" w:hAnsi="Arial" w:cs="Arial"/>
          <w:sz w:val="24"/>
          <w:szCs w:val="24"/>
        </w:rPr>
        <w:t>4</w:t>
      </w:r>
      <w:r w:rsidR="00C7040F">
        <w:rPr>
          <w:rFonts w:ascii="Arial" w:hAnsi="Arial" w:cs="Arial"/>
          <w:sz w:val="24"/>
          <w:szCs w:val="24"/>
        </w:rPr>
        <w:t xml:space="preserve">] </w:t>
      </w:r>
      <w:r w:rsidR="005C2223" w:rsidRPr="00A5667B">
        <w:rPr>
          <w:rFonts w:ascii="Arial" w:hAnsi="Arial" w:cs="Arial"/>
          <w:sz w:val="24"/>
          <w:szCs w:val="24"/>
        </w:rPr>
        <w:t xml:space="preserve">was a solar capacity of 0.5MWp at </w:t>
      </w:r>
      <w:proofErr w:type="spellStart"/>
      <w:r w:rsidR="00DF521B">
        <w:rPr>
          <w:rFonts w:ascii="Arial" w:hAnsi="Arial" w:cs="Arial"/>
          <w:sz w:val="24"/>
          <w:szCs w:val="24"/>
        </w:rPr>
        <w:t>Levelised</w:t>
      </w:r>
      <w:proofErr w:type="spellEnd"/>
      <w:r w:rsidR="00DF521B">
        <w:rPr>
          <w:rFonts w:ascii="Arial" w:hAnsi="Arial" w:cs="Arial"/>
          <w:sz w:val="24"/>
          <w:szCs w:val="24"/>
        </w:rPr>
        <w:t xml:space="preserve"> </w:t>
      </w:r>
      <w:r w:rsidR="00BA0CD7">
        <w:rPr>
          <w:rFonts w:ascii="Arial" w:hAnsi="Arial" w:cs="Arial"/>
          <w:sz w:val="24"/>
          <w:szCs w:val="24"/>
        </w:rPr>
        <w:t>C</w:t>
      </w:r>
      <w:r w:rsidR="00DF521B">
        <w:rPr>
          <w:rFonts w:ascii="Arial" w:hAnsi="Arial" w:cs="Arial"/>
          <w:sz w:val="24"/>
          <w:szCs w:val="24"/>
        </w:rPr>
        <w:t xml:space="preserve">ost of </w:t>
      </w:r>
      <w:r w:rsidR="00BA0CD7">
        <w:rPr>
          <w:rFonts w:ascii="Arial" w:hAnsi="Arial" w:cs="Arial"/>
          <w:sz w:val="24"/>
          <w:szCs w:val="24"/>
        </w:rPr>
        <w:t>E</w:t>
      </w:r>
      <w:r w:rsidR="00DF521B">
        <w:rPr>
          <w:rFonts w:ascii="Arial" w:hAnsi="Arial" w:cs="Arial"/>
          <w:sz w:val="24"/>
          <w:szCs w:val="24"/>
        </w:rPr>
        <w:t xml:space="preserve">nergy </w:t>
      </w:r>
      <w:r w:rsidR="00EF27A2">
        <w:rPr>
          <w:rFonts w:ascii="Arial" w:hAnsi="Arial" w:cs="Arial"/>
          <w:sz w:val="24"/>
          <w:szCs w:val="24"/>
        </w:rPr>
        <w:t xml:space="preserve">(LCOE) </w:t>
      </w:r>
      <w:r w:rsidR="005C2223" w:rsidRPr="00A5667B">
        <w:rPr>
          <w:rFonts w:ascii="Arial" w:hAnsi="Arial" w:cs="Arial"/>
          <w:sz w:val="24"/>
          <w:szCs w:val="24"/>
        </w:rPr>
        <w:t>of 0.12€/kWh</w:t>
      </w:r>
      <w:r w:rsidR="00367BBB">
        <w:rPr>
          <w:rFonts w:ascii="Arial" w:hAnsi="Arial" w:cs="Arial"/>
          <w:sz w:val="24"/>
          <w:szCs w:val="24"/>
        </w:rPr>
        <w:t>, which is shown in columns 5 and 6 of Table 1</w:t>
      </w:r>
      <w:r w:rsidR="005C2223" w:rsidRPr="00A5667B">
        <w:rPr>
          <w:rFonts w:ascii="Arial" w:hAnsi="Arial" w:cs="Arial"/>
          <w:sz w:val="24"/>
          <w:szCs w:val="24"/>
        </w:rPr>
        <w:t>.</w:t>
      </w:r>
    </w:p>
    <w:p w14:paraId="79EF0152" w14:textId="2FC6FFAF" w:rsidR="00DA7FE5" w:rsidRPr="000514E3" w:rsidRDefault="00DA7FE5" w:rsidP="0022116F">
      <w:pPr>
        <w:pStyle w:val="Heading2"/>
        <w:ind w:firstLine="720"/>
        <w:rPr>
          <w:rFonts w:ascii="Arial" w:hAnsi="Arial" w:cs="Arial"/>
          <w:sz w:val="24"/>
          <w:szCs w:val="24"/>
        </w:rPr>
      </w:pPr>
      <w:r>
        <w:t xml:space="preserve">3.2 </w:t>
      </w:r>
      <w:r w:rsidRPr="000514E3">
        <w:rPr>
          <w:rFonts w:ascii="Arial" w:hAnsi="Arial" w:cs="Arial"/>
          <w:sz w:val="24"/>
          <w:szCs w:val="24"/>
        </w:rPr>
        <w:t>Gotland Island</w:t>
      </w:r>
    </w:p>
    <w:p w14:paraId="541CE656" w14:textId="2EF63E50" w:rsidR="00C35362" w:rsidRDefault="0022116F" w:rsidP="00C35362">
      <w:pPr>
        <w:spacing w:line="360" w:lineRule="auto"/>
        <w:jc w:val="both"/>
        <w:rPr>
          <w:rFonts w:ascii="Arial" w:hAnsi="Arial" w:cs="Arial"/>
          <w:sz w:val="24"/>
          <w:szCs w:val="24"/>
        </w:rPr>
      </w:pPr>
      <w:r w:rsidRPr="0022116F">
        <w:rPr>
          <w:rFonts w:ascii="Arial" w:hAnsi="Arial" w:cs="Arial"/>
          <w:sz w:val="24"/>
          <w:szCs w:val="24"/>
        </w:rPr>
        <w:t xml:space="preserve">Gotland Island </w:t>
      </w:r>
      <w:r w:rsidR="002E27D9">
        <w:rPr>
          <w:rFonts w:ascii="Arial" w:hAnsi="Arial" w:cs="Arial"/>
          <w:sz w:val="24"/>
          <w:szCs w:val="24"/>
        </w:rPr>
        <w:t xml:space="preserve">is a very </w:t>
      </w:r>
      <w:r w:rsidR="00013F8D">
        <w:rPr>
          <w:rFonts w:ascii="Arial" w:hAnsi="Arial" w:cs="Arial"/>
          <w:sz w:val="24"/>
          <w:szCs w:val="24"/>
        </w:rPr>
        <w:t>large island in Sweden</w:t>
      </w:r>
      <w:r w:rsidR="00FD63C7">
        <w:rPr>
          <w:rFonts w:ascii="Arial" w:hAnsi="Arial" w:cs="Arial"/>
          <w:sz w:val="24"/>
          <w:szCs w:val="24"/>
        </w:rPr>
        <w:t>,</w:t>
      </w:r>
      <w:r w:rsidR="00013F8D">
        <w:rPr>
          <w:rFonts w:ascii="Arial" w:hAnsi="Arial" w:cs="Arial"/>
          <w:sz w:val="24"/>
          <w:szCs w:val="24"/>
        </w:rPr>
        <w:t xml:space="preserve"> located in the Baltic </w:t>
      </w:r>
      <w:r w:rsidR="00CB1DC2">
        <w:rPr>
          <w:rFonts w:ascii="Arial" w:hAnsi="Arial" w:cs="Arial"/>
          <w:sz w:val="24"/>
          <w:szCs w:val="24"/>
        </w:rPr>
        <w:t>Sea</w:t>
      </w:r>
      <w:r w:rsidR="00BE369F">
        <w:rPr>
          <w:rFonts w:ascii="Arial" w:hAnsi="Arial" w:cs="Arial"/>
          <w:sz w:val="24"/>
          <w:szCs w:val="24"/>
        </w:rPr>
        <w:t xml:space="preserve"> with a population of </w:t>
      </w:r>
      <w:r w:rsidR="00182F81">
        <w:rPr>
          <w:rFonts w:ascii="Arial" w:hAnsi="Arial" w:cs="Arial"/>
          <w:sz w:val="24"/>
          <w:szCs w:val="24"/>
        </w:rPr>
        <w:t>59,249 as recorded in 2015</w:t>
      </w:r>
      <w:r w:rsidR="001B59E5">
        <w:rPr>
          <w:rFonts w:ascii="Arial" w:hAnsi="Arial" w:cs="Arial"/>
          <w:sz w:val="24"/>
          <w:szCs w:val="24"/>
        </w:rPr>
        <w:t xml:space="preserve"> and covers an area of about 3,183</w:t>
      </w:r>
      <w:r w:rsidR="000D225C">
        <w:rPr>
          <w:rFonts w:ascii="Arial" w:hAnsi="Arial" w:cs="Arial"/>
          <w:sz w:val="24"/>
          <w:szCs w:val="24"/>
        </w:rPr>
        <w:t>km</w:t>
      </w:r>
      <w:r w:rsidR="000D225C" w:rsidRPr="000D225C">
        <w:rPr>
          <w:rFonts w:ascii="Arial" w:hAnsi="Arial" w:cs="Arial"/>
          <w:sz w:val="24"/>
          <w:szCs w:val="24"/>
          <w:vertAlign w:val="superscript"/>
        </w:rPr>
        <w:t>2</w:t>
      </w:r>
      <w:r w:rsidR="00C158E0">
        <w:rPr>
          <w:rFonts w:ascii="Arial" w:hAnsi="Arial" w:cs="Arial"/>
          <w:sz w:val="24"/>
          <w:szCs w:val="24"/>
        </w:rPr>
        <w:t xml:space="preserve">. Its </w:t>
      </w:r>
      <w:r w:rsidR="007D6081">
        <w:rPr>
          <w:rFonts w:ascii="Arial" w:hAnsi="Arial" w:cs="Arial"/>
          <w:sz w:val="24"/>
          <w:szCs w:val="24"/>
        </w:rPr>
        <w:t xml:space="preserve">electricity consumption recorded in 2015 </w:t>
      </w:r>
      <w:r w:rsidR="007C5F7D">
        <w:rPr>
          <w:rFonts w:ascii="Arial" w:hAnsi="Arial" w:cs="Arial"/>
          <w:sz w:val="24"/>
          <w:szCs w:val="24"/>
        </w:rPr>
        <w:t xml:space="preserve">was </w:t>
      </w:r>
      <w:r w:rsidR="00D81A02">
        <w:rPr>
          <w:rFonts w:ascii="Arial" w:hAnsi="Arial" w:cs="Arial"/>
          <w:sz w:val="24"/>
          <w:szCs w:val="24"/>
        </w:rPr>
        <w:t xml:space="preserve">984GWh. </w:t>
      </w:r>
      <w:r w:rsidR="008B7122">
        <w:rPr>
          <w:rFonts w:ascii="Arial" w:hAnsi="Arial" w:cs="Arial"/>
          <w:sz w:val="24"/>
          <w:szCs w:val="24"/>
        </w:rPr>
        <w:t xml:space="preserve">The </w:t>
      </w:r>
      <w:r w:rsidR="00800BBA">
        <w:rPr>
          <w:rFonts w:ascii="Arial" w:hAnsi="Arial" w:cs="Arial"/>
          <w:sz w:val="24"/>
          <w:szCs w:val="24"/>
        </w:rPr>
        <w:t>major economic sector in Gotland is tourism followed by agriculture</w:t>
      </w:r>
      <w:r w:rsidR="00E26C74">
        <w:rPr>
          <w:rFonts w:ascii="Arial" w:hAnsi="Arial" w:cs="Arial"/>
          <w:sz w:val="24"/>
          <w:szCs w:val="24"/>
        </w:rPr>
        <w:t xml:space="preserve">. The best </w:t>
      </w:r>
      <w:r w:rsidR="00CB34ED">
        <w:rPr>
          <w:rFonts w:ascii="Arial" w:hAnsi="Arial" w:cs="Arial"/>
          <w:sz w:val="24"/>
          <w:szCs w:val="24"/>
        </w:rPr>
        <w:t xml:space="preserve">suited </w:t>
      </w:r>
      <w:r w:rsidR="00652477">
        <w:rPr>
          <w:rFonts w:ascii="Arial" w:hAnsi="Arial" w:cs="Arial"/>
          <w:sz w:val="24"/>
          <w:szCs w:val="24"/>
        </w:rPr>
        <w:t xml:space="preserve">RES energy autonomy scenarios </w:t>
      </w:r>
      <w:r w:rsidR="00CB34ED">
        <w:rPr>
          <w:rFonts w:ascii="Arial" w:hAnsi="Arial" w:cs="Arial"/>
          <w:sz w:val="24"/>
          <w:szCs w:val="24"/>
        </w:rPr>
        <w:t xml:space="preserve">for the island based on </w:t>
      </w:r>
      <w:r w:rsidR="00312787">
        <w:rPr>
          <w:rFonts w:ascii="Arial" w:hAnsi="Arial" w:cs="Arial"/>
          <w:sz w:val="24"/>
          <w:szCs w:val="24"/>
        </w:rPr>
        <w:t xml:space="preserve">previous research </w:t>
      </w:r>
      <w:r w:rsidR="00F70529">
        <w:rPr>
          <w:rFonts w:ascii="Arial" w:hAnsi="Arial" w:cs="Arial"/>
          <w:sz w:val="24"/>
          <w:szCs w:val="24"/>
        </w:rPr>
        <w:t xml:space="preserve">[24] was a </w:t>
      </w:r>
      <w:r w:rsidR="00791A32">
        <w:rPr>
          <w:rFonts w:ascii="Arial" w:hAnsi="Arial" w:cs="Arial"/>
          <w:sz w:val="24"/>
          <w:szCs w:val="24"/>
        </w:rPr>
        <w:t xml:space="preserve">wind </w:t>
      </w:r>
      <w:r w:rsidR="003C484D">
        <w:rPr>
          <w:rFonts w:ascii="Arial" w:hAnsi="Arial" w:cs="Arial"/>
          <w:sz w:val="24"/>
          <w:szCs w:val="24"/>
        </w:rPr>
        <w:t xml:space="preserve">energy capacity of 310MW </w:t>
      </w:r>
      <w:r w:rsidR="0033196E">
        <w:rPr>
          <w:rFonts w:ascii="Arial" w:hAnsi="Arial" w:cs="Arial"/>
          <w:sz w:val="24"/>
          <w:szCs w:val="24"/>
        </w:rPr>
        <w:t xml:space="preserve">at LCOE </w:t>
      </w:r>
      <w:r w:rsidR="000C6B3B">
        <w:rPr>
          <w:rFonts w:ascii="Arial" w:hAnsi="Arial" w:cs="Arial"/>
          <w:sz w:val="24"/>
          <w:szCs w:val="24"/>
        </w:rPr>
        <w:t>o</w:t>
      </w:r>
      <w:r w:rsidR="0033196E">
        <w:rPr>
          <w:rFonts w:ascii="Arial" w:hAnsi="Arial" w:cs="Arial"/>
          <w:sz w:val="24"/>
          <w:szCs w:val="24"/>
        </w:rPr>
        <w:t xml:space="preserve">f </w:t>
      </w:r>
      <w:r w:rsidR="0033196E" w:rsidRPr="00A5667B">
        <w:rPr>
          <w:rFonts w:ascii="Arial" w:hAnsi="Arial" w:cs="Arial"/>
          <w:sz w:val="24"/>
          <w:szCs w:val="24"/>
        </w:rPr>
        <w:t>0.12€/kWh</w:t>
      </w:r>
      <w:r w:rsidR="000C6B3B">
        <w:rPr>
          <w:rFonts w:ascii="Arial" w:hAnsi="Arial" w:cs="Arial"/>
          <w:sz w:val="24"/>
          <w:szCs w:val="24"/>
        </w:rPr>
        <w:t>, as shown in Table 1</w:t>
      </w:r>
      <w:r w:rsidR="00ED59AE">
        <w:rPr>
          <w:rFonts w:ascii="Arial" w:hAnsi="Arial" w:cs="Arial"/>
          <w:sz w:val="24"/>
          <w:szCs w:val="24"/>
        </w:rPr>
        <w:t>.</w:t>
      </w:r>
    </w:p>
    <w:p w14:paraId="1058A175" w14:textId="549A8255" w:rsidR="003B3863" w:rsidRPr="00A5667B" w:rsidRDefault="003B3863" w:rsidP="00C35362">
      <w:pPr>
        <w:spacing w:line="360" w:lineRule="auto"/>
        <w:jc w:val="both"/>
      </w:pPr>
      <w:r w:rsidRPr="00A5667B">
        <w:t xml:space="preserve">Table </w:t>
      </w:r>
      <w:r>
        <w:fldChar w:fldCharType="begin"/>
      </w:r>
      <w:r>
        <w:instrText>SEQ Table \* ARABIC</w:instrText>
      </w:r>
      <w:r>
        <w:fldChar w:fldCharType="separate"/>
      </w:r>
      <w:r w:rsidR="009733CD">
        <w:rPr>
          <w:noProof/>
        </w:rPr>
        <w:t>1</w:t>
      </w:r>
      <w:r>
        <w:fldChar w:fldCharType="end"/>
      </w:r>
      <w:r w:rsidRPr="00A5667B">
        <w:t xml:space="preserve">: REACT islands summary </w:t>
      </w:r>
      <w:r w:rsidR="003B36D3" w:rsidRPr="00A5667B">
        <w:t>information.</w:t>
      </w:r>
    </w:p>
    <w:tbl>
      <w:tblPr>
        <w:tblStyle w:val="TableGrid1"/>
        <w:tblW w:w="9209" w:type="dxa"/>
        <w:tblLook w:val="04A0" w:firstRow="1" w:lastRow="0" w:firstColumn="1" w:lastColumn="0" w:noHBand="0" w:noVBand="1"/>
      </w:tblPr>
      <w:tblGrid>
        <w:gridCol w:w="1127"/>
        <w:gridCol w:w="1217"/>
        <w:gridCol w:w="717"/>
        <w:gridCol w:w="2604"/>
        <w:gridCol w:w="1276"/>
        <w:gridCol w:w="1276"/>
        <w:gridCol w:w="992"/>
      </w:tblGrid>
      <w:tr w:rsidR="00D25DAF" w:rsidRPr="00A5667B" w14:paraId="396EB457" w14:textId="6BA85EFB" w:rsidTr="00BF20E8">
        <w:trPr>
          <w:cantSplit/>
          <w:trHeight w:val="520"/>
        </w:trPr>
        <w:tc>
          <w:tcPr>
            <w:tcW w:w="1127" w:type="dxa"/>
            <w:shd w:val="clear" w:color="auto" w:fill="92D050"/>
            <w:vAlign w:val="center"/>
          </w:tcPr>
          <w:p w14:paraId="792106C5" w14:textId="77777777"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Island</w:t>
            </w:r>
          </w:p>
        </w:tc>
        <w:tc>
          <w:tcPr>
            <w:tcW w:w="1217" w:type="dxa"/>
            <w:shd w:val="clear" w:color="auto" w:fill="92D050"/>
            <w:vAlign w:val="center"/>
          </w:tcPr>
          <w:p w14:paraId="030DB306" w14:textId="214EC02E"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Population</w:t>
            </w:r>
          </w:p>
        </w:tc>
        <w:tc>
          <w:tcPr>
            <w:tcW w:w="0" w:type="auto"/>
            <w:shd w:val="clear" w:color="auto" w:fill="92D050"/>
            <w:vAlign w:val="center"/>
          </w:tcPr>
          <w:p w14:paraId="3F999F9B" w14:textId="53314692"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Area (km</w:t>
            </w:r>
            <w:r w:rsidRPr="00072E8F">
              <w:rPr>
                <w:rFonts w:ascii="Calibri" w:eastAsia="Times New Roman" w:hAnsi="Calibri" w:cs="Calibri"/>
                <w:b/>
                <w:bCs/>
                <w:vertAlign w:val="superscript"/>
                <w:lang w:val="en-GB" w:eastAsia="en-GB"/>
              </w:rPr>
              <w:t>2</w:t>
            </w:r>
            <w:r w:rsidRPr="00072E8F">
              <w:rPr>
                <w:rFonts w:ascii="Calibri" w:eastAsia="Times New Roman" w:hAnsi="Calibri" w:cs="Calibri"/>
                <w:b/>
                <w:bCs/>
                <w:lang w:val="en-GB" w:eastAsia="en-GB"/>
              </w:rPr>
              <w:t>)</w:t>
            </w:r>
          </w:p>
        </w:tc>
        <w:tc>
          <w:tcPr>
            <w:tcW w:w="2604" w:type="dxa"/>
            <w:shd w:val="clear" w:color="auto" w:fill="92D050"/>
            <w:vAlign w:val="center"/>
          </w:tcPr>
          <w:p w14:paraId="038CE085" w14:textId="77777777"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Economic Sectors</w:t>
            </w:r>
          </w:p>
        </w:tc>
        <w:tc>
          <w:tcPr>
            <w:tcW w:w="1276" w:type="dxa"/>
            <w:shd w:val="clear" w:color="auto" w:fill="92D050"/>
            <w:vAlign w:val="center"/>
          </w:tcPr>
          <w:p w14:paraId="66D00DC7" w14:textId="314D1791"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Electricity Demand</w:t>
            </w:r>
          </w:p>
        </w:tc>
        <w:tc>
          <w:tcPr>
            <w:tcW w:w="1276" w:type="dxa"/>
            <w:shd w:val="clear" w:color="auto" w:fill="92D050"/>
            <w:vAlign w:val="center"/>
          </w:tcPr>
          <w:p w14:paraId="05B419E9" w14:textId="073862F4"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 xml:space="preserve">Energy </w:t>
            </w:r>
            <w:r w:rsidR="00101027" w:rsidRPr="00072E8F">
              <w:rPr>
                <w:rFonts w:ascii="Calibri" w:eastAsia="Times New Roman" w:hAnsi="Calibri" w:cs="Calibri"/>
                <w:b/>
                <w:bCs/>
                <w:lang w:val="en-GB" w:eastAsia="en-GB"/>
              </w:rPr>
              <w:t xml:space="preserve">Scenario </w:t>
            </w:r>
          </w:p>
        </w:tc>
        <w:tc>
          <w:tcPr>
            <w:tcW w:w="992" w:type="dxa"/>
            <w:shd w:val="clear" w:color="auto" w:fill="92D050"/>
            <w:vAlign w:val="center"/>
          </w:tcPr>
          <w:p w14:paraId="3550C290" w14:textId="09ECF01E" w:rsidR="00BA4C45" w:rsidRPr="00072E8F" w:rsidRDefault="00BA4C45" w:rsidP="00887B44">
            <w:pPr>
              <w:jc w:val="center"/>
              <w:rPr>
                <w:rFonts w:ascii="Calibri" w:eastAsia="Times New Roman" w:hAnsi="Calibri" w:cs="Calibri"/>
                <w:b/>
                <w:bCs/>
                <w:lang w:val="en-GB" w:eastAsia="en-GB"/>
              </w:rPr>
            </w:pPr>
            <w:r w:rsidRPr="00072E8F">
              <w:rPr>
                <w:rFonts w:ascii="Calibri" w:eastAsia="Times New Roman" w:hAnsi="Calibri" w:cs="Calibri"/>
                <w:b/>
                <w:bCs/>
                <w:lang w:val="en-GB" w:eastAsia="en-GB"/>
              </w:rPr>
              <w:t>LCOE (€/kWh)</w:t>
            </w:r>
          </w:p>
        </w:tc>
      </w:tr>
      <w:tr w:rsidR="008D5B63" w:rsidRPr="00A5667B" w14:paraId="4E84B772" w14:textId="03B7F275" w:rsidTr="00BF20E8">
        <w:trPr>
          <w:cantSplit/>
          <w:trHeight w:val="789"/>
        </w:trPr>
        <w:tc>
          <w:tcPr>
            <w:tcW w:w="1127" w:type="dxa"/>
            <w:vAlign w:val="center"/>
          </w:tcPr>
          <w:p w14:paraId="6709451F" w14:textId="77777777" w:rsidR="00BA4C45" w:rsidRPr="00072E8F" w:rsidRDefault="00BA4C45" w:rsidP="00887B44">
            <w:pPr>
              <w:rPr>
                <w:rFonts w:ascii="Calibri" w:eastAsia="Times New Roman" w:hAnsi="Calibri" w:cs="Calibri"/>
                <w:lang w:val="en-GB" w:eastAsia="en-GB"/>
              </w:rPr>
            </w:pPr>
            <w:r w:rsidRPr="00072E8F">
              <w:rPr>
                <w:rFonts w:ascii="Calibri" w:eastAsia="Times New Roman" w:hAnsi="Calibri" w:cs="Calibri"/>
                <w:lang w:val="en-GB" w:eastAsia="en-GB"/>
              </w:rPr>
              <w:t>La Graciosa, Canary Island (Spain)</w:t>
            </w:r>
          </w:p>
        </w:tc>
        <w:tc>
          <w:tcPr>
            <w:tcW w:w="1217" w:type="dxa"/>
            <w:vAlign w:val="center"/>
          </w:tcPr>
          <w:p w14:paraId="69AD9618" w14:textId="5998970C" w:rsidR="00BA4C45" w:rsidRPr="00072E8F" w:rsidRDefault="001A3BDC"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734</w:t>
            </w:r>
          </w:p>
        </w:tc>
        <w:tc>
          <w:tcPr>
            <w:tcW w:w="0" w:type="auto"/>
            <w:vAlign w:val="center"/>
          </w:tcPr>
          <w:p w14:paraId="4363FCC5" w14:textId="467556D1" w:rsidR="00BA4C45" w:rsidRPr="00072E8F" w:rsidRDefault="00B44F78"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29</w:t>
            </w:r>
          </w:p>
        </w:tc>
        <w:tc>
          <w:tcPr>
            <w:tcW w:w="2604" w:type="dxa"/>
            <w:vAlign w:val="center"/>
          </w:tcPr>
          <w:p w14:paraId="6DE4FA8A" w14:textId="77777777" w:rsidR="00BA4C45" w:rsidRPr="00072E8F" w:rsidRDefault="00BA4C45" w:rsidP="00887B44">
            <w:pPr>
              <w:rPr>
                <w:rFonts w:ascii="Calibri" w:eastAsia="Times New Roman" w:hAnsi="Calibri" w:cs="Calibri"/>
                <w:lang w:val="en-GB" w:eastAsia="en-GB"/>
              </w:rPr>
            </w:pPr>
            <w:bookmarkStart w:id="3" w:name="_Hlk104418748"/>
            <w:r w:rsidRPr="00072E8F">
              <w:rPr>
                <w:rFonts w:ascii="Calibri" w:eastAsia="Times New Roman" w:hAnsi="Calibri" w:cs="Calibri"/>
                <w:lang w:val="en-GB" w:eastAsia="en-GB"/>
              </w:rPr>
              <w:t>Tourism, Fishing, Services, Food processing, Health and social, Education, Arts and Craft</w:t>
            </w:r>
            <w:r w:rsidRPr="00072E8F">
              <w:rPr>
                <w:rFonts w:ascii="Calibri" w:eastAsia="Times New Roman" w:hAnsi="Calibri" w:cs="Calibri"/>
                <w:vertAlign w:val="superscript"/>
                <w:lang w:val="en-GB" w:eastAsia="en-GB"/>
              </w:rPr>
              <w:footnoteReference w:id="2"/>
            </w:r>
            <w:r w:rsidRPr="00072E8F">
              <w:rPr>
                <w:rFonts w:ascii="Calibri" w:eastAsia="Times New Roman" w:hAnsi="Calibri" w:cs="Calibri"/>
                <w:lang w:val="en-GB" w:eastAsia="en-GB"/>
              </w:rPr>
              <w:t>.</w:t>
            </w:r>
            <w:bookmarkEnd w:id="3"/>
          </w:p>
        </w:tc>
        <w:tc>
          <w:tcPr>
            <w:tcW w:w="1276" w:type="dxa"/>
            <w:vAlign w:val="center"/>
          </w:tcPr>
          <w:p w14:paraId="0356C619" w14:textId="027B5962" w:rsidR="00BA4C45" w:rsidRPr="00072E8F" w:rsidRDefault="00101027"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1,861</w:t>
            </w:r>
            <w:r w:rsidR="001A3BDC" w:rsidRPr="00072E8F">
              <w:rPr>
                <w:rFonts w:ascii="Calibri" w:eastAsia="Times New Roman" w:hAnsi="Calibri" w:cs="Calibri"/>
                <w:lang w:val="en-GB" w:eastAsia="en-GB"/>
              </w:rPr>
              <w:t xml:space="preserve"> (MWh)</w:t>
            </w:r>
          </w:p>
        </w:tc>
        <w:tc>
          <w:tcPr>
            <w:tcW w:w="1276" w:type="dxa"/>
            <w:vAlign w:val="center"/>
          </w:tcPr>
          <w:p w14:paraId="5EC1A083" w14:textId="4E97C824" w:rsidR="00BA4C45" w:rsidRPr="00072E8F" w:rsidRDefault="00101027"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PV – 0.5</w:t>
            </w:r>
            <w:r w:rsidR="00AB22D0" w:rsidRPr="00072E8F">
              <w:t xml:space="preserve"> </w:t>
            </w:r>
            <w:r w:rsidR="00AB22D0" w:rsidRPr="00072E8F">
              <w:rPr>
                <w:rFonts w:ascii="Calibri" w:eastAsia="Times New Roman" w:hAnsi="Calibri" w:cs="Calibri"/>
                <w:lang w:val="en-GB" w:eastAsia="en-GB"/>
              </w:rPr>
              <w:t>MW</w:t>
            </w:r>
            <w:r w:rsidR="00ED564B" w:rsidRPr="00072E8F">
              <w:rPr>
                <w:rFonts w:ascii="Calibri" w:eastAsia="Times New Roman" w:hAnsi="Calibri" w:cs="Calibri"/>
                <w:lang w:val="en-GB" w:eastAsia="en-GB"/>
              </w:rPr>
              <w:t>p</w:t>
            </w:r>
          </w:p>
        </w:tc>
        <w:tc>
          <w:tcPr>
            <w:tcW w:w="992" w:type="dxa"/>
            <w:vAlign w:val="center"/>
          </w:tcPr>
          <w:p w14:paraId="42DD2634" w14:textId="5D1B75C3" w:rsidR="00BA4C45" w:rsidRPr="00072E8F" w:rsidRDefault="00101027"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0.12</w:t>
            </w:r>
          </w:p>
        </w:tc>
      </w:tr>
      <w:tr w:rsidR="008D5B63" w:rsidRPr="00A5667B" w14:paraId="6BFB6C40" w14:textId="4204D573" w:rsidTr="00BF20E8">
        <w:trPr>
          <w:cantSplit/>
          <w:trHeight w:val="1041"/>
        </w:trPr>
        <w:tc>
          <w:tcPr>
            <w:tcW w:w="1127" w:type="dxa"/>
            <w:vAlign w:val="center"/>
          </w:tcPr>
          <w:p w14:paraId="4C873890" w14:textId="77777777" w:rsidR="00BA4C45" w:rsidRPr="00072E8F" w:rsidRDefault="00BA4C45" w:rsidP="00887B44">
            <w:pPr>
              <w:rPr>
                <w:rFonts w:ascii="Calibri" w:eastAsia="Times New Roman" w:hAnsi="Calibri" w:cs="Calibri"/>
                <w:lang w:val="en-GB" w:eastAsia="en-GB"/>
              </w:rPr>
            </w:pPr>
            <w:r w:rsidRPr="00072E8F">
              <w:rPr>
                <w:rFonts w:ascii="Calibri" w:eastAsia="Times New Roman" w:hAnsi="Calibri" w:cs="Calibri"/>
                <w:lang w:val="en-GB" w:eastAsia="en-GB"/>
              </w:rPr>
              <w:t>Gotland (Sweden)</w:t>
            </w:r>
          </w:p>
        </w:tc>
        <w:tc>
          <w:tcPr>
            <w:tcW w:w="1217" w:type="dxa"/>
            <w:vAlign w:val="center"/>
          </w:tcPr>
          <w:p w14:paraId="7A91C3AD" w14:textId="45AB3C18" w:rsidR="00BA4C45" w:rsidRPr="00072E8F" w:rsidRDefault="001A3BDC"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59,249</w:t>
            </w:r>
          </w:p>
        </w:tc>
        <w:tc>
          <w:tcPr>
            <w:tcW w:w="0" w:type="auto"/>
            <w:vAlign w:val="center"/>
          </w:tcPr>
          <w:p w14:paraId="450CBC1C" w14:textId="122BF1CC" w:rsidR="00BA4C45" w:rsidRPr="00072E8F" w:rsidRDefault="00B44F78"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3</w:t>
            </w:r>
            <w:r w:rsidR="00B31F0B" w:rsidRPr="00072E8F">
              <w:rPr>
                <w:rFonts w:ascii="Calibri" w:eastAsia="Times New Roman" w:hAnsi="Calibri" w:cs="Calibri"/>
                <w:lang w:val="en-GB" w:eastAsia="en-GB"/>
              </w:rPr>
              <w:t>,</w:t>
            </w:r>
            <w:r w:rsidRPr="00072E8F">
              <w:rPr>
                <w:rFonts w:ascii="Calibri" w:eastAsia="Times New Roman" w:hAnsi="Calibri" w:cs="Calibri"/>
                <w:lang w:val="en-GB" w:eastAsia="en-GB"/>
              </w:rPr>
              <w:t>183</w:t>
            </w:r>
          </w:p>
        </w:tc>
        <w:tc>
          <w:tcPr>
            <w:tcW w:w="2604" w:type="dxa"/>
            <w:vAlign w:val="center"/>
          </w:tcPr>
          <w:p w14:paraId="1499462E" w14:textId="77777777" w:rsidR="00BA4C45" w:rsidRPr="00072E8F" w:rsidRDefault="00BA4C45" w:rsidP="00887B44">
            <w:pPr>
              <w:rPr>
                <w:rFonts w:ascii="Calibri" w:eastAsia="Times New Roman" w:hAnsi="Calibri" w:cs="Calibri"/>
                <w:lang w:val="en-GB" w:eastAsia="en-GB"/>
              </w:rPr>
            </w:pPr>
            <w:r w:rsidRPr="00072E8F">
              <w:rPr>
                <w:rFonts w:ascii="Calibri" w:eastAsia="Times New Roman" w:hAnsi="Calibri" w:cs="Calibri"/>
                <w:lang w:val="en-GB" w:eastAsia="en-GB"/>
              </w:rPr>
              <w:t>Tourism, Agriculture, Food processing, Mining, Construction, Education, Services, Manufacturing, Health &amp; Social Work</w:t>
            </w:r>
            <w:r w:rsidRPr="00072E8F">
              <w:rPr>
                <w:rFonts w:ascii="Calibri" w:eastAsia="Times New Roman" w:hAnsi="Calibri" w:cs="Calibri"/>
                <w:vertAlign w:val="superscript"/>
                <w:lang w:val="en-GB" w:eastAsia="en-GB"/>
              </w:rPr>
              <w:footnoteReference w:id="3"/>
            </w:r>
            <w:r w:rsidRPr="00072E8F">
              <w:rPr>
                <w:rFonts w:ascii="Calibri" w:eastAsia="Times New Roman" w:hAnsi="Calibri" w:cs="Calibri"/>
                <w:lang w:val="en-GB" w:eastAsia="en-GB"/>
              </w:rPr>
              <w:t xml:space="preserve">. </w:t>
            </w:r>
          </w:p>
        </w:tc>
        <w:tc>
          <w:tcPr>
            <w:tcW w:w="1276" w:type="dxa"/>
            <w:vAlign w:val="center"/>
          </w:tcPr>
          <w:p w14:paraId="3CAFB126" w14:textId="50AC952D" w:rsidR="00BA4C45" w:rsidRPr="00072E8F" w:rsidRDefault="00A82D11"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984 (GWh)</w:t>
            </w:r>
          </w:p>
        </w:tc>
        <w:tc>
          <w:tcPr>
            <w:tcW w:w="1276" w:type="dxa"/>
            <w:vAlign w:val="center"/>
          </w:tcPr>
          <w:p w14:paraId="27BDBCDF" w14:textId="323F7BA8" w:rsidR="00BA4C45" w:rsidRPr="00072E8F" w:rsidRDefault="00A82D11"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 xml:space="preserve">Wind </w:t>
            </w:r>
            <w:r w:rsidR="00EF70FF" w:rsidRPr="00072E8F">
              <w:rPr>
                <w:rFonts w:ascii="Calibri" w:eastAsia="Times New Roman" w:hAnsi="Calibri" w:cs="Calibri"/>
                <w:lang w:val="en-GB" w:eastAsia="en-GB"/>
              </w:rPr>
              <w:t>–</w:t>
            </w:r>
            <w:r w:rsidRPr="00072E8F">
              <w:rPr>
                <w:rFonts w:ascii="Calibri" w:eastAsia="Times New Roman" w:hAnsi="Calibri" w:cs="Calibri"/>
                <w:lang w:val="en-GB" w:eastAsia="en-GB"/>
              </w:rPr>
              <w:t xml:space="preserve"> 310</w:t>
            </w:r>
            <w:r w:rsidR="00EF70FF" w:rsidRPr="00072E8F">
              <w:rPr>
                <w:rFonts w:ascii="Calibri" w:eastAsia="Times New Roman" w:hAnsi="Calibri" w:cs="Calibri"/>
                <w:lang w:val="en-GB" w:eastAsia="en-GB"/>
              </w:rPr>
              <w:t>MW</w:t>
            </w:r>
          </w:p>
        </w:tc>
        <w:tc>
          <w:tcPr>
            <w:tcW w:w="992" w:type="dxa"/>
            <w:vAlign w:val="center"/>
          </w:tcPr>
          <w:p w14:paraId="4E7D8334" w14:textId="4C5DA6EA" w:rsidR="00BA4C45" w:rsidRPr="00072E8F" w:rsidRDefault="00A82D11" w:rsidP="00022EB6">
            <w:pPr>
              <w:jc w:val="center"/>
              <w:rPr>
                <w:rFonts w:ascii="Calibri" w:eastAsia="Times New Roman" w:hAnsi="Calibri" w:cs="Calibri"/>
                <w:lang w:val="en-GB" w:eastAsia="en-GB"/>
              </w:rPr>
            </w:pPr>
            <w:r w:rsidRPr="00072E8F">
              <w:rPr>
                <w:rFonts w:ascii="Calibri" w:eastAsia="Times New Roman" w:hAnsi="Calibri" w:cs="Calibri"/>
                <w:lang w:val="en-GB" w:eastAsia="en-GB"/>
              </w:rPr>
              <w:t>0.12</w:t>
            </w:r>
          </w:p>
        </w:tc>
      </w:tr>
    </w:tbl>
    <w:p w14:paraId="00A63D01" w14:textId="7033DA97" w:rsidR="005E6F44" w:rsidRPr="003B36D3" w:rsidRDefault="00843B16">
      <w:pPr>
        <w:rPr>
          <w:sz w:val="18"/>
          <w:szCs w:val="18"/>
        </w:rPr>
      </w:pPr>
      <w:r w:rsidRPr="003B36D3">
        <w:rPr>
          <w:sz w:val="18"/>
          <w:szCs w:val="18"/>
        </w:rPr>
        <w:t xml:space="preserve">Note: PV </w:t>
      </w:r>
      <w:r w:rsidR="00483A4B" w:rsidRPr="003B36D3">
        <w:rPr>
          <w:sz w:val="18"/>
          <w:szCs w:val="18"/>
        </w:rPr>
        <w:t xml:space="preserve">is </w:t>
      </w:r>
      <w:r w:rsidR="00861C34" w:rsidRPr="003B36D3">
        <w:rPr>
          <w:sz w:val="18"/>
          <w:szCs w:val="18"/>
        </w:rPr>
        <w:t>photovoltaic; GW</w:t>
      </w:r>
      <w:r w:rsidR="009B090B" w:rsidRPr="003B36D3">
        <w:rPr>
          <w:sz w:val="18"/>
          <w:szCs w:val="18"/>
        </w:rPr>
        <w:t>h</w:t>
      </w:r>
      <w:r w:rsidR="00861C34" w:rsidRPr="003B36D3">
        <w:rPr>
          <w:sz w:val="18"/>
          <w:szCs w:val="18"/>
        </w:rPr>
        <w:t xml:space="preserve"> </w:t>
      </w:r>
      <w:r w:rsidR="00483A4B" w:rsidRPr="003B36D3">
        <w:rPr>
          <w:sz w:val="18"/>
          <w:szCs w:val="18"/>
        </w:rPr>
        <w:t>is g</w:t>
      </w:r>
      <w:r w:rsidR="00861C34" w:rsidRPr="003B36D3">
        <w:rPr>
          <w:sz w:val="18"/>
          <w:szCs w:val="18"/>
        </w:rPr>
        <w:t>igawatt hours</w:t>
      </w:r>
      <w:r w:rsidR="00483A4B" w:rsidRPr="003B36D3">
        <w:rPr>
          <w:sz w:val="18"/>
          <w:szCs w:val="18"/>
        </w:rPr>
        <w:t>; MWh is megawatt-hour; kWh is kilowatt hours</w:t>
      </w:r>
      <w:r w:rsidR="00861C34" w:rsidRPr="003B36D3">
        <w:rPr>
          <w:sz w:val="18"/>
          <w:szCs w:val="18"/>
        </w:rPr>
        <w:t>.</w:t>
      </w:r>
    </w:p>
    <w:p w14:paraId="74416BFE" w14:textId="77777777" w:rsidR="002A65E3" w:rsidRPr="00A5667B" w:rsidRDefault="002A65E3"/>
    <w:p w14:paraId="070A916B" w14:textId="0FBFD8EA" w:rsidR="002506F6" w:rsidRPr="000514E3" w:rsidRDefault="004A5C4C" w:rsidP="002A65E3">
      <w:pPr>
        <w:pStyle w:val="Heading1"/>
        <w:numPr>
          <w:ilvl w:val="0"/>
          <w:numId w:val="17"/>
        </w:numPr>
        <w:rPr>
          <w:rFonts w:ascii="Arial" w:hAnsi="Arial" w:cs="Arial"/>
          <w:sz w:val="24"/>
          <w:szCs w:val="24"/>
        </w:rPr>
      </w:pPr>
      <w:r w:rsidRPr="000514E3">
        <w:rPr>
          <w:rFonts w:ascii="Arial" w:hAnsi="Arial" w:cs="Arial"/>
          <w:sz w:val="24"/>
          <w:szCs w:val="24"/>
        </w:rPr>
        <w:t xml:space="preserve">PROPOSED </w:t>
      </w:r>
      <w:r w:rsidR="00FE108F" w:rsidRPr="000514E3">
        <w:rPr>
          <w:rFonts w:ascii="Arial" w:hAnsi="Arial" w:cs="Arial"/>
          <w:sz w:val="24"/>
          <w:szCs w:val="24"/>
        </w:rPr>
        <w:t xml:space="preserve">EMPIRICAL </w:t>
      </w:r>
      <w:r w:rsidRPr="000514E3">
        <w:rPr>
          <w:rFonts w:ascii="Arial" w:hAnsi="Arial" w:cs="Arial"/>
          <w:sz w:val="24"/>
          <w:szCs w:val="24"/>
        </w:rPr>
        <w:t>APPROACH FOR SOCIO-ECONOMIC IMPACT ANALYSIS</w:t>
      </w:r>
    </w:p>
    <w:p w14:paraId="03265FFA" w14:textId="0E09F9D6" w:rsidR="004A5C4C" w:rsidRPr="00A5667B" w:rsidRDefault="004A5C4C" w:rsidP="00234643">
      <w:pPr>
        <w:spacing w:line="360" w:lineRule="auto"/>
        <w:jc w:val="both"/>
        <w:rPr>
          <w:rFonts w:ascii="Arial" w:hAnsi="Arial" w:cs="Arial"/>
          <w:sz w:val="24"/>
          <w:szCs w:val="24"/>
        </w:rPr>
      </w:pPr>
      <w:r w:rsidRPr="00A5667B">
        <w:rPr>
          <w:rFonts w:ascii="Arial" w:hAnsi="Arial" w:cs="Arial"/>
          <w:sz w:val="24"/>
          <w:szCs w:val="24"/>
        </w:rPr>
        <w:t>The proposed method focuses on capturing the induced effects of RES energy and 100% energy autonomy. The four main elements</w:t>
      </w:r>
      <w:r w:rsidR="00EA7576">
        <w:rPr>
          <w:rFonts w:ascii="Arial" w:hAnsi="Arial" w:cs="Arial"/>
          <w:sz w:val="24"/>
          <w:szCs w:val="24"/>
        </w:rPr>
        <w:t xml:space="preserve"> </w:t>
      </w:r>
      <w:r w:rsidRPr="00A5667B">
        <w:rPr>
          <w:rFonts w:ascii="Arial" w:hAnsi="Arial" w:cs="Arial"/>
          <w:sz w:val="24"/>
          <w:szCs w:val="24"/>
        </w:rPr>
        <w:t xml:space="preserve">considered </w:t>
      </w:r>
      <w:r w:rsidR="00EA7576">
        <w:rPr>
          <w:rFonts w:ascii="Arial" w:hAnsi="Arial" w:cs="Arial"/>
          <w:sz w:val="24"/>
          <w:szCs w:val="24"/>
        </w:rPr>
        <w:t xml:space="preserve">in the approach </w:t>
      </w:r>
      <w:r w:rsidR="00FE108F" w:rsidRPr="00A5667B">
        <w:rPr>
          <w:rFonts w:ascii="Arial" w:hAnsi="Arial" w:cs="Arial"/>
          <w:sz w:val="24"/>
          <w:szCs w:val="24"/>
        </w:rPr>
        <w:t>are:</w:t>
      </w:r>
    </w:p>
    <w:p w14:paraId="46E16C1D" w14:textId="4DF27460" w:rsidR="004A5C4C" w:rsidRPr="00A5667B" w:rsidRDefault="00475E9E" w:rsidP="00FE108F">
      <w:pPr>
        <w:pStyle w:val="ListParagraph"/>
        <w:numPr>
          <w:ilvl w:val="0"/>
          <w:numId w:val="13"/>
        </w:numPr>
        <w:spacing w:line="360" w:lineRule="auto"/>
        <w:jc w:val="both"/>
        <w:rPr>
          <w:rFonts w:ascii="Arial" w:hAnsi="Arial" w:cs="Arial"/>
          <w:sz w:val="24"/>
          <w:szCs w:val="24"/>
        </w:rPr>
      </w:pPr>
      <w:r w:rsidRPr="00A5667B">
        <w:rPr>
          <w:rFonts w:ascii="Arial" w:hAnsi="Arial" w:cs="Arial"/>
          <w:sz w:val="24"/>
          <w:szCs w:val="24"/>
        </w:rPr>
        <w:t>Capturing sectoral MPCs using Analytical Hierarch Process (AHP)</w:t>
      </w:r>
      <w:r w:rsidR="003B36D3">
        <w:rPr>
          <w:rFonts w:ascii="Arial" w:hAnsi="Arial" w:cs="Arial"/>
          <w:sz w:val="24"/>
          <w:szCs w:val="24"/>
        </w:rPr>
        <w:t>.</w:t>
      </w:r>
    </w:p>
    <w:p w14:paraId="370804B3" w14:textId="633A483F" w:rsidR="00475E9E" w:rsidRPr="00A5667B" w:rsidRDefault="00475E9E" w:rsidP="00FE108F">
      <w:pPr>
        <w:pStyle w:val="ListParagraph"/>
        <w:numPr>
          <w:ilvl w:val="0"/>
          <w:numId w:val="13"/>
        </w:numPr>
        <w:spacing w:line="360" w:lineRule="auto"/>
        <w:jc w:val="both"/>
        <w:rPr>
          <w:rFonts w:ascii="Arial" w:hAnsi="Arial" w:cs="Arial"/>
          <w:sz w:val="24"/>
          <w:szCs w:val="24"/>
        </w:rPr>
      </w:pPr>
      <w:r w:rsidRPr="00A5667B">
        <w:rPr>
          <w:rFonts w:ascii="Arial" w:hAnsi="Arial" w:cs="Arial"/>
          <w:sz w:val="24"/>
          <w:szCs w:val="24"/>
        </w:rPr>
        <w:t>RES scenario selection</w:t>
      </w:r>
      <w:r w:rsidR="003B36D3">
        <w:rPr>
          <w:rFonts w:ascii="Arial" w:hAnsi="Arial" w:cs="Arial"/>
          <w:sz w:val="24"/>
          <w:szCs w:val="24"/>
        </w:rPr>
        <w:t>.</w:t>
      </w:r>
    </w:p>
    <w:p w14:paraId="39BD29EF" w14:textId="5B4BF2A6" w:rsidR="00475E9E" w:rsidRPr="00A5667B" w:rsidRDefault="00475E9E" w:rsidP="00FE108F">
      <w:pPr>
        <w:pStyle w:val="ListParagraph"/>
        <w:numPr>
          <w:ilvl w:val="0"/>
          <w:numId w:val="13"/>
        </w:numPr>
        <w:spacing w:line="360" w:lineRule="auto"/>
        <w:jc w:val="both"/>
        <w:rPr>
          <w:rFonts w:ascii="Arial" w:hAnsi="Arial" w:cs="Arial"/>
          <w:sz w:val="24"/>
          <w:szCs w:val="24"/>
        </w:rPr>
      </w:pPr>
      <w:r w:rsidRPr="00A5667B">
        <w:rPr>
          <w:rFonts w:ascii="Arial" w:hAnsi="Arial" w:cs="Arial"/>
          <w:sz w:val="24"/>
          <w:szCs w:val="24"/>
        </w:rPr>
        <w:t xml:space="preserve">Capturing effects of capital investments based on </w:t>
      </w:r>
      <w:r w:rsidR="003B36D3" w:rsidRPr="00A5667B">
        <w:rPr>
          <w:rFonts w:ascii="Arial" w:hAnsi="Arial" w:cs="Arial"/>
          <w:sz w:val="24"/>
          <w:szCs w:val="24"/>
        </w:rPr>
        <w:t>LCOE.</w:t>
      </w:r>
    </w:p>
    <w:p w14:paraId="61C5A9D7" w14:textId="0BA8BBD3" w:rsidR="00475E9E" w:rsidRPr="00A5667B" w:rsidRDefault="00475E9E" w:rsidP="00FE108F">
      <w:pPr>
        <w:pStyle w:val="ListParagraph"/>
        <w:numPr>
          <w:ilvl w:val="0"/>
          <w:numId w:val="13"/>
        </w:numPr>
        <w:spacing w:line="360" w:lineRule="auto"/>
        <w:jc w:val="both"/>
        <w:rPr>
          <w:rFonts w:ascii="Arial" w:hAnsi="Arial" w:cs="Arial"/>
          <w:sz w:val="24"/>
          <w:szCs w:val="24"/>
        </w:rPr>
      </w:pPr>
      <w:r w:rsidRPr="00A5667B">
        <w:rPr>
          <w:rFonts w:ascii="Arial" w:hAnsi="Arial" w:cs="Arial"/>
          <w:sz w:val="24"/>
          <w:szCs w:val="24"/>
        </w:rPr>
        <w:t>Capturing decarboni</w:t>
      </w:r>
      <w:r w:rsidR="007C49EF">
        <w:rPr>
          <w:rFonts w:ascii="Arial" w:hAnsi="Arial" w:cs="Arial"/>
          <w:sz w:val="24"/>
          <w:szCs w:val="24"/>
        </w:rPr>
        <w:t>s</w:t>
      </w:r>
      <w:r w:rsidRPr="00A5667B">
        <w:rPr>
          <w:rFonts w:ascii="Arial" w:hAnsi="Arial" w:cs="Arial"/>
          <w:sz w:val="24"/>
          <w:szCs w:val="24"/>
        </w:rPr>
        <w:t xml:space="preserve">ation and 100% </w:t>
      </w:r>
      <w:r w:rsidR="00EA1552" w:rsidRPr="00A5667B">
        <w:rPr>
          <w:rFonts w:ascii="Arial" w:hAnsi="Arial" w:cs="Arial"/>
          <w:sz w:val="24"/>
          <w:szCs w:val="24"/>
        </w:rPr>
        <w:t>energy autonomy</w:t>
      </w:r>
      <w:r w:rsidR="003B36D3">
        <w:rPr>
          <w:rFonts w:ascii="Arial" w:hAnsi="Arial" w:cs="Arial"/>
          <w:sz w:val="24"/>
          <w:szCs w:val="24"/>
        </w:rPr>
        <w:t>.</w:t>
      </w:r>
    </w:p>
    <w:p w14:paraId="543814DC" w14:textId="1AC5AD09" w:rsidR="00EA1552" w:rsidRPr="00A5667B" w:rsidRDefault="00EA1552" w:rsidP="00FE108F">
      <w:pPr>
        <w:pStyle w:val="ListParagraph"/>
        <w:numPr>
          <w:ilvl w:val="0"/>
          <w:numId w:val="13"/>
        </w:numPr>
        <w:spacing w:line="360" w:lineRule="auto"/>
        <w:jc w:val="both"/>
        <w:rPr>
          <w:rFonts w:ascii="Arial" w:hAnsi="Arial" w:cs="Arial"/>
          <w:sz w:val="24"/>
          <w:szCs w:val="24"/>
        </w:rPr>
      </w:pPr>
      <w:r w:rsidRPr="00A5667B">
        <w:rPr>
          <w:rFonts w:ascii="Arial" w:hAnsi="Arial" w:cs="Arial"/>
          <w:sz w:val="24"/>
          <w:szCs w:val="24"/>
        </w:rPr>
        <w:t>Capturing gender income differentials.</w:t>
      </w:r>
    </w:p>
    <w:p w14:paraId="184F9270" w14:textId="0CC531B2" w:rsidR="00002DB2" w:rsidRPr="00DE6C7A" w:rsidRDefault="00CA492F" w:rsidP="00CA492F">
      <w:pPr>
        <w:pStyle w:val="Heading2"/>
      </w:pPr>
      <w:r w:rsidRPr="000514E3">
        <w:rPr>
          <w:rFonts w:ascii="Arial" w:hAnsi="Arial" w:cs="Arial"/>
          <w:sz w:val="24"/>
          <w:szCs w:val="24"/>
        </w:rPr>
        <w:lastRenderedPageBreak/>
        <w:t xml:space="preserve">4.1 </w:t>
      </w:r>
      <w:r w:rsidR="00002DB2" w:rsidRPr="000514E3">
        <w:rPr>
          <w:rFonts w:ascii="Arial" w:hAnsi="Arial" w:cs="Arial"/>
          <w:sz w:val="24"/>
          <w:szCs w:val="24"/>
        </w:rPr>
        <w:t>Capturing Sectoral MPCs Using Analytical Hierarch Process (AHP)</w:t>
      </w:r>
    </w:p>
    <w:p w14:paraId="258FAEFF" w14:textId="0861FB61" w:rsidR="002C464A" w:rsidRPr="00A5667B" w:rsidRDefault="008F46C0" w:rsidP="002C464A">
      <w:pPr>
        <w:spacing w:line="360" w:lineRule="auto"/>
        <w:jc w:val="both"/>
        <w:rPr>
          <w:rFonts w:ascii="Arial" w:hAnsi="Arial" w:cs="Arial"/>
          <w:sz w:val="24"/>
          <w:szCs w:val="24"/>
        </w:rPr>
      </w:pPr>
      <w:r w:rsidRPr="00A5667B">
        <w:rPr>
          <w:rFonts w:ascii="Arial" w:hAnsi="Arial" w:cs="Arial"/>
          <w:sz w:val="24"/>
          <w:szCs w:val="24"/>
        </w:rPr>
        <w:t>We sought</w:t>
      </w:r>
      <w:r w:rsidR="00002DB2" w:rsidRPr="00A5667B">
        <w:rPr>
          <w:rFonts w:ascii="Arial" w:hAnsi="Arial" w:cs="Arial"/>
          <w:sz w:val="24"/>
          <w:szCs w:val="24"/>
        </w:rPr>
        <w:t xml:space="preserve"> help of </w:t>
      </w:r>
      <w:r w:rsidR="007413B0" w:rsidRPr="00CB4833">
        <w:rPr>
          <w:rFonts w:ascii="Arial" w:hAnsi="Arial" w:cs="Arial"/>
          <w:sz w:val="24"/>
          <w:szCs w:val="24"/>
        </w:rPr>
        <w:t>expert stakeholders</w:t>
      </w:r>
      <w:r w:rsidR="00002DB2" w:rsidRPr="00A5667B">
        <w:rPr>
          <w:rFonts w:ascii="Arial" w:hAnsi="Arial" w:cs="Arial"/>
          <w:sz w:val="24"/>
          <w:szCs w:val="24"/>
        </w:rPr>
        <w:t xml:space="preserve"> </w:t>
      </w:r>
      <w:r w:rsidRPr="00A5667B">
        <w:rPr>
          <w:rFonts w:ascii="Arial" w:hAnsi="Arial" w:cs="Arial"/>
          <w:sz w:val="24"/>
          <w:szCs w:val="24"/>
        </w:rPr>
        <w:t xml:space="preserve">on </w:t>
      </w:r>
      <w:r w:rsidR="00002DB2" w:rsidRPr="00A5667B">
        <w:rPr>
          <w:rFonts w:ascii="Arial" w:hAnsi="Arial" w:cs="Arial"/>
          <w:sz w:val="24"/>
          <w:szCs w:val="24"/>
        </w:rPr>
        <w:t xml:space="preserve">each island </w:t>
      </w:r>
      <w:r w:rsidRPr="00A5667B">
        <w:rPr>
          <w:rFonts w:ascii="Arial" w:hAnsi="Arial" w:cs="Arial"/>
          <w:sz w:val="24"/>
          <w:szCs w:val="24"/>
        </w:rPr>
        <w:t>to capture the</w:t>
      </w:r>
      <w:r w:rsidR="00707F03">
        <w:rPr>
          <w:rFonts w:ascii="Arial" w:hAnsi="Arial" w:cs="Arial"/>
          <w:sz w:val="24"/>
          <w:szCs w:val="24"/>
        </w:rPr>
        <w:t>ir</w:t>
      </w:r>
      <w:r w:rsidRPr="00A5667B">
        <w:rPr>
          <w:rFonts w:ascii="Arial" w:hAnsi="Arial" w:cs="Arial"/>
          <w:sz w:val="24"/>
          <w:szCs w:val="24"/>
        </w:rPr>
        <w:t xml:space="preserve"> economic sector</w:t>
      </w:r>
      <w:r w:rsidR="00707F03">
        <w:rPr>
          <w:rFonts w:ascii="Arial" w:hAnsi="Arial" w:cs="Arial"/>
          <w:sz w:val="24"/>
          <w:szCs w:val="24"/>
        </w:rPr>
        <w:t xml:space="preserve"> information</w:t>
      </w:r>
      <w:r w:rsidRPr="00A5667B">
        <w:rPr>
          <w:rFonts w:ascii="Arial" w:hAnsi="Arial" w:cs="Arial"/>
          <w:sz w:val="24"/>
          <w:szCs w:val="24"/>
        </w:rPr>
        <w:t>.</w:t>
      </w:r>
      <w:r w:rsidR="00002DB2" w:rsidRPr="00A5667B">
        <w:rPr>
          <w:rFonts w:ascii="Arial" w:hAnsi="Arial" w:cs="Arial"/>
          <w:sz w:val="24"/>
          <w:szCs w:val="24"/>
        </w:rPr>
        <w:t xml:space="preserve"> </w:t>
      </w:r>
      <w:r w:rsidR="00030950" w:rsidRPr="00A5667B">
        <w:rPr>
          <w:rFonts w:ascii="Arial" w:hAnsi="Arial" w:cs="Arial"/>
          <w:sz w:val="24"/>
          <w:szCs w:val="24"/>
        </w:rPr>
        <w:t>T</w:t>
      </w:r>
      <w:r w:rsidR="00002DB2" w:rsidRPr="00A5667B">
        <w:rPr>
          <w:rFonts w:ascii="Arial" w:hAnsi="Arial" w:cs="Arial"/>
          <w:sz w:val="24"/>
          <w:szCs w:val="24"/>
        </w:rPr>
        <w:t xml:space="preserve">heir opinions </w:t>
      </w:r>
      <w:r w:rsidR="00030950" w:rsidRPr="00A5667B">
        <w:rPr>
          <w:rFonts w:ascii="Arial" w:hAnsi="Arial" w:cs="Arial"/>
          <w:sz w:val="24"/>
          <w:szCs w:val="24"/>
        </w:rPr>
        <w:t xml:space="preserve">were </w:t>
      </w:r>
      <w:r w:rsidR="00002DB2" w:rsidRPr="00A5667B">
        <w:rPr>
          <w:rFonts w:ascii="Arial" w:hAnsi="Arial" w:cs="Arial"/>
          <w:sz w:val="24"/>
          <w:szCs w:val="24"/>
        </w:rPr>
        <w:t xml:space="preserve">processed using </w:t>
      </w:r>
      <w:r w:rsidR="004547C1">
        <w:rPr>
          <w:rFonts w:ascii="Arial" w:hAnsi="Arial" w:cs="Arial"/>
          <w:sz w:val="24"/>
          <w:szCs w:val="24"/>
        </w:rPr>
        <w:t xml:space="preserve">the </w:t>
      </w:r>
      <w:r w:rsidR="007E6A8C" w:rsidRPr="00A5667B">
        <w:rPr>
          <w:rFonts w:ascii="Arial" w:hAnsi="Arial" w:cs="Arial"/>
          <w:sz w:val="24"/>
          <w:szCs w:val="24"/>
        </w:rPr>
        <w:t xml:space="preserve">AHP method </w:t>
      </w:r>
      <w:r w:rsidR="00030950" w:rsidRPr="00A5667B">
        <w:rPr>
          <w:rFonts w:ascii="Arial" w:hAnsi="Arial" w:cs="Arial"/>
          <w:sz w:val="24"/>
          <w:szCs w:val="24"/>
        </w:rPr>
        <w:t>with</w:t>
      </w:r>
      <w:r w:rsidR="007E6A8C" w:rsidRPr="00A5667B">
        <w:rPr>
          <w:rFonts w:ascii="Arial" w:hAnsi="Arial" w:cs="Arial"/>
          <w:sz w:val="24"/>
          <w:szCs w:val="24"/>
        </w:rPr>
        <w:t xml:space="preserve"> the aid of a</w:t>
      </w:r>
      <w:r w:rsidR="00030950" w:rsidRPr="00A5667B">
        <w:rPr>
          <w:rFonts w:ascii="Arial" w:hAnsi="Arial" w:cs="Arial"/>
          <w:sz w:val="24"/>
          <w:szCs w:val="24"/>
        </w:rPr>
        <w:t>n</w:t>
      </w:r>
      <w:r w:rsidR="007E6A8C" w:rsidRPr="00A5667B">
        <w:rPr>
          <w:rFonts w:ascii="Arial" w:hAnsi="Arial" w:cs="Arial"/>
          <w:sz w:val="24"/>
          <w:szCs w:val="24"/>
        </w:rPr>
        <w:t xml:space="preserve"> </w:t>
      </w:r>
      <w:r w:rsidR="00030950" w:rsidRPr="00A5667B">
        <w:rPr>
          <w:rFonts w:ascii="Arial" w:hAnsi="Arial" w:cs="Arial"/>
          <w:sz w:val="24"/>
          <w:szCs w:val="24"/>
        </w:rPr>
        <w:t xml:space="preserve">online </w:t>
      </w:r>
      <w:r w:rsidR="007E6A8C" w:rsidRPr="00A5667B">
        <w:rPr>
          <w:rFonts w:ascii="Arial" w:hAnsi="Arial" w:cs="Arial"/>
          <w:sz w:val="24"/>
          <w:szCs w:val="24"/>
        </w:rPr>
        <w:t>software (AHP Priority Calculator) that converted these opinions into numeric weights. AHP is a multicriteria decision-making tool that relies on a heterogeneous data-based model building approach to calculate the weights of a given set of criteria</w:t>
      </w:r>
      <w:r w:rsidR="00C7040F">
        <w:rPr>
          <w:rFonts w:ascii="Arial" w:hAnsi="Arial" w:cs="Arial"/>
          <w:sz w:val="24"/>
          <w:szCs w:val="24"/>
        </w:rPr>
        <w:t xml:space="preserve"> [2</w:t>
      </w:r>
      <w:r w:rsidR="00FE7EA2">
        <w:rPr>
          <w:rFonts w:ascii="Arial" w:hAnsi="Arial" w:cs="Arial"/>
          <w:sz w:val="24"/>
          <w:szCs w:val="24"/>
        </w:rPr>
        <w:t>5</w:t>
      </w:r>
      <w:r w:rsidR="00C7040F">
        <w:rPr>
          <w:rFonts w:ascii="Arial" w:hAnsi="Arial" w:cs="Arial"/>
          <w:sz w:val="24"/>
          <w:szCs w:val="24"/>
        </w:rPr>
        <w:t>].</w:t>
      </w:r>
      <w:r w:rsidR="00E53518">
        <w:rPr>
          <w:rFonts w:ascii="Arial" w:hAnsi="Arial" w:cs="Arial"/>
          <w:sz w:val="24"/>
          <w:szCs w:val="24"/>
        </w:rPr>
        <w:t xml:space="preserve"> </w:t>
      </w:r>
      <w:r w:rsidR="007E6A8C" w:rsidRPr="00A5667B">
        <w:rPr>
          <w:rFonts w:ascii="Arial" w:hAnsi="Arial" w:cs="Arial"/>
          <w:sz w:val="24"/>
          <w:szCs w:val="24"/>
        </w:rPr>
        <w:t>For a detailed mathematical model of AHP, including calculation of relative weights and a consistency index</w:t>
      </w:r>
      <w:r w:rsidR="003E5A88" w:rsidRPr="00A5667B">
        <w:rPr>
          <w:rFonts w:ascii="Arial" w:hAnsi="Arial" w:cs="Arial"/>
          <w:sz w:val="24"/>
          <w:szCs w:val="24"/>
        </w:rPr>
        <w:t xml:space="preserve"> </w:t>
      </w:r>
      <w:r w:rsidR="003A10BF">
        <w:rPr>
          <w:rFonts w:ascii="Arial" w:hAnsi="Arial" w:cs="Arial"/>
          <w:sz w:val="24"/>
          <w:szCs w:val="24"/>
        </w:rPr>
        <w:t xml:space="preserve">please </w:t>
      </w:r>
      <w:r w:rsidR="007E6A8C" w:rsidRPr="00A5667B">
        <w:rPr>
          <w:rFonts w:ascii="Arial" w:hAnsi="Arial" w:cs="Arial"/>
          <w:sz w:val="24"/>
          <w:szCs w:val="24"/>
        </w:rPr>
        <w:t>see</w:t>
      </w:r>
      <w:r w:rsidR="00C7040F">
        <w:rPr>
          <w:rFonts w:ascii="Arial" w:hAnsi="Arial" w:cs="Arial"/>
          <w:sz w:val="24"/>
          <w:szCs w:val="24"/>
        </w:rPr>
        <w:t xml:space="preserve"> [2</w:t>
      </w:r>
      <w:r w:rsidR="00FE7EA2">
        <w:rPr>
          <w:rFonts w:ascii="Arial" w:hAnsi="Arial" w:cs="Arial"/>
          <w:sz w:val="24"/>
          <w:szCs w:val="24"/>
        </w:rPr>
        <w:t>6</w:t>
      </w:r>
      <w:r w:rsidR="00C7040F">
        <w:rPr>
          <w:rFonts w:ascii="Arial" w:hAnsi="Arial" w:cs="Arial"/>
          <w:sz w:val="24"/>
          <w:szCs w:val="24"/>
        </w:rPr>
        <w:t>]</w:t>
      </w:r>
      <w:r w:rsidR="006B7C31">
        <w:rPr>
          <w:rFonts w:ascii="Arial" w:hAnsi="Arial" w:cs="Arial"/>
          <w:sz w:val="24"/>
          <w:szCs w:val="24"/>
        </w:rPr>
        <w:t>.</w:t>
      </w:r>
      <w:r w:rsidR="007E6A8C" w:rsidRPr="001D71A4">
        <w:rPr>
          <w:rFonts w:ascii="Arial" w:hAnsi="Arial" w:cs="Arial"/>
          <w:sz w:val="24"/>
          <w:szCs w:val="24"/>
        </w:rPr>
        <w:t xml:space="preserve"> </w:t>
      </w:r>
      <w:r w:rsidR="007E6A8C" w:rsidRPr="00A5667B">
        <w:rPr>
          <w:rFonts w:ascii="Arial" w:hAnsi="Arial" w:cs="Arial"/>
          <w:sz w:val="24"/>
          <w:szCs w:val="24"/>
        </w:rPr>
        <w:t xml:space="preserve">The AHP method recognises that, though there can be several criteria, their magnitudes will </w:t>
      </w:r>
      <w:r w:rsidR="00030950" w:rsidRPr="00A5667B">
        <w:rPr>
          <w:rFonts w:ascii="Arial" w:hAnsi="Arial" w:cs="Arial"/>
          <w:sz w:val="24"/>
          <w:szCs w:val="24"/>
        </w:rPr>
        <w:t>differ</w:t>
      </w:r>
      <w:r w:rsidR="007E6A8C" w:rsidRPr="00A5667B">
        <w:rPr>
          <w:rFonts w:ascii="Arial" w:hAnsi="Arial" w:cs="Arial"/>
          <w:sz w:val="24"/>
          <w:szCs w:val="24"/>
        </w:rPr>
        <w:t>. Therefore, weights are assigned to the criteria</w:t>
      </w:r>
      <w:r w:rsidR="00030950" w:rsidRPr="00A5667B">
        <w:rPr>
          <w:rFonts w:ascii="Arial" w:hAnsi="Arial" w:cs="Arial"/>
          <w:sz w:val="24"/>
          <w:szCs w:val="24"/>
        </w:rPr>
        <w:t>,</w:t>
      </w:r>
      <w:r w:rsidR="007E6A8C" w:rsidRPr="00A5667B">
        <w:rPr>
          <w:rFonts w:ascii="Arial" w:hAnsi="Arial" w:cs="Arial"/>
          <w:sz w:val="24"/>
          <w:szCs w:val="24"/>
        </w:rPr>
        <w:t xml:space="preserve"> and their alternatives are evaluated. It derives priorities among criteria and alternatives in a multicriteria decision-making problem</w:t>
      </w:r>
      <w:r w:rsidR="00D7572C">
        <w:rPr>
          <w:rFonts w:ascii="Arial" w:hAnsi="Arial" w:cs="Arial"/>
          <w:sz w:val="24"/>
          <w:szCs w:val="24"/>
        </w:rPr>
        <w:t xml:space="preserve"> [2</w:t>
      </w:r>
      <w:r w:rsidR="00FE7EA2">
        <w:rPr>
          <w:rFonts w:ascii="Arial" w:hAnsi="Arial" w:cs="Arial"/>
          <w:sz w:val="24"/>
          <w:szCs w:val="24"/>
        </w:rPr>
        <w:t>7</w:t>
      </w:r>
      <w:r w:rsidR="00D7572C">
        <w:rPr>
          <w:rFonts w:ascii="Arial" w:hAnsi="Arial" w:cs="Arial"/>
          <w:sz w:val="24"/>
          <w:szCs w:val="24"/>
        </w:rPr>
        <w:t>]</w:t>
      </w:r>
      <w:r w:rsidR="007E6A8C" w:rsidRPr="00A5667B">
        <w:rPr>
          <w:rFonts w:ascii="Arial" w:hAnsi="Arial" w:cs="Arial"/>
          <w:sz w:val="24"/>
          <w:szCs w:val="24"/>
        </w:rPr>
        <w:t xml:space="preserve">. </w:t>
      </w:r>
      <w:r w:rsidR="002C464A" w:rsidRPr="00A5667B">
        <w:rPr>
          <w:rFonts w:ascii="Arial" w:hAnsi="Arial" w:cs="Arial"/>
          <w:sz w:val="24"/>
          <w:szCs w:val="24"/>
        </w:rPr>
        <w:t>Considering the MPCs for different sectors as Criteria, AHP can arrive at the sector MPCs by ranking them using pair-wise comparisons. The main steps in AHP are</w:t>
      </w:r>
      <w:r w:rsidR="00072CCC" w:rsidRPr="00A5667B">
        <w:rPr>
          <w:rFonts w:ascii="Arial" w:hAnsi="Arial" w:cs="Arial"/>
          <w:sz w:val="24"/>
          <w:szCs w:val="24"/>
        </w:rPr>
        <w:t xml:space="preserve"> as follows</w:t>
      </w:r>
      <w:r w:rsidR="002C464A" w:rsidRPr="00A5667B">
        <w:rPr>
          <w:rFonts w:ascii="Arial" w:hAnsi="Arial" w:cs="Arial"/>
          <w:sz w:val="24"/>
          <w:szCs w:val="24"/>
        </w:rPr>
        <w:t>:</w:t>
      </w:r>
    </w:p>
    <w:p w14:paraId="7309D6BC" w14:textId="17E7D544" w:rsidR="002C464A" w:rsidRPr="00A5667B" w:rsidRDefault="002C464A" w:rsidP="00072CCC">
      <w:pPr>
        <w:pStyle w:val="ListParagraph"/>
        <w:numPr>
          <w:ilvl w:val="0"/>
          <w:numId w:val="14"/>
        </w:numPr>
        <w:spacing w:line="360" w:lineRule="auto"/>
        <w:jc w:val="both"/>
        <w:rPr>
          <w:rFonts w:ascii="Arial" w:hAnsi="Arial" w:cs="Arial"/>
          <w:sz w:val="24"/>
          <w:szCs w:val="24"/>
        </w:rPr>
      </w:pPr>
      <w:r w:rsidRPr="00A5667B">
        <w:rPr>
          <w:rFonts w:ascii="Arial" w:hAnsi="Arial" w:cs="Arial"/>
          <w:sz w:val="24"/>
          <w:szCs w:val="24"/>
        </w:rPr>
        <w:t xml:space="preserve">Decompose the decision-making problem into a </w:t>
      </w:r>
      <w:r w:rsidR="00233B20" w:rsidRPr="00A5667B">
        <w:rPr>
          <w:rFonts w:ascii="Arial" w:hAnsi="Arial" w:cs="Arial"/>
          <w:sz w:val="24"/>
          <w:szCs w:val="24"/>
        </w:rPr>
        <w:t>hierarchy.</w:t>
      </w:r>
    </w:p>
    <w:p w14:paraId="5B7FCD20" w14:textId="61D3F92F" w:rsidR="002C464A" w:rsidRPr="00A5667B" w:rsidRDefault="002C464A" w:rsidP="00072CCC">
      <w:pPr>
        <w:pStyle w:val="ListParagraph"/>
        <w:numPr>
          <w:ilvl w:val="0"/>
          <w:numId w:val="14"/>
        </w:numPr>
        <w:spacing w:line="360" w:lineRule="auto"/>
        <w:jc w:val="both"/>
        <w:rPr>
          <w:rFonts w:ascii="Arial" w:hAnsi="Arial" w:cs="Arial"/>
          <w:sz w:val="24"/>
          <w:szCs w:val="24"/>
        </w:rPr>
      </w:pPr>
      <w:r w:rsidRPr="00A5667B">
        <w:rPr>
          <w:rFonts w:ascii="Arial" w:hAnsi="Arial" w:cs="Arial"/>
          <w:sz w:val="24"/>
          <w:szCs w:val="24"/>
        </w:rPr>
        <w:t xml:space="preserve">Make pair-wise comparisons and establish priorities among the elements in the </w:t>
      </w:r>
      <w:r w:rsidR="00233B20" w:rsidRPr="00A5667B">
        <w:rPr>
          <w:rFonts w:ascii="Arial" w:hAnsi="Arial" w:cs="Arial"/>
          <w:sz w:val="24"/>
          <w:szCs w:val="24"/>
        </w:rPr>
        <w:t>hierarchy.</w:t>
      </w:r>
    </w:p>
    <w:p w14:paraId="50ED34F1" w14:textId="510B4474" w:rsidR="002C464A" w:rsidRPr="00A5667B" w:rsidRDefault="002C464A" w:rsidP="00072CCC">
      <w:pPr>
        <w:pStyle w:val="ListParagraph"/>
        <w:numPr>
          <w:ilvl w:val="0"/>
          <w:numId w:val="14"/>
        </w:numPr>
        <w:spacing w:line="360" w:lineRule="auto"/>
        <w:jc w:val="both"/>
        <w:rPr>
          <w:rFonts w:ascii="Arial" w:hAnsi="Arial" w:cs="Arial"/>
          <w:sz w:val="24"/>
          <w:szCs w:val="24"/>
        </w:rPr>
      </w:pPr>
      <w:r w:rsidRPr="00A5667B">
        <w:rPr>
          <w:rFonts w:ascii="Arial" w:hAnsi="Arial" w:cs="Arial"/>
          <w:sz w:val="24"/>
          <w:szCs w:val="24"/>
        </w:rPr>
        <w:t>Synthesise judgments (weights for sector MPCs)</w:t>
      </w:r>
      <w:r w:rsidR="00233B20">
        <w:rPr>
          <w:rFonts w:ascii="Arial" w:hAnsi="Arial" w:cs="Arial"/>
          <w:sz w:val="24"/>
          <w:szCs w:val="24"/>
        </w:rPr>
        <w:t>.</w:t>
      </w:r>
    </w:p>
    <w:p w14:paraId="61F8B18C" w14:textId="06CBBC81" w:rsidR="002C464A" w:rsidRPr="00A5667B" w:rsidRDefault="002C464A" w:rsidP="00072CCC">
      <w:pPr>
        <w:pStyle w:val="ListParagraph"/>
        <w:numPr>
          <w:ilvl w:val="0"/>
          <w:numId w:val="14"/>
        </w:numPr>
        <w:spacing w:line="360" w:lineRule="auto"/>
        <w:jc w:val="both"/>
        <w:rPr>
          <w:rFonts w:ascii="Arial" w:hAnsi="Arial" w:cs="Arial"/>
          <w:sz w:val="24"/>
          <w:szCs w:val="24"/>
        </w:rPr>
      </w:pPr>
      <w:r w:rsidRPr="00A5667B">
        <w:rPr>
          <w:rFonts w:ascii="Arial" w:hAnsi="Arial" w:cs="Arial"/>
          <w:sz w:val="24"/>
          <w:szCs w:val="24"/>
        </w:rPr>
        <w:t xml:space="preserve">Evaluate and check the consistency of </w:t>
      </w:r>
      <w:r w:rsidR="00233B20" w:rsidRPr="00A5667B">
        <w:rPr>
          <w:rFonts w:ascii="Arial" w:hAnsi="Arial" w:cs="Arial"/>
          <w:sz w:val="24"/>
          <w:szCs w:val="24"/>
        </w:rPr>
        <w:t>judgements.</w:t>
      </w:r>
    </w:p>
    <w:p w14:paraId="7D4F36A7" w14:textId="2CEC3A84" w:rsidR="007E6A8C" w:rsidRPr="00A5667B" w:rsidRDefault="001032AB" w:rsidP="00D94BE3">
      <w:pPr>
        <w:spacing w:line="360" w:lineRule="auto"/>
        <w:jc w:val="both"/>
        <w:rPr>
          <w:rFonts w:ascii="Arial" w:hAnsi="Arial" w:cs="Arial"/>
          <w:sz w:val="24"/>
          <w:szCs w:val="24"/>
        </w:rPr>
      </w:pPr>
      <w:r w:rsidRPr="00A5667B">
        <w:rPr>
          <w:rFonts w:ascii="Arial" w:hAnsi="Arial" w:cs="Arial"/>
          <w:sz w:val="24"/>
          <w:szCs w:val="24"/>
        </w:rPr>
        <w:t>M</w:t>
      </w:r>
      <w:r w:rsidR="002908A4" w:rsidRPr="00A5667B">
        <w:rPr>
          <w:rFonts w:ascii="Arial" w:hAnsi="Arial" w:cs="Arial"/>
          <w:sz w:val="24"/>
          <w:szCs w:val="24"/>
        </w:rPr>
        <w:t xml:space="preserve">eetings were arranged with </w:t>
      </w:r>
      <w:r w:rsidR="00262241">
        <w:rPr>
          <w:rFonts w:ascii="Arial" w:hAnsi="Arial" w:cs="Arial"/>
          <w:sz w:val="24"/>
          <w:szCs w:val="24"/>
        </w:rPr>
        <w:t xml:space="preserve">2 </w:t>
      </w:r>
      <w:r w:rsidR="002908A4" w:rsidRPr="00A5667B">
        <w:rPr>
          <w:rFonts w:ascii="Arial" w:hAnsi="Arial" w:cs="Arial"/>
          <w:sz w:val="24"/>
          <w:szCs w:val="24"/>
        </w:rPr>
        <w:t>expert</w:t>
      </w:r>
      <w:r w:rsidRPr="00A5667B">
        <w:rPr>
          <w:rFonts w:ascii="Arial" w:hAnsi="Arial" w:cs="Arial"/>
          <w:sz w:val="24"/>
          <w:szCs w:val="24"/>
        </w:rPr>
        <w:t>s</w:t>
      </w:r>
      <w:r w:rsidR="002908A4" w:rsidRPr="00A5667B">
        <w:rPr>
          <w:rFonts w:ascii="Arial" w:hAnsi="Arial" w:cs="Arial"/>
          <w:sz w:val="24"/>
          <w:szCs w:val="24"/>
        </w:rPr>
        <w:t xml:space="preserve"> </w:t>
      </w:r>
      <w:r w:rsidR="00981B46">
        <w:rPr>
          <w:rFonts w:ascii="Arial" w:hAnsi="Arial" w:cs="Arial"/>
          <w:sz w:val="24"/>
          <w:szCs w:val="24"/>
        </w:rPr>
        <w:t xml:space="preserve">each one </w:t>
      </w:r>
      <w:r w:rsidR="008433DF">
        <w:rPr>
          <w:rFonts w:ascii="Arial" w:hAnsi="Arial" w:cs="Arial"/>
          <w:sz w:val="24"/>
          <w:szCs w:val="24"/>
        </w:rPr>
        <w:t>representing a case study</w:t>
      </w:r>
      <w:r w:rsidR="00981B46">
        <w:rPr>
          <w:rFonts w:ascii="Arial" w:hAnsi="Arial" w:cs="Arial"/>
          <w:sz w:val="24"/>
          <w:szCs w:val="24"/>
        </w:rPr>
        <w:t xml:space="preserve"> </w:t>
      </w:r>
      <w:r w:rsidR="002908A4" w:rsidRPr="00A5667B">
        <w:rPr>
          <w:rFonts w:ascii="Arial" w:hAnsi="Arial" w:cs="Arial"/>
          <w:sz w:val="24"/>
          <w:szCs w:val="24"/>
        </w:rPr>
        <w:t>island</w:t>
      </w:r>
      <w:r w:rsidRPr="00A5667B">
        <w:rPr>
          <w:rFonts w:ascii="Arial" w:hAnsi="Arial" w:cs="Arial"/>
          <w:sz w:val="24"/>
          <w:szCs w:val="24"/>
        </w:rPr>
        <w:t xml:space="preserve"> to obtain relevant information on the local economy. </w:t>
      </w:r>
      <w:r w:rsidR="00981B46">
        <w:rPr>
          <w:rFonts w:ascii="Arial" w:hAnsi="Arial" w:cs="Arial"/>
          <w:sz w:val="24"/>
          <w:szCs w:val="24"/>
        </w:rPr>
        <w:t xml:space="preserve">These experts </w:t>
      </w:r>
      <w:r w:rsidR="00337B50">
        <w:rPr>
          <w:rFonts w:ascii="Arial" w:hAnsi="Arial" w:cs="Arial"/>
          <w:sz w:val="24"/>
          <w:szCs w:val="24"/>
        </w:rPr>
        <w:t xml:space="preserve">are </w:t>
      </w:r>
      <w:r w:rsidR="00686FA1">
        <w:rPr>
          <w:rFonts w:ascii="Arial" w:hAnsi="Arial" w:cs="Arial"/>
          <w:sz w:val="24"/>
          <w:szCs w:val="24"/>
        </w:rPr>
        <w:t>the members of REACT project</w:t>
      </w:r>
      <w:r w:rsidR="00290CD7">
        <w:rPr>
          <w:rFonts w:ascii="Arial" w:hAnsi="Arial" w:cs="Arial"/>
          <w:sz w:val="24"/>
          <w:szCs w:val="24"/>
        </w:rPr>
        <w:t xml:space="preserve"> team </w:t>
      </w:r>
      <w:r w:rsidR="00FD7159">
        <w:rPr>
          <w:rFonts w:ascii="Arial" w:hAnsi="Arial" w:cs="Arial"/>
          <w:sz w:val="24"/>
          <w:szCs w:val="24"/>
        </w:rPr>
        <w:t>and have detailed knowledge of the local economy</w:t>
      </w:r>
      <w:r w:rsidR="00B478AB">
        <w:rPr>
          <w:rFonts w:ascii="Arial" w:hAnsi="Arial" w:cs="Arial"/>
          <w:sz w:val="24"/>
          <w:szCs w:val="24"/>
        </w:rPr>
        <w:t xml:space="preserve"> of</w:t>
      </w:r>
      <w:r w:rsidR="00337B50">
        <w:rPr>
          <w:rFonts w:ascii="Arial" w:hAnsi="Arial" w:cs="Arial"/>
          <w:sz w:val="24"/>
          <w:szCs w:val="24"/>
        </w:rPr>
        <w:t xml:space="preserve"> the islands. </w:t>
      </w:r>
      <w:r w:rsidRPr="00A5667B">
        <w:rPr>
          <w:rFonts w:ascii="Arial" w:hAnsi="Arial" w:cs="Arial"/>
          <w:sz w:val="24"/>
          <w:szCs w:val="24"/>
        </w:rPr>
        <w:t>T</w:t>
      </w:r>
      <w:r w:rsidR="002908A4" w:rsidRPr="00A5667B">
        <w:rPr>
          <w:rFonts w:ascii="Arial" w:hAnsi="Arial" w:cs="Arial"/>
          <w:sz w:val="24"/>
          <w:szCs w:val="24"/>
        </w:rPr>
        <w:t>he</w:t>
      </w:r>
      <w:r w:rsidR="004B3582">
        <w:rPr>
          <w:rFonts w:ascii="Arial" w:hAnsi="Arial" w:cs="Arial"/>
          <w:sz w:val="24"/>
          <w:szCs w:val="24"/>
        </w:rPr>
        <w:t xml:space="preserve"> socio-economic </w:t>
      </w:r>
      <w:r w:rsidR="00BD19E0">
        <w:rPr>
          <w:rFonts w:ascii="Arial" w:hAnsi="Arial" w:cs="Arial"/>
          <w:sz w:val="24"/>
          <w:szCs w:val="24"/>
        </w:rPr>
        <w:t xml:space="preserve">assessment </w:t>
      </w:r>
      <w:r w:rsidR="004B3582">
        <w:rPr>
          <w:rFonts w:ascii="Arial" w:hAnsi="Arial" w:cs="Arial"/>
          <w:sz w:val="24"/>
          <w:szCs w:val="24"/>
        </w:rPr>
        <w:t>approach was explained</w:t>
      </w:r>
      <w:r w:rsidR="00B478AB">
        <w:rPr>
          <w:rFonts w:ascii="Arial" w:hAnsi="Arial" w:cs="Arial"/>
          <w:sz w:val="24"/>
          <w:szCs w:val="24"/>
        </w:rPr>
        <w:t xml:space="preserve"> to th</w:t>
      </w:r>
      <w:r w:rsidR="0095361E">
        <w:rPr>
          <w:rFonts w:ascii="Arial" w:hAnsi="Arial" w:cs="Arial"/>
          <w:sz w:val="24"/>
          <w:szCs w:val="24"/>
        </w:rPr>
        <w:t>e</w:t>
      </w:r>
      <w:r w:rsidR="00B478AB">
        <w:rPr>
          <w:rFonts w:ascii="Arial" w:hAnsi="Arial" w:cs="Arial"/>
          <w:sz w:val="24"/>
          <w:szCs w:val="24"/>
        </w:rPr>
        <w:t>m</w:t>
      </w:r>
      <w:r w:rsidR="00BD19E0">
        <w:rPr>
          <w:rFonts w:ascii="Arial" w:hAnsi="Arial" w:cs="Arial"/>
          <w:sz w:val="24"/>
          <w:szCs w:val="24"/>
        </w:rPr>
        <w:t>, and the</w:t>
      </w:r>
      <w:r w:rsidR="002908A4" w:rsidRPr="00A5667B">
        <w:rPr>
          <w:rFonts w:ascii="Arial" w:hAnsi="Arial" w:cs="Arial"/>
          <w:sz w:val="24"/>
          <w:szCs w:val="24"/>
        </w:rPr>
        <w:t xml:space="preserve"> economic sectors specific to their</w:t>
      </w:r>
      <w:r w:rsidR="00BD19E0">
        <w:rPr>
          <w:rFonts w:ascii="Arial" w:hAnsi="Arial" w:cs="Arial"/>
          <w:sz w:val="24"/>
          <w:szCs w:val="24"/>
        </w:rPr>
        <w:t xml:space="preserve"> respective</w:t>
      </w:r>
      <w:r w:rsidR="002908A4" w:rsidRPr="00A5667B">
        <w:rPr>
          <w:rFonts w:ascii="Arial" w:hAnsi="Arial" w:cs="Arial"/>
          <w:sz w:val="24"/>
          <w:szCs w:val="24"/>
        </w:rPr>
        <w:t xml:space="preserve"> islands </w:t>
      </w:r>
      <w:r w:rsidRPr="00A5667B">
        <w:rPr>
          <w:rFonts w:ascii="Arial" w:hAnsi="Arial" w:cs="Arial"/>
          <w:sz w:val="24"/>
          <w:szCs w:val="24"/>
        </w:rPr>
        <w:t xml:space="preserve">were </w:t>
      </w:r>
      <w:r w:rsidR="002908A4" w:rsidRPr="00A5667B">
        <w:rPr>
          <w:rFonts w:ascii="Arial" w:hAnsi="Arial" w:cs="Arial"/>
          <w:sz w:val="24"/>
          <w:szCs w:val="24"/>
        </w:rPr>
        <w:t>outlined</w:t>
      </w:r>
      <w:r w:rsidRPr="00A5667B">
        <w:rPr>
          <w:rFonts w:ascii="Arial" w:hAnsi="Arial" w:cs="Arial"/>
          <w:sz w:val="24"/>
          <w:szCs w:val="24"/>
        </w:rPr>
        <w:t xml:space="preserve"> and discussed</w:t>
      </w:r>
      <w:r w:rsidR="002908A4" w:rsidRPr="00A5667B">
        <w:rPr>
          <w:rFonts w:ascii="Arial" w:hAnsi="Arial" w:cs="Arial"/>
          <w:sz w:val="24"/>
          <w:szCs w:val="24"/>
        </w:rPr>
        <w:t xml:space="preserve">. </w:t>
      </w:r>
      <w:r w:rsidR="000A18FD">
        <w:rPr>
          <w:rFonts w:ascii="Arial" w:hAnsi="Arial" w:cs="Arial"/>
          <w:sz w:val="24"/>
          <w:szCs w:val="24"/>
        </w:rPr>
        <w:t>T</w:t>
      </w:r>
      <w:r w:rsidR="002908A4" w:rsidRPr="00A5667B">
        <w:rPr>
          <w:rFonts w:ascii="Arial" w:hAnsi="Arial" w:cs="Arial"/>
          <w:sz w:val="24"/>
          <w:szCs w:val="24"/>
        </w:rPr>
        <w:t>he</w:t>
      </w:r>
      <w:r w:rsidR="000A18FD">
        <w:rPr>
          <w:rFonts w:ascii="Arial" w:hAnsi="Arial" w:cs="Arial"/>
          <w:sz w:val="24"/>
          <w:szCs w:val="24"/>
        </w:rPr>
        <w:t xml:space="preserve"> experts then</w:t>
      </w:r>
      <w:r w:rsidR="002908A4" w:rsidRPr="00A5667B">
        <w:rPr>
          <w:rFonts w:ascii="Arial" w:hAnsi="Arial" w:cs="Arial"/>
          <w:sz w:val="24"/>
          <w:szCs w:val="24"/>
        </w:rPr>
        <w:t xml:space="preserve"> completed pair-wise comparison of the</w:t>
      </w:r>
      <w:r w:rsidR="002520F0" w:rsidRPr="00A5667B">
        <w:rPr>
          <w:rFonts w:ascii="Arial" w:hAnsi="Arial" w:cs="Arial"/>
          <w:sz w:val="24"/>
          <w:szCs w:val="24"/>
        </w:rPr>
        <w:t>se</w:t>
      </w:r>
      <w:r w:rsidR="002908A4" w:rsidRPr="00A5667B">
        <w:rPr>
          <w:rFonts w:ascii="Arial" w:hAnsi="Arial" w:cs="Arial"/>
          <w:sz w:val="24"/>
          <w:szCs w:val="24"/>
        </w:rPr>
        <w:t xml:space="preserve"> sectors based on their knowledge of the relative</w:t>
      </w:r>
      <w:r w:rsidR="002520F0" w:rsidRPr="00A5667B">
        <w:rPr>
          <w:rFonts w:ascii="Arial" w:hAnsi="Arial" w:cs="Arial"/>
          <w:sz w:val="24"/>
          <w:szCs w:val="24"/>
        </w:rPr>
        <w:t xml:space="preserve"> strength of the relevant</w:t>
      </w:r>
      <w:r w:rsidR="002908A4" w:rsidRPr="00A5667B">
        <w:rPr>
          <w:rFonts w:ascii="Arial" w:hAnsi="Arial" w:cs="Arial"/>
          <w:sz w:val="24"/>
          <w:szCs w:val="24"/>
        </w:rPr>
        <w:t xml:space="preserve"> local economic </w:t>
      </w:r>
      <w:r w:rsidR="002520F0" w:rsidRPr="00A5667B">
        <w:rPr>
          <w:rFonts w:ascii="Arial" w:hAnsi="Arial" w:cs="Arial"/>
          <w:sz w:val="24"/>
          <w:szCs w:val="24"/>
        </w:rPr>
        <w:t xml:space="preserve">sectors </w:t>
      </w:r>
      <w:r w:rsidR="002908A4" w:rsidRPr="00A5667B">
        <w:rPr>
          <w:rFonts w:ascii="Arial" w:hAnsi="Arial" w:cs="Arial"/>
          <w:sz w:val="24"/>
          <w:szCs w:val="24"/>
        </w:rPr>
        <w:t>in the island</w:t>
      </w:r>
      <w:r w:rsidR="008C33E6" w:rsidRPr="00A5667B">
        <w:rPr>
          <w:rFonts w:ascii="Arial" w:hAnsi="Arial" w:cs="Arial"/>
          <w:sz w:val="24"/>
          <w:szCs w:val="24"/>
        </w:rPr>
        <w:t xml:space="preserve"> using the AHP priority calculator. The software tool also checked for consistency in the comparison and then assigned weights to the economic sectors considered finally as the MPCs of the islands economic sectors. With these MPCs, the KIM of each sector </w:t>
      </w:r>
      <w:r w:rsidR="002C464A" w:rsidRPr="00A5667B">
        <w:rPr>
          <w:rFonts w:ascii="Arial" w:hAnsi="Arial" w:cs="Arial"/>
          <w:sz w:val="24"/>
          <w:szCs w:val="24"/>
        </w:rPr>
        <w:t>was</w:t>
      </w:r>
      <w:r w:rsidR="008C33E6" w:rsidRPr="00A5667B">
        <w:rPr>
          <w:rFonts w:ascii="Arial" w:hAnsi="Arial" w:cs="Arial"/>
          <w:sz w:val="24"/>
          <w:szCs w:val="24"/>
        </w:rPr>
        <w:t xml:space="preserve"> calculated using </w:t>
      </w:r>
      <w:r w:rsidR="00BF4730" w:rsidRPr="00A5667B">
        <w:rPr>
          <w:rFonts w:ascii="Arial" w:hAnsi="Arial" w:cs="Arial"/>
          <w:sz w:val="24"/>
          <w:szCs w:val="24"/>
        </w:rPr>
        <w:t>E</w:t>
      </w:r>
      <w:r w:rsidR="008C33E6" w:rsidRPr="00A5667B">
        <w:rPr>
          <w:rFonts w:ascii="Arial" w:hAnsi="Arial" w:cs="Arial"/>
          <w:sz w:val="24"/>
          <w:szCs w:val="24"/>
        </w:rPr>
        <w:t xml:space="preserve">quation </w:t>
      </w:r>
      <w:r w:rsidR="00BF4730" w:rsidRPr="00A5667B">
        <w:rPr>
          <w:rFonts w:ascii="Arial" w:hAnsi="Arial" w:cs="Arial"/>
          <w:sz w:val="24"/>
          <w:szCs w:val="24"/>
        </w:rPr>
        <w:t>(</w:t>
      </w:r>
      <w:r w:rsidR="003B0278">
        <w:rPr>
          <w:rFonts w:ascii="Arial" w:hAnsi="Arial" w:cs="Arial"/>
          <w:sz w:val="24"/>
          <w:szCs w:val="24"/>
        </w:rPr>
        <w:t>2</w:t>
      </w:r>
      <w:r w:rsidR="00BF4730" w:rsidRPr="00A5667B">
        <w:rPr>
          <w:rFonts w:ascii="Arial" w:hAnsi="Arial" w:cs="Arial"/>
          <w:sz w:val="24"/>
          <w:szCs w:val="24"/>
        </w:rPr>
        <w:t>)</w:t>
      </w:r>
      <w:r w:rsidR="008C33E6" w:rsidRPr="00A5667B">
        <w:rPr>
          <w:rFonts w:ascii="Arial" w:hAnsi="Arial" w:cs="Arial"/>
          <w:sz w:val="24"/>
          <w:szCs w:val="24"/>
        </w:rPr>
        <w:t>.</w:t>
      </w:r>
    </w:p>
    <w:p w14:paraId="08F78907" w14:textId="3201FEB2" w:rsidR="00E003B9" w:rsidRPr="000514E3" w:rsidRDefault="00E003B9" w:rsidP="00072CCC">
      <w:pPr>
        <w:pStyle w:val="Heading2"/>
        <w:numPr>
          <w:ilvl w:val="1"/>
          <w:numId w:val="14"/>
        </w:numPr>
        <w:rPr>
          <w:rFonts w:ascii="Arial" w:hAnsi="Arial" w:cs="Arial"/>
          <w:sz w:val="24"/>
          <w:szCs w:val="24"/>
        </w:rPr>
      </w:pPr>
      <w:r w:rsidRPr="000514E3">
        <w:rPr>
          <w:rFonts w:ascii="Arial" w:hAnsi="Arial" w:cs="Arial"/>
          <w:sz w:val="24"/>
          <w:szCs w:val="24"/>
        </w:rPr>
        <w:t>RES Scenario Selection</w:t>
      </w:r>
    </w:p>
    <w:p w14:paraId="1F6CBB7A" w14:textId="5B27AC83" w:rsidR="0030170B" w:rsidRPr="00A5667B" w:rsidRDefault="00DD2E1D" w:rsidP="008F28A6">
      <w:pPr>
        <w:spacing w:line="360" w:lineRule="auto"/>
        <w:jc w:val="both"/>
        <w:rPr>
          <w:rFonts w:ascii="Arial" w:hAnsi="Arial" w:cs="Arial"/>
          <w:sz w:val="24"/>
          <w:szCs w:val="24"/>
        </w:rPr>
      </w:pPr>
      <w:r w:rsidRPr="00A5667B">
        <w:rPr>
          <w:rFonts w:ascii="Arial" w:hAnsi="Arial" w:cs="Arial"/>
          <w:sz w:val="24"/>
          <w:szCs w:val="24"/>
        </w:rPr>
        <w:t>Previous research</w:t>
      </w:r>
      <w:r w:rsidR="00E003B9" w:rsidRPr="00A5667B">
        <w:rPr>
          <w:rFonts w:ascii="Arial" w:hAnsi="Arial" w:cs="Arial"/>
          <w:sz w:val="24"/>
          <w:szCs w:val="24"/>
        </w:rPr>
        <w:t xml:space="preserve"> </w:t>
      </w:r>
      <w:r w:rsidR="00F36E1A">
        <w:rPr>
          <w:rFonts w:ascii="Arial" w:hAnsi="Arial" w:cs="Arial"/>
          <w:sz w:val="24"/>
          <w:szCs w:val="24"/>
        </w:rPr>
        <w:t>[</w:t>
      </w:r>
      <w:r w:rsidR="00062D69">
        <w:rPr>
          <w:rFonts w:ascii="Arial" w:hAnsi="Arial" w:cs="Arial"/>
          <w:sz w:val="24"/>
          <w:szCs w:val="24"/>
        </w:rPr>
        <w:t xml:space="preserve">24, </w:t>
      </w:r>
      <w:r w:rsidR="00F36E1A">
        <w:rPr>
          <w:rFonts w:ascii="Arial" w:hAnsi="Arial" w:cs="Arial"/>
          <w:sz w:val="24"/>
          <w:szCs w:val="24"/>
        </w:rPr>
        <w:t>2</w:t>
      </w:r>
      <w:r w:rsidR="00FE7EA2">
        <w:rPr>
          <w:rFonts w:ascii="Arial" w:hAnsi="Arial" w:cs="Arial"/>
          <w:sz w:val="24"/>
          <w:szCs w:val="24"/>
        </w:rPr>
        <w:t>8</w:t>
      </w:r>
      <w:r w:rsidR="00F36E1A">
        <w:rPr>
          <w:rFonts w:ascii="Arial" w:hAnsi="Arial" w:cs="Arial"/>
          <w:sz w:val="24"/>
          <w:szCs w:val="24"/>
        </w:rPr>
        <w:t>]</w:t>
      </w:r>
      <w:r w:rsidR="00F11566">
        <w:rPr>
          <w:rFonts w:ascii="Arial" w:hAnsi="Arial" w:cs="Arial"/>
          <w:sz w:val="24"/>
          <w:szCs w:val="24"/>
        </w:rPr>
        <w:t xml:space="preserve"> </w:t>
      </w:r>
      <w:r w:rsidR="00E003B9" w:rsidRPr="00A5667B">
        <w:rPr>
          <w:rFonts w:ascii="Arial" w:hAnsi="Arial" w:cs="Arial"/>
          <w:sz w:val="24"/>
          <w:szCs w:val="24"/>
        </w:rPr>
        <w:t>asses</w:t>
      </w:r>
      <w:r w:rsidRPr="00A5667B">
        <w:rPr>
          <w:rFonts w:ascii="Arial" w:hAnsi="Arial" w:cs="Arial"/>
          <w:sz w:val="24"/>
          <w:szCs w:val="24"/>
        </w:rPr>
        <w:t>s</w:t>
      </w:r>
      <w:r w:rsidR="00817E17">
        <w:rPr>
          <w:rFonts w:ascii="Arial" w:hAnsi="Arial" w:cs="Arial"/>
          <w:sz w:val="24"/>
          <w:szCs w:val="24"/>
        </w:rPr>
        <w:t>ed</w:t>
      </w:r>
      <w:r w:rsidR="00E003B9" w:rsidRPr="00A5667B">
        <w:rPr>
          <w:rFonts w:ascii="Arial" w:hAnsi="Arial" w:cs="Arial"/>
          <w:sz w:val="24"/>
          <w:szCs w:val="24"/>
        </w:rPr>
        <w:t xml:space="preserve"> the generation potential and limitations of RES sources</w:t>
      </w:r>
      <w:r w:rsidRPr="00A5667B">
        <w:rPr>
          <w:rFonts w:ascii="Arial" w:hAnsi="Arial" w:cs="Arial"/>
          <w:sz w:val="24"/>
          <w:szCs w:val="24"/>
        </w:rPr>
        <w:t xml:space="preserve"> in the islands</w:t>
      </w:r>
      <w:r w:rsidR="00E003B9" w:rsidRPr="00A5667B">
        <w:rPr>
          <w:rFonts w:ascii="Arial" w:hAnsi="Arial" w:cs="Arial"/>
          <w:sz w:val="24"/>
          <w:szCs w:val="24"/>
        </w:rPr>
        <w:t>, namely wind, solar, biomass, geothermal, wave, tidal</w:t>
      </w:r>
      <w:r w:rsidR="00AA7C21" w:rsidRPr="00A5667B">
        <w:rPr>
          <w:rFonts w:ascii="Arial" w:hAnsi="Arial" w:cs="Arial"/>
          <w:sz w:val="24"/>
          <w:szCs w:val="24"/>
        </w:rPr>
        <w:t>,</w:t>
      </w:r>
      <w:r w:rsidR="00E003B9" w:rsidRPr="00A5667B">
        <w:rPr>
          <w:rFonts w:ascii="Arial" w:hAnsi="Arial" w:cs="Arial"/>
          <w:sz w:val="24"/>
          <w:szCs w:val="24"/>
        </w:rPr>
        <w:t xml:space="preserve"> and </w:t>
      </w:r>
      <w:r w:rsidR="00E003B9" w:rsidRPr="00A5667B">
        <w:rPr>
          <w:rFonts w:ascii="Arial" w:hAnsi="Arial" w:cs="Arial"/>
          <w:sz w:val="24"/>
          <w:szCs w:val="24"/>
        </w:rPr>
        <w:lastRenderedPageBreak/>
        <w:t xml:space="preserve">hydroelectric harvesting. </w:t>
      </w:r>
      <w:r w:rsidR="00AA7C21" w:rsidRPr="00A5667B">
        <w:rPr>
          <w:rFonts w:ascii="Arial" w:hAnsi="Arial" w:cs="Arial"/>
          <w:sz w:val="24"/>
          <w:szCs w:val="24"/>
        </w:rPr>
        <w:t xml:space="preserve">Based on the assessments, </w:t>
      </w:r>
      <w:r w:rsidR="00E003B9" w:rsidRPr="00A5667B">
        <w:rPr>
          <w:rFonts w:ascii="Arial" w:hAnsi="Arial" w:cs="Arial"/>
          <w:sz w:val="24"/>
          <w:szCs w:val="24"/>
        </w:rPr>
        <w:t>a set of feasible RES technologies and potential storage options for each island</w:t>
      </w:r>
      <w:r w:rsidR="00F114C0">
        <w:rPr>
          <w:rFonts w:ascii="Arial" w:hAnsi="Arial" w:cs="Arial"/>
          <w:sz w:val="24"/>
          <w:szCs w:val="24"/>
        </w:rPr>
        <w:t xml:space="preserve"> were </w:t>
      </w:r>
      <w:r w:rsidR="00F114C0" w:rsidRPr="00A5667B">
        <w:rPr>
          <w:rFonts w:ascii="Arial" w:hAnsi="Arial" w:cs="Arial"/>
          <w:sz w:val="24"/>
          <w:szCs w:val="24"/>
        </w:rPr>
        <w:t>determined</w:t>
      </w:r>
      <w:r w:rsidR="00E003B9" w:rsidRPr="00A5667B">
        <w:rPr>
          <w:rFonts w:ascii="Arial" w:hAnsi="Arial" w:cs="Arial"/>
          <w:sz w:val="24"/>
          <w:szCs w:val="24"/>
        </w:rPr>
        <w:t xml:space="preserve">. </w:t>
      </w:r>
      <w:r w:rsidR="001C70D5" w:rsidRPr="00A5667B">
        <w:rPr>
          <w:rFonts w:ascii="Arial" w:hAnsi="Arial" w:cs="Arial"/>
          <w:sz w:val="24"/>
          <w:szCs w:val="24"/>
        </w:rPr>
        <w:t>Using the results from the assessment of RES potential at the sites and the findings from RES/storage enabled infrastructure planning (which involves legislative, economic, and technical limitations)</w:t>
      </w:r>
      <w:r w:rsidR="00613722">
        <w:rPr>
          <w:rFonts w:ascii="Arial" w:hAnsi="Arial" w:cs="Arial"/>
          <w:sz w:val="24"/>
          <w:szCs w:val="24"/>
        </w:rPr>
        <w:t xml:space="preserve"> undertaken as part of the H</w:t>
      </w:r>
      <w:r w:rsidR="00855CB3">
        <w:rPr>
          <w:rFonts w:ascii="Arial" w:hAnsi="Arial" w:cs="Arial"/>
          <w:sz w:val="24"/>
          <w:szCs w:val="24"/>
        </w:rPr>
        <w:t>orizon 2020 project REACT</w:t>
      </w:r>
      <w:r w:rsidR="00BB3285" w:rsidRPr="00A5667B">
        <w:rPr>
          <w:rFonts w:ascii="Arial" w:hAnsi="Arial" w:cs="Arial"/>
          <w:sz w:val="24"/>
          <w:szCs w:val="24"/>
        </w:rPr>
        <w:t>,</w:t>
      </w:r>
      <w:r w:rsidR="001C70D5" w:rsidRPr="00A5667B">
        <w:rPr>
          <w:rFonts w:ascii="Arial" w:hAnsi="Arial" w:cs="Arial"/>
          <w:sz w:val="24"/>
          <w:szCs w:val="24"/>
        </w:rPr>
        <w:t xml:space="preserve"> energy system scenarios</w:t>
      </w:r>
      <w:r w:rsidR="00C87D85">
        <w:rPr>
          <w:rFonts w:ascii="Arial" w:hAnsi="Arial" w:cs="Arial"/>
          <w:sz w:val="24"/>
          <w:szCs w:val="24"/>
        </w:rPr>
        <w:t xml:space="preserve"> </w:t>
      </w:r>
      <w:r w:rsidR="00855CB3">
        <w:rPr>
          <w:rFonts w:ascii="Arial" w:hAnsi="Arial" w:cs="Arial"/>
          <w:sz w:val="24"/>
          <w:szCs w:val="24"/>
        </w:rPr>
        <w:t>were created</w:t>
      </w:r>
      <w:r w:rsidR="001C70D5" w:rsidRPr="00A5667B">
        <w:rPr>
          <w:rFonts w:ascii="Arial" w:hAnsi="Arial" w:cs="Arial"/>
          <w:sz w:val="24"/>
          <w:szCs w:val="24"/>
        </w:rPr>
        <w:t xml:space="preserve">. </w:t>
      </w:r>
      <w:r w:rsidR="00EE7FBC" w:rsidRPr="00A5667B">
        <w:rPr>
          <w:rFonts w:ascii="Arial" w:hAnsi="Arial" w:cs="Arial"/>
          <w:sz w:val="24"/>
          <w:szCs w:val="24"/>
        </w:rPr>
        <w:t>Th</w:t>
      </w:r>
      <w:r w:rsidR="005D4459">
        <w:rPr>
          <w:rFonts w:ascii="Arial" w:hAnsi="Arial" w:cs="Arial"/>
          <w:sz w:val="24"/>
          <w:szCs w:val="24"/>
        </w:rPr>
        <w:t xml:space="preserve">e REACT project also conducted </w:t>
      </w:r>
      <w:r w:rsidR="0030170B" w:rsidRPr="00A5667B">
        <w:rPr>
          <w:rFonts w:ascii="Arial" w:hAnsi="Arial" w:cs="Arial"/>
          <w:sz w:val="24"/>
          <w:szCs w:val="24"/>
        </w:rPr>
        <w:t>a multi-criteria assessment of the lifecycle environmental impacts, economic, technical</w:t>
      </w:r>
      <w:r w:rsidR="004D650E" w:rsidRPr="00A5667B">
        <w:rPr>
          <w:rFonts w:ascii="Arial" w:hAnsi="Arial" w:cs="Arial"/>
          <w:sz w:val="24"/>
          <w:szCs w:val="24"/>
        </w:rPr>
        <w:t>,</w:t>
      </w:r>
      <w:r w:rsidR="0030170B" w:rsidRPr="00A5667B">
        <w:rPr>
          <w:rFonts w:ascii="Arial" w:hAnsi="Arial" w:cs="Arial"/>
          <w:sz w:val="24"/>
          <w:szCs w:val="24"/>
        </w:rPr>
        <w:t xml:space="preserve"> and social indicators</w:t>
      </w:r>
      <w:r w:rsidR="005D4459">
        <w:rPr>
          <w:rFonts w:ascii="Arial" w:hAnsi="Arial" w:cs="Arial"/>
          <w:sz w:val="24"/>
          <w:szCs w:val="24"/>
        </w:rPr>
        <w:t xml:space="preserve"> of</w:t>
      </w:r>
      <w:r w:rsidR="0030170B" w:rsidRPr="00A5667B">
        <w:rPr>
          <w:rFonts w:ascii="Arial" w:hAnsi="Arial" w:cs="Arial"/>
          <w:sz w:val="24"/>
          <w:szCs w:val="24"/>
        </w:rPr>
        <w:t xml:space="preserve"> </w:t>
      </w:r>
      <w:r w:rsidR="00EE7FBC" w:rsidRPr="00A5667B">
        <w:rPr>
          <w:rFonts w:ascii="Arial" w:hAnsi="Arial" w:cs="Arial"/>
          <w:sz w:val="24"/>
          <w:szCs w:val="24"/>
        </w:rPr>
        <w:t>the scenarios</w:t>
      </w:r>
      <w:r w:rsidR="005D4459">
        <w:rPr>
          <w:rFonts w:ascii="Arial" w:hAnsi="Arial" w:cs="Arial"/>
          <w:sz w:val="24"/>
          <w:szCs w:val="24"/>
        </w:rPr>
        <w:t>. Th</w:t>
      </w:r>
      <w:r w:rsidR="00D13FC3">
        <w:rPr>
          <w:rFonts w:ascii="Arial" w:hAnsi="Arial" w:cs="Arial"/>
          <w:sz w:val="24"/>
          <w:szCs w:val="24"/>
        </w:rPr>
        <w:t xml:space="preserve">ose </w:t>
      </w:r>
      <w:r w:rsidR="00D13FC3" w:rsidRPr="00A5667B">
        <w:rPr>
          <w:rFonts w:ascii="Arial" w:hAnsi="Arial" w:cs="Arial"/>
          <w:sz w:val="24"/>
          <w:szCs w:val="24"/>
        </w:rPr>
        <w:t>scenarios</w:t>
      </w:r>
      <w:r w:rsidR="00D13FC3">
        <w:rPr>
          <w:rFonts w:ascii="Arial" w:hAnsi="Arial" w:cs="Arial"/>
          <w:sz w:val="24"/>
          <w:szCs w:val="24"/>
        </w:rPr>
        <w:t xml:space="preserve"> which were</w:t>
      </w:r>
      <w:r w:rsidR="00EE7FBC" w:rsidRPr="00A5667B">
        <w:rPr>
          <w:rFonts w:ascii="Arial" w:hAnsi="Arial" w:cs="Arial"/>
          <w:sz w:val="24"/>
          <w:szCs w:val="24"/>
        </w:rPr>
        <w:t xml:space="preserve"> identified as </w:t>
      </w:r>
      <w:r w:rsidR="00D13FC3">
        <w:rPr>
          <w:rFonts w:ascii="Arial" w:hAnsi="Arial" w:cs="Arial"/>
          <w:sz w:val="24"/>
          <w:szCs w:val="24"/>
        </w:rPr>
        <w:t xml:space="preserve">the </w:t>
      </w:r>
      <w:r w:rsidR="00EE7FBC" w:rsidRPr="00A5667B">
        <w:rPr>
          <w:rFonts w:ascii="Arial" w:hAnsi="Arial" w:cs="Arial"/>
          <w:sz w:val="24"/>
          <w:szCs w:val="24"/>
        </w:rPr>
        <w:t xml:space="preserve">most favourable </w:t>
      </w:r>
      <w:r w:rsidR="00D13FC3">
        <w:rPr>
          <w:rFonts w:ascii="Arial" w:hAnsi="Arial" w:cs="Arial"/>
          <w:sz w:val="24"/>
          <w:szCs w:val="24"/>
        </w:rPr>
        <w:t xml:space="preserve">for each island </w:t>
      </w:r>
      <w:r w:rsidR="00EE7FBC" w:rsidRPr="00A5667B">
        <w:rPr>
          <w:rFonts w:ascii="Arial" w:hAnsi="Arial" w:cs="Arial"/>
          <w:sz w:val="24"/>
          <w:szCs w:val="24"/>
        </w:rPr>
        <w:t>were selected for this study</w:t>
      </w:r>
      <w:r w:rsidR="00BC3E29">
        <w:rPr>
          <w:rFonts w:ascii="Arial" w:hAnsi="Arial" w:cs="Arial"/>
          <w:sz w:val="24"/>
          <w:szCs w:val="24"/>
        </w:rPr>
        <w:t xml:space="preserve"> (shown in column 5 of Table1)</w:t>
      </w:r>
      <w:r w:rsidR="00E003B9" w:rsidRPr="00A5667B">
        <w:rPr>
          <w:rFonts w:ascii="Arial" w:hAnsi="Arial" w:cs="Arial"/>
          <w:sz w:val="24"/>
          <w:szCs w:val="24"/>
        </w:rPr>
        <w:t>.</w:t>
      </w:r>
    </w:p>
    <w:p w14:paraId="75864390" w14:textId="65BC3913" w:rsidR="008F28A6" w:rsidRPr="000514E3" w:rsidRDefault="008F28A6" w:rsidP="00072CCC">
      <w:pPr>
        <w:pStyle w:val="Heading2"/>
        <w:numPr>
          <w:ilvl w:val="1"/>
          <w:numId w:val="14"/>
        </w:numPr>
        <w:rPr>
          <w:rFonts w:ascii="Arial" w:hAnsi="Arial" w:cs="Arial"/>
          <w:sz w:val="24"/>
          <w:szCs w:val="24"/>
        </w:rPr>
      </w:pPr>
      <w:r w:rsidRPr="000514E3">
        <w:rPr>
          <w:rFonts w:ascii="Arial" w:hAnsi="Arial" w:cs="Arial"/>
          <w:sz w:val="24"/>
          <w:szCs w:val="24"/>
        </w:rPr>
        <w:t>Capturing Effects of Capital Investments Based on LCOE</w:t>
      </w:r>
    </w:p>
    <w:p w14:paraId="2D4D2498" w14:textId="10A82EFA" w:rsidR="006844D8" w:rsidRPr="00A5667B" w:rsidRDefault="002917ED" w:rsidP="006844D8">
      <w:pPr>
        <w:spacing w:line="360" w:lineRule="auto"/>
        <w:jc w:val="both"/>
        <w:rPr>
          <w:rFonts w:ascii="Arial" w:hAnsi="Arial" w:cs="Arial"/>
          <w:sz w:val="24"/>
          <w:szCs w:val="24"/>
        </w:rPr>
      </w:pPr>
      <w:proofErr w:type="spellStart"/>
      <w:r>
        <w:rPr>
          <w:rFonts w:ascii="Arial" w:hAnsi="Arial" w:cs="Arial"/>
          <w:sz w:val="24"/>
          <w:szCs w:val="24"/>
        </w:rPr>
        <w:t>L</w:t>
      </w:r>
      <w:r w:rsidR="006844D8" w:rsidRPr="00A5667B">
        <w:rPr>
          <w:rFonts w:ascii="Arial" w:hAnsi="Arial" w:cs="Arial"/>
          <w:sz w:val="24"/>
          <w:szCs w:val="24"/>
        </w:rPr>
        <w:t>eveli</w:t>
      </w:r>
      <w:r>
        <w:rPr>
          <w:rFonts w:ascii="Arial" w:hAnsi="Arial" w:cs="Arial"/>
          <w:sz w:val="24"/>
          <w:szCs w:val="24"/>
        </w:rPr>
        <w:t>s</w:t>
      </w:r>
      <w:r w:rsidR="006844D8" w:rsidRPr="00A5667B">
        <w:rPr>
          <w:rFonts w:ascii="Arial" w:hAnsi="Arial" w:cs="Arial"/>
          <w:sz w:val="24"/>
          <w:szCs w:val="24"/>
        </w:rPr>
        <w:t>ed</w:t>
      </w:r>
      <w:proofErr w:type="spellEnd"/>
      <w:r w:rsidR="006844D8" w:rsidRPr="00A5667B">
        <w:rPr>
          <w:rFonts w:ascii="Arial" w:hAnsi="Arial" w:cs="Arial"/>
          <w:sz w:val="24"/>
          <w:szCs w:val="24"/>
        </w:rPr>
        <w:t xml:space="preserve"> cost of </w:t>
      </w:r>
      <w:r w:rsidR="00500DE8">
        <w:rPr>
          <w:rFonts w:ascii="Arial" w:hAnsi="Arial" w:cs="Arial"/>
          <w:sz w:val="24"/>
          <w:szCs w:val="24"/>
        </w:rPr>
        <w:t>energy/</w:t>
      </w:r>
      <w:r w:rsidR="006844D8" w:rsidRPr="00A5667B">
        <w:rPr>
          <w:rFonts w:ascii="Arial" w:hAnsi="Arial" w:cs="Arial"/>
          <w:sz w:val="24"/>
          <w:szCs w:val="24"/>
        </w:rPr>
        <w:t xml:space="preserve">electricity (LCOE) is the most </w:t>
      </w:r>
      <w:r w:rsidR="002C72DF">
        <w:rPr>
          <w:rFonts w:ascii="Arial" w:hAnsi="Arial" w:cs="Arial"/>
          <w:sz w:val="24"/>
          <w:szCs w:val="24"/>
        </w:rPr>
        <w:t xml:space="preserve">frequently </w:t>
      </w:r>
      <w:r w:rsidR="006844D8" w:rsidRPr="00A5667B">
        <w:rPr>
          <w:rFonts w:ascii="Arial" w:hAnsi="Arial" w:cs="Arial"/>
          <w:sz w:val="24"/>
          <w:szCs w:val="24"/>
        </w:rPr>
        <w:t xml:space="preserve">used </w:t>
      </w:r>
      <w:r w:rsidR="002C72DF" w:rsidRPr="00A5667B">
        <w:rPr>
          <w:rFonts w:ascii="Arial" w:hAnsi="Arial" w:cs="Arial"/>
          <w:sz w:val="24"/>
          <w:szCs w:val="24"/>
        </w:rPr>
        <w:t xml:space="preserve">metric </w:t>
      </w:r>
      <w:r w:rsidR="006844D8" w:rsidRPr="00A5667B">
        <w:rPr>
          <w:rFonts w:ascii="Arial" w:hAnsi="Arial" w:cs="Arial"/>
          <w:sz w:val="24"/>
          <w:szCs w:val="24"/>
        </w:rPr>
        <w:t>to compare electricity generation technologies (whether conventional or renewable)</w:t>
      </w:r>
      <w:r w:rsidR="00F36E1A">
        <w:rPr>
          <w:rFonts w:ascii="Arial" w:hAnsi="Arial" w:cs="Arial"/>
          <w:sz w:val="24"/>
          <w:szCs w:val="24"/>
        </w:rPr>
        <w:t xml:space="preserve"> [2</w:t>
      </w:r>
      <w:r w:rsidR="00FE7EA2">
        <w:rPr>
          <w:rFonts w:ascii="Arial" w:hAnsi="Arial" w:cs="Arial"/>
          <w:sz w:val="24"/>
          <w:szCs w:val="24"/>
        </w:rPr>
        <w:t>9</w:t>
      </w:r>
      <w:r w:rsidR="00F36E1A">
        <w:rPr>
          <w:rFonts w:ascii="Arial" w:hAnsi="Arial" w:cs="Arial"/>
          <w:sz w:val="24"/>
          <w:szCs w:val="24"/>
        </w:rPr>
        <w:t>]</w:t>
      </w:r>
      <w:r w:rsidR="006844D8" w:rsidRPr="00A5667B">
        <w:rPr>
          <w:rFonts w:ascii="Arial" w:hAnsi="Arial" w:cs="Arial"/>
          <w:sz w:val="24"/>
          <w:szCs w:val="24"/>
        </w:rPr>
        <w:t>. It is often linked with ‘grid parity’, i.e.</w:t>
      </w:r>
      <w:r w:rsidR="00EE7FBC" w:rsidRPr="00A5667B">
        <w:rPr>
          <w:rFonts w:ascii="Arial" w:hAnsi="Arial" w:cs="Arial"/>
          <w:sz w:val="24"/>
          <w:szCs w:val="24"/>
        </w:rPr>
        <w:t>,</w:t>
      </w:r>
      <w:r w:rsidR="006844D8" w:rsidRPr="00A5667B">
        <w:rPr>
          <w:rFonts w:ascii="Arial" w:hAnsi="Arial" w:cs="Arial"/>
          <w:sz w:val="24"/>
          <w:szCs w:val="24"/>
        </w:rPr>
        <w:t xml:space="preserve"> whether the cost of a unit of electricity generated by a </w:t>
      </w:r>
      <w:r w:rsidR="00B117EE" w:rsidRPr="00A5667B">
        <w:rPr>
          <w:rFonts w:ascii="Arial" w:hAnsi="Arial" w:cs="Arial"/>
          <w:sz w:val="24"/>
          <w:szCs w:val="24"/>
        </w:rPr>
        <w:t>particular generation technology</w:t>
      </w:r>
      <w:r w:rsidR="000E672A">
        <w:rPr>
          <w:rFonts w:ascii="Arial" w:hAnsi="Arial" w:cs="Arial"/>
          <w:sz w:val="24"/>
          <w:szCs w:val="24"/>
        </w:rPr>
        <w:t>,</w:t>
      </w:r>
      <w:r w:rsidR="00B117EE" w:rsidRPr="00A5667B">
        <w:rPr>
          <w:rFonts w:ascii="Arial" w:hAnsi="Arial" w:cs="Arial"/>
          <w:sz w:val="24"/>
          <w:szCs w:val="24"/>
        </w:rPr>
        <w:t xml:space="preserve"> cost</w:t>
      </w:r>
      <w:r w:rsidR="006844D8" w:rsidRPr="00A5667B">
        <w:rPr>
          <w:rFonts w:ascii="Arial" w:hAnsi="Arial" w:cs="Arial"/>
          <w:sz w:val="24"/>
          <w:szCs w:val="24"/>
        </w:rPr>
        <w:t xml:space="preserve"> the same as a unit supplied by the grid</w:t>
      </w:r>
      <w:r w:rsidR="00F36E1A">
        <w:rPr>
          <w:rFonts w:ascii="Arial" w:hAnsi="Arial" w:cs="Arial"/>
          <w:sz w:val="24"/>
          <w:szCs w:val="24"/>
        </w:rPr>
        <w:t xml:space="preserve"> [</w:t>
      </w:r>
      <w:r w:rsidR="00FE7EA2">
        <w:rPr>
          <w:rFonts w:ascii="Arial" w:hAnsi="Arial" w:cs="Arial"/>
          <w:sz w:val="24"/>
          <w:szCs w:val="24"/>
        </w:rPr>
        <w:t>30</w:t>
      </w:r>
      <w:r w:rsidR="00F36E1A">
        <w:rPr>
          <w:rFonts w:ascii="Arial" w:hAnsi="Arial" w:cs="Arial"/>
          <w:sz w:val="24"/>
          <w:szCs w:val="24"/>
        </w:rPr>
        <w:t>].</w:t>
      </w:r>
      <w:r w:rsidR="00B117EE">
        <w:rPr>
          <w:rFonts w:ascii="Arial" w:hAnsi="Arial" w:cs="Arial"/>
          <w:sz w:val="24"/>
          <w:szCs w:val="24"/>
        </w:rPr>
        <w:t xml:space="preserve"> </w:t>
      </w:r>
      <w:r w:rsidR="006844D8" w:rsidRPr="00A5667B">
        <w:rPr>
          <w:rFonts w:ascii="Arial" w:hAnsi="Arial" w:cs="Arial"/>
          <w:sz w:val="24"/>
          <w:szCs w:val="24"/>
        </w:rPr>
        <w:t xml:space="preserve">While grid parity is more relevant to mainland grids, for geographical islands, </w:t>
      </w:r>
      <w:r w:rsidR="00EE7FBC" w:rsidRPr="00A5667B">
        <w:rPr>
          <w:rFonts w:ascii="Arial" w:hAnsi="Arial" w:cs="Arial"/>
          <w:sz w:val="24"/>
          <w:szCs w:val="24"/>
        </w:rPr>
        <w:t xml:space="preserve">a </w:t>
      </w:r>
      <w:r w:rsidR="006844D8" w:rsidRPr="00A5667B">
        <w:rPr>
          <w:rFonts w:ascii="Arial" w:hAnsi="Arial" w:cs="Arial"/>
          <w:sz w:val="24"/>
          <w:szCs w:val="24"/>
        </w:rPr>
        <w:t>comparison of LCOEs between generators of different technologies can inform which technology or technology combination is to be deployed on the island.</w:t>
      </w:r>
    </w:p>
    <w:p w14:paraId="2156BA45" w14:textId="6D32A142" w:rsidR="006844D8" w:rsidRPr="00A5667B" w:rsidRDefault="006844D8" w:rsidP="006844D8">
      <w:pPr>
        <w:spacing w:line="360" w:lineRule="auto"/>
        <w:jc w:val="both"/>
        <w:rPr>
          <w:rFonts w:ascii="Arial" w:hAnsi="Arial" w:cs="Arial"/>
          <w:sz w:val="24"/>
          <w:szCs w:val="24"/>
        </w:rPr>
      </w:pPr>
      <w:r w:rsidRPr="00A5667B">
        <w:rPr>
          <w:rFonts w:ascii="Arial" w:hAnsi="Arial" w:cs="Arial"/>
          <w:sz w:val="24"/>
          <w:szCs w:val="24"/>
        </w:rPr>
        <w:t xml:space="preserve">The LCOE for a generator is calculated based on its energy over its operational lifetime and life-cycle costs. LCOE determines the minimum per-unit </w:t>
      </w:r>
      <w:r w:rsidR="003E77D6">
        <w:rPr>
          <w:rFonts w:ascii="Arial" w:hAnsi="Arial" w:cs="Arial"/>
          <w:sz w:val="24"/>
          <w:szCs w:val="24"/>
        </w:rPr>
        <w:t xml:space="preserve">energy </w:t>
      </w:r>
      <w:r w:rsidRPr="00A5667B">
        <w:rPr>
          <w:rFonts w:ascii="Arial" w:hAnsi="Arial" w:cs="Arial"/>
          <w:sz w:val="24"/>
          <w:szCs w:val="24"/>
        </w:rPr>
        <w:t xml:space="preserve">price a generator must receive to cover its lifetime costs. In simple terms, it can be represented in </w:t>
      </w:r>
      <w:r w:rsidR="00BF4730" w:rsidRPr="00A5667B">
        <w:rPr>
          <w:rFonts w:ascii="Arial" w:hAnsi="Arial" w:cs="Arial"/>
          <w:sz w:val="24"/>
          <w:szCs w:val="24"/>
        </w:rPr>
        <w:t>E</w:t>
      </w:r>
      <w:r w:rsidRPr="00A5667B">
        <w:rPr>
          <w:rFonts w:ascii="Arial" w:hAnsi="Arial" w:cs="Arial"/>
          <w:sz w:val="24"/>
          <w:szCs w:val="24"/>
        </w:rPr>
        <w:t xml:space="preserve">quation </w:t>
      </w:r>
      <w:r w:rsidR="00BF4730" w:rsidRPr="00A5667B">
        <w:rPr>
          <w:rFonts w:ascii="Arial" w:hAnsi="Arial" w:cs="Arial"/>
          <w:sz w:val="24"/>
          <w:szCs w:val="24"/>
        </w:rPr>
        <w:t>(</w:t>
      </w:r>
      <w:r w:rsidR="003B0278">
        <w:rPr>
          <w:rFonts w:ascii="Arial" w:hAnsi="Arial" w:cs="Arial"/>
          <w:sz w:val="24"/>
          <w:szCs w:val="24"/>
        </w:rPr>
        <w:t>3</w:t>
      </w:r>
      <w:r w:rsidR="00BF4730" w:rsidRPr="00A5667B">
        <w:rPr>
          <w:rFonts w:ascii="Arial" w:hAnsi="Arial" w:cs="Arial"/>
          <w:sz w:val="24"/>
          <w:szCs w:val="24"/>
        </w:rPr>
        <w:t xml:space="preserve">) </w:t>
      </w:r>
      <w:r w:rsidRPr="00A5667B">
        <w:rPr>
          <w:rFonts w:ascii="Arial" w:hAnsi="Arial" w:cs="Arial"/>
          <w:sz w:val="24"/>
          <w:szCs w:val="24"/>
        </w:rPr>
        <w:t>below:</w:t>
      </w:r>
    </w:p>
    <w:p w14:paraId="1CDD28B3" w14:textId="12A0CD11" w:rsidR="006844D8" w:rsidRPr="00A5667B" w:rsidRDefault="006844D8" w:rsidP="00364E86">
      <w:pPr>
        <w:spacing w:line="360" w:lineRule="auto"/>
        <w:jc w:val="center"/>
        <w:rPr>
          <w:rFonts w:ascii="Arial" w:hAnsi="Arial" w:cs="Arial"/>
          <w:sz w:val="24"/>
          <w:szCs w:val="24"/>
        </w:rPr>
      </w:pPr>
      <m:oMath>
        <m:r>
          <w:rPr>
            <w:rFonts w:ascii="Cambria Math" w:hAnsi="Cambria Math" w:cs="Arial"/>
            <w:sz w:val="24"/>
            <w:szCs w:val="24"/>
          </w:rPr>
          <m:t>LCOE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Lifetime costs of the generator</m:t>
            </m:r>
          </m:num>
          <m:den>
            <m:r>
              <m:rPr>
                <m:sty m:val="p"/>
              </m:rPr>
              <w:rPr>
                <w:rFonts w:ascii="Cambria Math" w:hAnsi="Cambria Math" w:cs="Arial"/>
                <w:sz w:val="24"/>
                <w:szCs w:val="24"/>
              </w:rPr>
              <m:t>Lifetime energy production</m:t>
            </m:r>
          </m:den>
        </m:f>
        <m:r>
          <w:rPr>
            <w:rFonts w:ascii="Cambria Math" w:hAnsi="Cambria Math" w:cs="Arial"/>
            <w:sz w:val="24"/>
            <w:szCs w:val="24"/>
          </w:rPr>
          <m:t xml:space="preserve">   </m:t>
        </m:r>
      </m:oMath>
      <w:r w:rsidR="00B73E99">
        <w:rPr>
          <w:rFonts w:ascii="Arial" w:hAnsi="Arial" w:cs="Arial"/>
          <w:sz w:val="24"/>
          <w:szCs w:val="24"/>
        </w:rPr>
        <w:tab/>
      </w:r>
      <w:r w:rsidR="00B73E99">
        <w:rPr>
          <w:rFonts w:ascii="Arial" w:hAnsi="Arial" w:cs="Arial"/>
          <w:sz w:val="24"/>
          <w:szCs w:val="24"/>
        </w:rPr>
        <w:tab/>
      </w:r>
      <w:r w:rsidR="00B73E99">
        <w:rPr>
          <w:rFonts w:ascii="Arial" w:hAnsi="Arial" w:cs="Arial"/>
          <w:sz w:val="24"/>
          <w:szCs w:val="24"/>
        </w:rPr>
        <w:tab/>
      </w:r>
      <w:r w:rsidR="00B73E99">
        <w:rPr>
          <w:rFonts w:ascii="Arial" w:hAnsi="Arial" w:cs="Arial"/>
          <w:sz w:val="24"/>
          <w:szCs w:val="24"/>
        </w:rPr>
        <w:tab/>
      </w:r>
      <w:r w:rsidR="00B73E99">
        <w:rPr>
          <w:rFonts w:ascii="Arial" w:hAnsi="Arial" w:cs="Arial"/>
          <w:sz w:val="24"/>
          <w:szCs w:val="24"/>
        </w:rPr>
        <w:tab/>
      </w:r>
      <w:r w:rsidR="00B73E99">
        <w:rPr>
          <w:rFonts w:ascii="Arial" w:hAnsi="Arial" w:cs="Arial"/>
          <w:sz w:val="24"/>
          <w:szCs w:val="24"/>
        </w:rPr>
        <w:tab/>
      </w:r>
      <w:r w:rsidR="00B73E99">
        <w:rPr>
          <w:rFonts w:ascii="Arial" w:hAnsi="Arial" w:cs="Arial"/>
          <w:sz w:val="24"/>
          <w:szCs w:val="24"/>
        </w:rPr>
        <w:tab/>
      </w:r>
      <w:r w:rsidRPr="00A5667B">
        <w:rPr>
          <w:rFonts w:ascii="Arial" w:hAnsi="Arial" w:cs="Arial"/>
          <w:sz w:val="24"/>
          <w:szCs w:val="24"/>
        </w:rPr>
        <w:t>(</w:t>
      </w:r>
      <w:r w:rsidR="003B0278">
        <w:rPr>
          <w:rFonts w:ascii="Arial" w:hAnsi="Arial" w:cs="Arial"/>
          <w:sz w:val="24"/>
          <w:szCs w:val="24"/>
        </w:rPr>
        <w:t>3</w:t>
      </w:r>
      <w:r w:rsidRPr="00A5667B">
        <w:rPr>
          <w:rFonts w:ascii="Arial" w:hAnsi="Arial" w:cs="Arial"/>
          <w:sz w:val="24"/>
          <w:szCs w:val="24"/>
        </w:rPr>
        <w:t>)</w:t>
      </w:r>
    </w:p>
    <w:p w14:paraId="21499CFB" w14:textId="7FADCC7B" w:rsidR="006844D8" w:rsidRPr="00A5667B" w:rsidRDefault="006844D8" w:rsidP="006844D8">
      <w:pPr>
        <w:spacing w:line="360" w:lineRule="auto"/>
        <w:jc w:val="both"/>
        <w:rPr>
          <w:rFonts w:ascii="Arial" w:hAnsi="Arial" w:cs="Arial"/>
          <w:sz w:val="24"/>
          <w:szCs w:val="24"/>
        </w:rPr>
      </w:pPr>
      <w:r w:rsidRPr="00A5667B">
        <w:rPr>
          <w:rFonts w:ascii="Arial" w:hAnsi="Arial" w:cs="Arial"/>
          <w:sz w:val="24"/>
          <w:szCs w:val="24"/>
        </w:rPr>
        <w:t>A central concept in financial analysis is that money received today is more valuable than money received in the future due to its earning (growth) potential. An interest rate on the investment normally represents this growth. Equation (</w:t>
      </w:r>
      <w:r w:rsidR="003B0278">
        <w:rPr>
          <w:rFonts w:ascii="Arial" w:hAnsi="Arial" w:cs="Arial"/>
          <w:sz w:val="24"/>
          <w:szCs w:val="24"/>
        </w:rPr>
        <w:t>4</w:t>
      </w:r>
      <w:r w:rsidRPr="00A5667B">
        <w:rPr>
          <w:rFonts w:ascii="Arial" w:hAnsi="Arial" w:cs="Arial"/>
          <w:sz w:val="24"/>
          <w:szCs w:val="24"/>
        </w:rPr>
        <w:t>) details a basic LCOE that can be used, including the time value</w:t>
      </w:r>
      <w:r w:rsidR="00EE7FBC" w:rsidRPr="00A5667B">
        <w:rPr>
          <w:rFonts w:ascii="Arial" w:hAnsi="Arial" w:cs="Arial"/>
          <w:sz w:val="24"/>
          <w:szCs w:val="24"/>
        </w:rPr>
        <w:t xml:space="preserve"> of </w:t>
      </w:r>
      <w:r w:rsidRPr="00A5667B">
        <w:rPr>
          <w:rFonts w:ascii="Arial" w:hAnsi="Arial" w:cs="Arial"/>
          <w:sz w:val="24"/>
          <w:szCs w:val="24"/>
        </w:rPr>
        <w:t>money in determining costs and production</w:t>
      </w:r>
      <w:r w:rsidR="00F36E1A">
        <w:rPr>
          <w:rFonts w:ascii="Arial" w:hAnsi="Arial" w:cs="Arial"/>
          <w:sz w:val="24"/>
          <w:szCs w:val="24"/>
        </w:rPr>
        <w:t xml:space="preserve"> [3</w:t>
      </w:r>
      <w:r w:rsidR="00FE7EA2">
        <w:rPr>
          <w:rFonts w:ascii="Arial" w:hAnsi="Arial" w:cs="Arial"/>
          <w:sz w:val="24"/>
          <w:szCs w:val="24"/>
        </w:rPr>
        <w:t>1</w:t>
      </w:r>
      <w:r w:rsidR="00F36E1A">
        <w:rPr>
          <w:rFonts w:ascii="Arial" w:hAnsi="Arial" w:cs="Arial"/>
          <w:sz w:val="24"/>
          <w:szCs w:val="24"/>
        </w:rPr>
        <w:t>]</w:t>
      </w:r>
      <w:r w:rsidR="000E67CF">
        <w:rPr>
          <w:rFonts w:ascii="Arial" w:hAnsi="Arial" w:cs="Arial"/>
          <w:sz w:val="24"/>
          <w:szCs w:val="24"/>
        </w:rPr>
        <w:t>.</w:t>
      </w:r>
    </w:p>
    <w:p w14:paraId="5B4F26D4" w14:textId="002A733F" w:rsidR="006844D8" w:rsidRPr="00A5667B" w:rsidRDefault="006844D8" w:rsidP="00975FBA">
      <w:pPr>
        <w:spacing w:line="360" w:lineRule="auto"/>
        <w:jc w:val="center"/>
        <w:rPr>
          <w:rFonts w:ascii="Arial" w:eastAsiaTheme="minorEastAsia" w:hAnsi="Arial" w:cs="Arial"/>
          <w:sz w:val="24"/>
          <w:szCs w:val="24"/>
        </w:rPr>
      </w:pPr>
      <m:oMath>
        <m:r>
          <w:rPr>
            <w:rFonts w:ascii="Cambria Math" w:hAnsi="Cambria Math" w:cs="Arial"/>
            <w:sz w:val="28"/>
            <w:szCs w:val="28"/>
          </w:rPr>
          <m:t>LCOE=</m:t>
        </m:r>
        <m:f>
          <m:fPr>
            <m:ctrlPr>
              <w:rPr>
                <w:rFonts w:ascii="Cambria Math" w:hAnsi="Cambria Math" w:cs="Arial"/>
                <w:i/>
                <w:sz w:val="28"/>
                <w:szCs w:val="28"/>
              </w:rPr>
            </m:ctrlPr>
          </m:fPr>
          <m:num>
            <m:r>
              <w:rPr>
                <w:rFonts w:ascii="Cambria Math" w:hAnsi="Cambria Math" w:cs="Arial"/>
                <w:sz w:val="28"/>
                <w:szCs w:val="28"/>
              </w:rPr>
              <m:t>Investment Cost+</m:t>
            </m:r>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n</m:t>
                </m:r>
              </m:sup>
              <m:e>
                <m:f>
                  <m:fPr>
                    <m:ctrlPr>
                      <w:rPr>
                        <w:rFonts w:ascii="Cambria Math" w:hAnsi="Cambria Math" w:cs="Arial"/>
                        <w:i/>
                        <w:sz w:val="28"/>
                        <w:szCs w:val="28"/>
                      </w:rPr>
                    </m:ctrlPr>
                  </m:fPr>
                  <m:num>
                    <m:r>
                      <w:rPr>
                        <w:rFonts w:ascii="Cambria Math" w:hAnsi="Cambria Math" w:cs="Arial"/>
                        <w:sz w:val="28"/>
                        <w:szCs w:val="28"/>
                      </w:rPr>
                      <m:t>Total annual cost at year t</m:t>
                    </m:r>
                  </m:num>
                  <m:den>
                    <m:sSup>
                      <m:sSupPr>
                        <m:ctrlPr>
                          <w:rPr>
                            <w:rFonts w:ascii="Cambria Math" w:hAnsi="Cambria Math" w:cs="Arial"/>
                            <w:i/>
                            <w:sz w:val="28"/>
                            <w:szCs w:val="28"/>
                          </w:rPr>
                        </m:ctrlPr>
                      </m:sSupPr>
                      <m:e>
                        <m:r>
                          <w:rPr>
                            <w:rFonts w:ascii="Cambria Math" w:hAnsi="Cambria Math" w:cs="Arial"/>
                            <w:sz w:val="28"/>
                            <w:szCs w:val="28"/>
                          </w:rPr>
                          <m:t>(1+interest rate)</m:t>
                        </m:r>
                      </m:e>
                      <m:sup>
                        <m:r>
                          <w:rPr>
                            <w:rFonts w:ascii="Cambria Math" w:hAnsi="Cambria Math" w:cs="Arial"/>
                            <w:sz w:val="28"/>
                            <w:szCs w:val="28"/>
                          </w:rPr>
                          <m:t>t</m:t>
                        </m:r>
                      </m:sup>
                    </m:sSup>
                  </m:den>
                </m:f>
              </m:e>
            </m:nary>
            <m:r>
              <w:rPr>
                <w:rFonts w:ascii="Cambria Math" w:hAnsi="Cambria Math" w:cs="Arial"/>
                <w:sz w:val="28"/>
                <w:szCs w:val="28"/>
              </w:rPr>
              <m:t xml:space="preserve"> </m:t>
            </m:r>
          </m:num>
          <m:den>
            <m:nary>
              <m:naryPr>
                <m:chr m:val="∑"/>
                <m:limLoc m:val="undOvr"/>
                <m:ctrlPr>
                  <w:rPr>
                    <w:rFonts w:ascii="Cambria Math" w:hAnsi="Cambria Math" w:cs="Arial"/>
                    <w:i/>
                    <w:sz w:val="28"/>
                    <w:szCs w:val="28"/>
                  </w:rPr>
                </m:ctrlPr>
              </m:naryPr>
              <m:sub>
                <m:r>
                  <w:rPr>
                    <w:rFonts w:ascii="Cambria Math" w:hAnsi="Cambria Math" w:cs="Arial"/>
                    <w:sz w:val="28"/>
                    <w:szCs w:val="28"/>
                  </w:rPr>
                  <m:t>t=1</m:t>
                </m:r>
              </m:sub>
              <m:sup>
                <m:r>
                  <w:rPr>
                    <w:rFonts w:ascii="Cambria Math" w:hAnsi="Cambria Math" w:cs="Arial"/>
                    <w:sz w:val="28"/>
                    <w:szCs w:val="28"/>
                  </w:rPr>
                  <m:t>n</m:t>
                </m:r>
              </m:sup>
              <m:e>
                <m:f>
                  <m:fPr>
                    <m:ctrlPr>
                      <w:rPr>
                        <w:rFonts w:ascii="Cambria Math" w:hAnsi="Cambria Math" w:cs="Arial"/>
                        <w:i/>
                        <w:sz w:val="28"/>
                        <w:szCs w:val="28"/>
                      </w:rPr>
                    </m:ctrlPr>
                  </m:fPr>
                  <m:num>
                    <m:r>
                      <w:rPr>
                        <w:rFonts w:ascii="Cambria Math" w:hAnsi="Cambria Math" w:cs="Arial"/>
                        <w:sz w:val="28"/>
                        <w:szCs w:val="28"/>
                      </w:rPr>
                      <m:t>Annual electricity generation</m:t>
                    </m:r>
                  </m:num>
                  <m:den>
                    <m:sSup>
                      <m:sSupPr>
                        <m:ctrlPr>
                          <w:rPr>
                            <w:rFonts w:ascii="Cambria Math" w:hAnsi="Cambria Math" w:cs="Arial"/>
                            <w:i/>
                            <w:sz w:val="28"/>
                            <w:szCs w:val="28"/>
                          </w:rPr>
                        </m:ctrlPr>
                      </m:sSupPr>
                      <m:e>
                        <m:r>
                          <w:rPr>
                            <w:rFonts w:ascii="Cambria Math" w:hAnsi="Cambria Math" w:cs="Arial"/>
                            <w:sz w:val="28"/>
                            <w:szCs w:val="28"/>
                          </w:rPr>
                          <m:t>(1+interest rate)</m:t>
                        </m:r>
                      </m:e>
                      <m:sup>
                        <m:r>
                          <w:rPr>
                            <w:rFonts w:ascii="Cambria Math" w:hAnsi="Cambria Math" w:cs="Arial"/>
                            <w:sz w:val="28"/>
                            <w:szCs w:val="28"/>
                          </w:rPr>
                          <m:t>t</m:t>
                        </m:r>
                      </m:sup>
                    </m:sSup>
                  </m:den>
                </m:f>
              </m:e>
            </m:nary>
          </m:den>
        </m:f>
        <m:r>
          <w:rPr>
            <w:rFonts w:ascii="Cambria Math" w:hAnsi="Cambria Math" w:cs="Arial"/>
            <w:sz w:val="28"/>
            <w:szCs w:val="28"/>
          </w:rPr>
          <m:t xml:space="preserve"> </m:t>
        </m:r>
      </m:oMath>
      <w:r w:rsidR="00B73E99">
        <w:rPr>
          <w:rFonts w:ascii="Arial" w:eastAsiaTheme="minorEastAsia" w:hAnsi="Arial" w:cs="Arial"/>
          <w:sz w:val="24"/>
          <w:szCs w:val="24"/>
        </w:rPr>
        <w:tab/>
      </w:r>
      <w:r w:rsidR="00B73E99">
        <w:rPr>
          <w:rFonts w:ascii="Arial" w:eastAsiaTheme="minorEastAsia" w:hAnsi="Arial" w:cs="Arial"/>
          <w:sz w:val="24"/>
          <w:szCs w:val="24"/>
        </w:rPr>
        <w:tab/>
      </w:r>
      <w:r w:rsidR="00B73E99">
        <w:rPr>
          <w:rFonts w:ascii="Arial" w:eastAsiaTheme="minorEastAsia" w:hAnsi="Arial" w:cs="Arial"/>
          <w:sz w:val="24"/>
          <w:szCs w:val="24"/>
        </w:rPr>
        <w:tab/>
      </w:r>
      <w:r w:rsidR="00B73E99">
        <w:rPr>
          <w:rFonts w:ascii="Arial" w:eastAsiaTheme="minorEastAsia" w:hAnsi="Arial" w:cs="Arial"/>
          <w:sz w:val="24"/>
          <w:szCs w:val="24"/>
        </w:rPr>
        <w:tab/>
      </w:r>
      <w:r w:rsidR="00B73E99">
        <w:rPr>
          <w:rFonts w:ascii="Arial" w:eastAsiaTheme="minorEastAsia" w:hAnsi="Arial" w:cs="Arial"/>
          <w:sz w:val="24"/>
          <w:szCs w:val="24"/>
        </w:rPr>
        <w:tab/>
      </w:r>
      <w:r w:rsidRPr="00A5667B">
        <w:rPr>
          <w:rFonts w:ascii="Arial" w:eastAsiaTheme="minorEastAsia" w:hAnsi="Arial" w:cs="Arial"/>
          <w:sz w:val="24"/>
          <w:szCs w:val="24"/>
        </w:rPr>
        <w:t>(</w:t>
      </w:r>
      <w:r w:rsidR="003B0278">
        <w:rPr>
          <w:rFonts w:ascii="Arial" w:eastAsiaTheme="minorEastAsia" w:hAnsi="Arial" w:cs="Arial"/>
          <w:sz w:val="24"/>
          <w:szCs w:val="24"/>
        </w:rPr>
        <w:t>4</w:t>
      </w:r>
      <w:r w:rsidRPr="00A5667B">
        <w:rPr>
          <w:rFonts w:ascii="Arial" w:eastAsiaTheme="minorEastAsia" w:hAnsi="Arial" w:cs="Arial"/>
          <w:sz w:val="24"/>
          <w:szCs w:val="24"/>
        </w:rPr>
        <w:t>)</w:t>
      </w:r>
    </w:p>
    <w:p w14:paraId="17821746" w14:textId="77777777" w:rsidR="006844D8" w:rsidRPr="00A5667B" w:rsidRDefault="006844D8" w:rsidP="006844D8">
      <w:pPr>
        <w:spacing w:line="360" w:lineRule="auto"/>
        <w:jc w:val="both"/>
        <w:rPr>
          <w:rFonts w:ascii="Arial" w:hAnsi="Arial" w:cs="Arial"/>
          <w:sz w:val="24"/>
          <w:szCs w:val="24"/>
        </w:rPr>
      </w:pPr>
      <w:r w:rsidRPr="00A5667B">
        <w:rPr>
          <w:rFonts w:ascii="Arial" w:hAnsi="Arial" w:cs="Arial"/>
          <w:sz w:val="24"/>
          <w:szCs w:val="24"/>
        </w:rPr>
        <w:t xml:space="preserve">where </w:t>
      </w:r>
      <w:proofErr w:type="spellStart"/>
      <w:r w:rsidRPr="00A5667B">
        <w:rPr>
          <w:rFonts w:ascii="Arial" w:hAnsi="Arial" w:cs="Arial"/>
          <w:i/>
          <w:sz w:val="24"/>
          <w:szCs w:val="24"/>
        </w:rPr>
        <w:t>t</w:t>
      </w:r>
      <w:proofErr w:type="spellEnd"/>
      <w:r w:rsidRPr="00A5667B">
        <w:rPr>
          <w:rFonts w:ascii="Arial" w:hAnsi="Arial" w:cs="Arial"/>
          <w:sz w:val="24"/>
          <w:szCs w:val="24"/>
        </w:rPr>
        <w:t xml:space="preserve"> is a given year in the technology’s lifetime, and </w:t>
      </w:r>
      <w:r w:rsidRPr="00A5667B">
        <w:rPr>
          <w:rFonts w:ascii="Arial" w:hAnsi="Arial" w:cs="Arial"/>
          <w:i/>
          <w:sz w:val="24"/>
          <w:szCs w:val="24"/>
        </w:rPr>
        <w:t xml:space="preserve">n </w:t>
      </w:r>
      <w:r w:rsidRPr="00A5667B">
        <w:rPr>
          <w:rFonts w:ascii="Arial" w:hAnsi="Arial" w:cs="Arial"/>
          <w:sz w:val="24"/>
          <w:szCs w:val="24"/>
        </w:rPr>
        <w:t xml:space="preserve">is technology’s total lifetime in years. </w:t>
      </w:r>
    </w:p>
    <w:p w14:paraId="38DBDD0E" w14:textId="1CDC31D7" w:rsidR="008F28A6" w:rsidRPr="00A5667B" w:rsidRDefault="006844D8" w:rsidP="006844D8">
      <w:pPr>
        <w:spacing w:line="360" w:lineRule="auto"/>
        <w:jc w:val="both"/>
        <w:rPr>
          <w:rFonts w:ascii="Arial" w:hAnsi="Arial" w:cs="Arial"/>
          <w:sz w:val="24"/>
          <w:szCs w:val="24"/>
        </w:rPr>
      </w:pPr>
      <w:r w:rsidRPr="00A5667B">
        <w:rPr>
          <w:rFonts w:ascii="Arial" w:hAnsi="Arial" w:cs="Arial"/>
          <w:sz w:val="24"/>
          <w:szCs w:val="24"/>
        </w:rPr>
        <w:lastRenderedPageBreak/>
        <w:t>A technology’s investment cost is the total cost to construct it, while the total annual cost can include fuel, operations</w:t>
      </w:r>
      <w:r w:rsidR="00797BA1" w:rsidRPr="00A5667B">
        <w:rPr>
          <w:rFonts w:ascii="Arial" w:hAnsi="Arial" w:cs="Arial"/>
          <w:sz w:val="24"/>
          <w:szCs w:val="24"/>
        </w:rPr>
        <w:t>,</w:t>
      </w:r>
      <w:r w:rsidRPr="00A5667B">
        <w:rPr>
          <w:rFonts w:ascii="Arial" w:hAnsi="Arial" w:cs="Arial"/>
          <w:sz w:val="24"/>
          <w:szCs w:val="24"/>
        </w:rPr>
        <w:t xml:space="preserve"> and maintenance costs. In Equation (</w:t>
      </w:r>
      <w:r w:rsidR="00D6393B">
        <w:rPr>
          <w:rFonts w:ascii="Arial" w:hAnsi="Arial" w:cs="Arial"/>
          <w:sz w:val="24"/>
          <w:szCs w:val="24"/>
        </w:rPr>
        <w:t>4</w:t>
      </w:r>
      <w:r w:rsidRPr="00A5667B">
        <w:rPr>
          <w:rFonts w:ascii="Arial" w:hAnsi="Arial" w:cs="Arial"/>
          <w:sz w:val="24"/>
          <w:szCs w:val="24"/>
        </w:rPr>
        <w:t>), the total annual costs and the annual electricity generation are discounted to their present values for each year to make them comparable. Inherently, the cost of capital investment is captured in</w:t>
      </w:r>
      <w:r w:rsidR="00BF4730" w:rsidRPr="00A5667B">
        <w:rPr>
          <w:rFonts w:ascii="Arial" w:hAnsi="Arial" w:cs="Arial"/>
          <w:sz w:val="24"/>
          <w:szCs w:val="24"/>
        </w:rPr>
        <w:t xml:space="preserve"> Equation (</w:t>
      </w:r>
      <w:r w:rsidR="00D6393B">
        <w:rPr>
          <w:rFonts w:ascii="Arial" w:hAnsi="Arial" w:cs="Arial"/>
          <w:sz w:val="24"/>
          <w:szCs w:val="24"/>
        </w:rPr>
        <w:t>3</w:t>
      </w:r>
      <w:r w:rsidR="00BF4730" w:rsidRPr="00A5667B">
        <w:rPr>
          <w:rFonts w:ascii="Arial" w:hAnsi="Arial" w:cs="Arial"/>
          <w:sz w:val="24"/>
          <w:szCs w:val="24"/>
        </w:rPr>
        <w:t>),</w:t>
      </w:r>
      <w:r w:rsidRPr="00A5667B">
        <w:rPr>
          <w:rFonts w:ascii="Arial" w:hAnsi="Arial" w:cs="Arial"/>
          <w:sz w:val="24"/>
          <w:szCs w:val="24"/>
        </w:rPr>
        <w:t xml:space="preserve"> the LCOE formulation.</w:t>
      </w:r>
    </w:p>
    <w:p w14:paraId="3D280CA5" w14:textId="1FAA1149" w:rsidR="00797BA1" w:rsidRPr="000514E3" w:rsidRDefault="00797BA1" w:rsidP="004D650E">
      <w:pPr>
        <w:pStyle w:val="Heading2"/>
        <w:rPr>
          <w:rFonts w:ascii="Arial" w:hAnsi="Arial" w:cs="Arial"/>
          <w:sz w:val="24"/>
          <w:szCs w:val="24"/>
        </w:rPr>
      </w:pPr>
      <w:r w:rsidRPr="000514E3">
        <w:rPr>
          <w:rFonts w:ascii="Arial" w:hAnsi="Arial" w:cs="Arial"/>
        </w:rPr>
        <w:t>4.4.</w:t>
      </w:r>
      <w:r w:rsidRPr="00A5667B">
        <w:t xml:space="preserve"> </w:t>
      </w:r>
      <w:r w:rsidRPr="000514E3">
        <w:rPr>
          <w:rFonts w:ascii="Arial" w:hAnsi="Arial" w:cs="Arial"/>
          <w:sz w:val="24"/>
          <w:szCs w:val="24"/>
        </w:rPr>
        <w:t xml:space="preserve">Capturing Decarbonisation and 100% Energy Autonomy </w:t>
      </w:r>
    </w:p>
    <w:p w14:paraId="3D5C1B74" w14:textId="54BF8474" w:rsidR="00EB5B5F" w:rsidRPr="000514E3" w:rsidRDefault="00EB5B5F" w:rsidP="00EB5B5F">
      <w:pPr>
        <w:pStyle w:val="Heading3"/>
        <w:rPr>
          <w:rFonts w:ascii="Arial" w:hAnsi="Arial" w:cs="Arial"/>
        </w:rPr>
      </w:pPr>
      <w:r w:rsidRPr="000514E3">
        <w:rPr>
          <w:rFonts w:ascii="Arial" w:hAnsi="Arial" w:cs="Arial"/>
        </w:rPr>
        <w:t>4.4.1. RES Energy</w:t>
      </w:r>
    </w:p>
    <w:p w14:paraId="5ADCD525" w14:textId="50087FCA" w:rsidR="00172700" w:rsidRPr="00634687" w:rsidRDefault="00196D73" w:rsidP="00172700">
      <w:pPr>
        <w:spacing w:line="360" w:lineRule="auto"/>
        <w:jc w:val="both"/>
        <w:rPr>
          <w:rFonts w:ascii="Arial" w:hAnsi="Arial" w:cs="Arial"/>
          <w:sz w:val="24"/>
          <w:szCs w:val="24"/>
        </w:rPr>
      </w:pPr>
      <w:r w:rsidRPr="00A5667B">
        <w:rPr>
          <w:rFonts w:ascii="Arial" w:hAnsi="Arial" w:cs="Arial"/>
          <w:sz w:val="24"/>
          <w:szCs w:val="24"/>
        </w:rPr>
        <w:t>T</w:t>
      </w:r>
      <w:r w:rsidR="0086481D" w:rsidRPr="00A5667B">
        <w:rPr>
          <w:rFonts w:ascii="Arial" w:hAnsi="Arial" w:cs="Arial"/>
          <w:sz w:val="24"/>
          <w:szCs w:val="24"/>
        </w:rPr>
        <w:t>he energy</w:t>
      </w:r>
      <w:r w:rsidR="00D32181">
        <w:rPr>
          <w:rFonts w:ascii="Arial" w:hAnsi="Arial" w:cs="Arial"/>
          <w:sz w:val="24"/>
          <w:szCs w:val="24"/>
        </w:rPr>
        <w:t xml:space="preserve"> from </w:t>
      </w:r>
      <w:r w:rsidR="00D32181" w:rsidRPr="00A5667B">
        <w:rPr>
          <w:rFonts w:ascii="Arial" w:hAnsi="Arial" w:cs="Arial"/>
          <w:sz w:val="24"/>
          <w:szCs w:val="24"/>
        </w:rPr>
        <w:t>RES</w:t>
      </w:r>
      <w:r w:rsidR="0086481D" w:rsidRPr="00A5667B">
        <w:rPr>
          <w:rFonts w:ascii="Arial" w:hAnsi="Arial" w:cs="Arial"/>
          <w:sz w:val="24"/>
          <w:szCs w:val="24"/>
        </w:rPr>
        <w:t xml:space="preserve"> is the economic stimulus that induce</w:t>
      </w:r>
      <w:r w:rsidR="00817E17">
        <w:rPr>
          <w:rFonts w:ascii="Arial" w:hAnsi="Arial" w:cs="Arial"/>
          <w:sz w:val="24"/>
          <w:szCs w:val="24"/>
        </w:rPr>
        <w:t>s</w:t>
      </w:r>
      <w:r w:rsidR="0086481D" w:rsidRPr="00A5667B">
        <w:rPr>
          <w:rFonts w:ascii="Arial" w:hAnsi="Arial" w:cs="Arial"/>
          <w:sz w:val="24"/>
          <w:szCs w:val="24"/>
        </w:rPr>
        <w:t xml:space="preserve"> positive socio-economic benefits under 100% energy autonomy. </w:t>
      </w:r>
      <w:r w:rsidR="00817E17">
        <w:rPr>
          <w:rFonts w:ascii="Arial" w:hAnsi="Arial" w:cs="Arial"/>
          <w:sz w:val="24"/>
          <w:szCs w:val="24"/>
        </w:rPr>
        <w:t>Recent literature suggests that</w:t>
      </w:r>
      <w:r w:rsidR="00DB095F" w:rsidRPr="00A5667B">
        <w:rPr>
          <w:rFonts w:ascii="Arial" w:hAnsi="Arial" w:cs="Arial"/>
          <w:sz w:val="24"/>
          <w:szCs w:val="24"/>
        </w:rPr>
        <w:t xml:space="preserve"> mainland electricity </w:t>
      </w:r>
      <w:r w:rsidR="00817E17">
        <w:rPr>
          <w:rFonts w:ascii="Arial" w:hAnsi="Arial" w:cs="Arial"/>
          <w:sz w:val="24"/>
          <w:szCs w:val="24"/>
        </w:rPr>
        <w:t>companies</w:t>
      </w:r>
      <w:r w:rsidR="00DB095F" w:rsidRPr="00A5667B">
        <w:rPr>
          <w:rFonts w:ascii="Arial" w:hAnsi="Arial" w:cs="Arial"/>
          <w:sz w:val="24"/>
          <w:szCs w:val="24"/>
        </w:rPr>
        <w:t xml:space="preserve"> would be better off </w:t>
      </w:r>
      <w:r w:rsidR="00D00A49" w:rsidRPr="00A5667B">
        <w:rPr>
          <w:rFonts w:ascii="Arial" w:hAnsi="Arial" w:cs="Arial"/>
          <w:sz w:val="24"/>
          <w:szCs w:val="24"/>
        </w:rPr>
        <w:t>transfer</w:t>
      </w:r>
      <w:r w:rsidR="004A7E33" w:rsidRPr="00A5667B">
        <w:rPr>
          <w:rFonts w:ascii="Arial" w:hAnsi="Arial" w:cs="Arial"/>
          <w:sz w:val="24"/>
          <w:szCs w:val="24"/>
        </w:rPr>
        <w:t>ring</w:t>
      </w:r>
      <w:r w:rsidR="00D00A49" w:rsidRPr="00A5667B">
        <w:rPr>
          <w:rFonts w:ascii="Arial" w:hAnsi="Arial" w:cs="Arial"/>
          <w:sz w:val="24"/>
          <w:szCs w:val="24"/>
        </w:rPr>
        <w:t xml:space="preserve"> </w:t>
      </w:r>
      <w:r w:rsidR="00DB095F" w:rsidRPr="00A5667B">
        <w:rPr>
          <w:rFonts w:ascii="Arial" w:hAnsi="Arial" w:cs="Arial"/>
          <w:sz w:val="24"/>
          <w:szCs w:val="24"/>
        </w:rPr>
        <w:t xml:space="preserve">the </w:t>
      </w:r>
      <w:r w:rsidR="00D00A49" w:rsidRPr="00A5667B">
        <w:rPr>
          <w:rFonts w:ascii="Arial" w:hAnsi="Arial" w:cs="Arial"/>
          <w:sz w:val="24"/>
          <w:szCs w:val="24"/>
        </w:rPr>
        <w:t xml:space="preserve">RES facility ownership and energy generated from it to the community </w:t>
      </w:r>
      <w:r w:rsidR="00D958B2">
        <w:rPr>
          <w:rFonts w:ascii="Arial" w:hAnsi="Arial" w:cs="Arial"/>
          <w:sz w:val="24"/>
          <w:szCs w:val="24"/>
        </w:rPr>
        <w:t>at no cost</w:t>
      </w:r>
      <w:r w:rsidR="00F36E1A">
        <w:rPr>
          <w:rFonts w:ascii="Arial" w:hAnsi="Arial" w:cs="Arial"/>
          <w:sz w:val="24"/>
          <w:szCs w:val="24"/>
        </w:rPr>
        <w:t xml:space="preserve"> [</w:t>
      </w:r>
      <w:r w:rsidR="00FE7EA2">
        <w:rPr>
          <w:rFonts w:ascii="Arial" w:hAnsi="Arial" w:cs="Arial"/>
          <w:sz w:val="24"/>
          <w:szCs w:val="24"/>
        </w:rPr>
        <w:t>5, 32</w:t>
      </w:r>
      <w:r w:rsidR="008D6112">
        <w:rPr>
          <w:rFonts w:ascii="Arial" w:hAnsi="Arial" w:cs="Arial"/>
          <w:sz w:val="24"/>
          <w:szCs w:val="24"/>
        </w:rPr>
        <w:t xml:space="preserve">, </w:t>
      </w:r>
      <w:r w:rsidR="00F36E1A">
        <w:rPr>
          <w:rFonts w:ascii="Arial" w:hAnsi="Arial" w:cs="Arial"/>
          <w:sz w:val="24"/>
          <w:szCs w:val="24"/>
        </w:rPr>
        <w:t>33]</w:t>
      </w:r>
      <w:r w:rsidR="0037518F" w:rsidRPr="00A5667B">
        <w:rPr>
          <w:rFonts w:ascii="Arial" w:hAnsi="Arial" w:cs="Arial"/>
          <w:sz w:val="24"/>
          <w:szCs w:val="24"/>
        </w:rPr>
        <w:t>.</w:t>
      </w:r>
      <w:r w:rsidR="00D958B2">
        <w:rPr>
          <w:rFonts w:ascii="Arial" w:hAnsi="Arial" w:cs="Arial"/>
          <w:sz w:val="24"/>
          <w:szCs w:val="24"/>
        </w:rPr>
        <w:t xml:space="preserve"> </w:t>
      </w:r>
      <w:r w:rsidR="005A1145">
        <w:rPr>
          <w:rFonts w:ascii="Arial" w:hAnsi="Arial" w:cs="Arial"/>
          <w:sz w:val="24"/>
          <w:szCs w:val="24"/>
        </w:rPr>
        <w:t xml:space="preserve">This </w:t>
      </w:r>
      <w:r w:rsidR="0085587A">
        <w:rPr>
          <w:rFonts w:ascii="Arial" w:hAnsi="Arial" w:cs="Arial"/>
          <w:sz w:val="24"/>
          <w:szCs w:val="24"/>
        </w:rPr>
        <w:t xml:space="preserve">is </w:t>
      </w:r>
      <w:r w:rsidR="005A1145">
        <w:rPr>
          <w:rFonts w:ascii="Arial" w:hAnsi="Arial" w:cs="Arial"/>
          <w:sz w:val="24"/>
          <w:szCs w:val="24"/>
        </w:rPr>
        <w:t>because s</w:t>
      </w:r>
      <w:r w:rsidR="0037518F" w:rsidRPr="00A5667B">
        <w:rPr>
          <w:rFonts w:ascii="Arial" w:hAnsi="Arial" w:cs="Arial"/>
          <w:sz w:val="24"/>
          <w:szCs w:val="24"/>
        </w:rPr>
        <w:t>ignificant transmission losses occur during energy importation from the mainland to the geographical</w:t>
      </w:r>
      <w:r w:rsidR="006B0008" w:rsidRPr="00A5667B">
        <w:rPr>
          <w:rFonts w:ascii="Arial" w:hAnsi="Arial" w:cs="Arial"/>
          <w:sz w:val="24"/>
          <w:szCs w:val="24"/>
        </w:rPr>
        <w:t xml:space="preserve"> islands</w:t>
      </w:r>
      <w:r w:rsidR="00D958B2">
        <w:rPr>
          <w:rFonts w:ascii="Arial" w:hAnsi="Arial" w:cs="Arial"/>
          <w:sz w:val="24"/>
          <w:szCs w:val="24"/>
        </w:rPr>
        <w:t>.</w:t>
      </w:r>
      <w:r w:rsidR="00631D3D">
        <w:rPr>
          <w:rFonts w:ascii="Arial" w:hAnsi="Arial" w:cs="Arial"/>
          <w:sz w:val="24"/>
          <w:szCs w:val="24"/>
        </w:rPr>
        <w:t xml:space="preserve"> </w:t>
      </w:r>
      <w:r w:rsidR="006B0008" w:rsidRPr="00A5667B">
        <w:rPr>
          <w:rFonts w:ascii="Arial" w:hAnsi="Arial" w:cs="Arial"/>
          <w:sz w:val="24"/>
          <w:szCs w:val="24"/>
        </w:rPr>
        <w:t>A transfer of ownership to the community will redirect RES energy’s cost which corresponds to the LCOE back into the local economy resulting in positive socio-economic benefits to the island community.</w:t>
      </w:r>
      <w:r w:rsidR="00172700" w:rsidRPr="00A5667B">
        <w:rPr>
          <w:rFonts w:ascii="Arial" w:eastAsia="Times New Roman" w:hAnsi="Arial" w:cs="Arial"/>
          <w:sz w:val="24"/>
          <w:szCs w:val="24"/>
          <w:lang w:eastAsia="en-GB"/>
        </w:rPr>
        <w:t xml:space="preserve"> </w:t>
      </w:r>
      <w:r w:rsidR="00C21227">
        <w:rPr>
          <w:rFonts w:ascii="Arial" w:eastAsia="Times New Roman" w:hAnsi="Arial" w:cs="Arial"/>
          <w:sz w:val="24"/>
          <w:szCs w:val="24"/>
          <w:lang w:eastAsia="en-GB"/>
        </w:rPr>
        <w:t>T</w:t>
      </w:r>
      <w:r w:rsidR="00172700" w:rsidRPr="00A5667B">
        <w:rPr>
          <w:rFonts w:ascii="Arial" w:eastAsia="Times New Roman" w:hAnsi="Arial" w:cs="Arial"/>
          <w:sz w:val="24"/>
          <w:szCs w:val="24"/>
          <w:lang w:eastAsia="en-GB"/>
        </w:rPr>
        <w:t>his paper will focus on the 100% LCOE re-spent situation</w:t>
      </w:r>
      <w:r w:rsidR="00427C40">
        <w:rPr>
          <w:rFonts w:ascii="Arial" w:eastAsia="Times New Roman" w:hAnsi="Arial" w:cs="Arial"/>
          <w:sz w:val="24"/>
          <w:szCs w:val="24"/>
          <w:lang w:eastAsia="en-GB"/>
        </w:rPr>
        <w:t>.</w:t>
      </w:r>
    </w:p>
    <w:p w14:paraId="46A0146B" w14:textId="32413075" w:rsidR="00EB5B5F" w:rsidRPr="00A5667B" w:rsidRDefault="00EF03A9" w:rsidP="00EB5B5F">
      <w:pPr>
        <w:spacing w:line="360" w:lineRule="auto"/>
        <w:jc w:val="both"/>
        <w:rPr>
          <w:rFonts w:ascii="Arial" w:eastAsia="Times New Roman" w:hAnsi="Arial" w:cs="Arial"/>
          <w:sz w:val="24"/>
          <w:szCs w:val="24"/>
          <w:lang w:eastAsia="en-GB"/>
        </w:rPr>
      </w:pPr>
      <w:r w:rsidRPr="00A5667B">
        <w:rPr>
          <w:rFonts w:ascii="Arial" w:eastAsia="Times New Roman" w:hAnsi="Arial" w:cs="Arial"/>
          <w:sz w:val="24"/>
          <w:szCs w:val="24"/>
          <w:lang w:eastAsia="en-GB"/>
        </w:rPr>
        <w:t>B</w:t>
      </w:r>
      <w:r w:rsidR="00EB5B5F" w:rsidRPr="00A5667B">
        <w:rPr>
          <w:rFonts w:ascii="Arial" w:eastAsia="Times New Roman" w:hAnsi="Arial" w:cs="Arial"/>
          <w:sz w:val="24"/>
          <w:szCs w:val="24"/>
          <w:lang w:eastAsia="en-GB"/>
        </w:rPr>
        <w:t xml:space="preserve">ased on </w:t>
      </w:r>
      <w:r w:rsidR="00D958B2">
        <w:rPr>
          <w:rFonts w:ascii="Arial" w:eastAsia="Times New Roman" w:hAnsi="Arial" w:cs="Arial"/>
          <w:sz w:val="24"/>
          <w:szCs w:val="24"/>
          <w:lang w:eastAsia="en-GB"/>
        </w:rPr>
        <w:t>each of the</w:t>
      </w:r>
      <w:r w:rsidR="00EB5B5F" w:rsidRPr="00A5667B">
        <w:rPr>
          <w:rFonts w:ascii="Arial" w:eastAsia="Times New Roman" w:hAnsi="Arial" w:cs="Arial"/>
          <w:sz w:val="24"/>
          <w:szCs w:val="24"/>
          <w:lang w:eastAsia="en-GB"/>
        </w:rPr>
        <w:t xml:space="preserve"> island’s recorded annual energy demand</w:t>
      </w:r>
      <w:r w:rsidR="00D1626A" w:rsidRPr="00A5667B">
        <w:rPr>
          <w:rFonts w:ascii="Arial" w:eastAsia="Times New Roman" w:hAnsi="Arial" w:cs="Arial"/>
          <w:sz w:val="24"/>
          <w:szCs w:val="24"/>
          <w:lang w:eastAsia="en-GB"/>
        </w:rPr>
        <w:t xml:space="preserve"> and the energy generated annually by the RES </w:t>
      </w:r>
      <w:r w:rsidR="0004238F">
        <w:rPr>
          <w:rFonts w:ascii="Arial" w:eastAsia="Times New Roman" w:hAnsi="Arial" w:cs="Arial"/>
          <w:sz w:val="24"/>
          <w:szCs w:val="24"/>
          <w:lang w:eastAsia="en-GB"/>
        </w:rPr>
        <w:t xml:space="preserve">technologies under the hypothetical </w:t>
      </w:r>
      <w:r w:rsidR="00D1626A" w:rsidRPr="00A5667B">
        <w:rPr>
          <w:rFonts w:ascii="Arial" w:eastAsia="Times New Roman" w:hAnsi="Arial" w:cs="Arial"/>
          <w:sz w:val="24"/>
          <w:szCs w:val="24"/>
          <w:lang w:eastAsia="en-GB"/>
        </w:rPr>
        <w:t>scenarios selected</w:t>
      </w:r>
      <w:r w:rsidR="0001314E">
        <w:rPr>
          <w:rFonts w:ascii="Arial" w:eastAsia="Times New Roman" w:hAnsi="Arial" w:cs="Arial"/>
          <w:sz w:val="24"/>
          <w:szCs w:val="24"/>
          <w:lang w:eastAsia="en-GB"/>
        </w:rPr>
        <w:t xml:space="preserve"> (column 5 of Table 1)</w:t>
      </w:r>
      <w:r w:rsidR="00EB5B5F" w:rsidRPr="00A5667B">
        <w:rPr>
          <w:rFonts w:ascii="Arial" w:eastAsia="Times New Roman" w:hAnsi="Arial" w:cs="Arial"/>
          <w:sz w:val="24"/>
          <w:szCs w:val="24"/>
          <w:lang w:eastAsia="en-GB"/>
        </w:rPr>
        <w:t xml:space="preserve">, the </w:t>
      </w:r>
      <w:r w:rsidR="00D1626A" w:rsidRPr="00A5667B">
        <w:rPr>
          <w:rFonts w:ascii="Arial" w:eastAsia="Times New Roman" w:hAnsi="Arial" w:cs="Arial"/>
          <w:sz w:val="24"/>
          <w:szCs w:val="24"/>
          <w:lang w:eastAsia="en-GB"/>
        </w:rPr>
        <w:t>O</w:t>
      </w:r>
      <w:r w:rsidR="00EB5B5F" w:rsidRPr="00A5667B">
        <w:rPr>
          <w:rFonts w:ascii="Arial" w:eastAsia="Times New Roman" w:hAnsi="Arial" w:cs="Arial"/>
          <w:sz w:val="24"/>
          <w:szCs w:val="24"/>
          <w:lang w:eastAsia="en-GB"/>
        </w:rPr>
        <w:t xml:space="preserve">ffice of </w:t>
      </w:r>
      <w:r w:rsidR="00D1626A" w:rsidRPr="00A5667B">
        <w:rPr>
          <w:rFonts w:ascii="Arial" w:eastAsia="Times New Roman" w:hAnsi="Arial" w:cs="Arial"/>
          <w:sz w:val="24"/>
          <w:szCs w:val="24"/>
          <w:lang w:eastAsia="en-GB"/>
        </w:rPr>
        <w:t>S</w:t>
      </w:r>
      <w:r w:rsidR="00EB5B5F" w:rsidRPr="00A5667B">
        <w:rPr>
          <w:rFonts w:ascii="Arial" w:eastAsia="Times New Roman" w:hAnsi="Arial" w:cs="Arial"/>
          <w:sz w:val="24"/>
          <w:szCs w:val="24"/>
          <w:lang w:eastAsia="en-GB"/>
        </w:rPr>
        <w:t xml:space="preserve">tatistics databases can </w:t>
      </w:r>
      <w:r w:rsidR="00D1626A" w:rsidRPr="00A5667B">
        <w:rPr>
          <w:rFonts w:ascii="Arial" w:eastAsia="Times New Roman" w:hAnsi="Arial" w:cs="Arial"/>
          <w:sz w:val="24"/>
          <w:szCs w:val="24"/>
          <w:lang w:eastAsia="en-GB"/>
        </w:rPr>
        <w:t xml:space="preserve">then </w:t>
      </w:r>
      <w:r w:rsidR="00EB5B5F" w:rsidRPr="00A5667B">
        <w:rPr>
          <w:rFonts w:ascii="Arial" w:eastAsia="Times New Roman" w:hAnsi="Arial" w:cs="Arial"/>
          <w:sz w:val="24"/>
          <w:szCs w:val="24"/>
          <w:lang w:eastAsia="en-GB"/>
        </w:rPr>
        <w:t xml:space="preserve">be used to determine whether the RES facility’s size needs to be scaled up for 100% energy autonomy. However, as construction and other costs are almost a linear function of </w:t>
      </w:r>
      <w:r w:rsidRPr="00A5667B">
        <w:rPr>
          <w:rFonts w:ascii="Arial" w:eastAsia="Times New Roman" w:hAnsi="Arial" w:cs="Arial"/>
          <w:sz w:val="24"/>
          <w:szCs w:val="24"/>
          <w:lang w:eastAsia="en-GB"/>
        </w:rPr>
        <w:t xml:space="preserve">the </w:t>
      </w:r>
      <w:r w:rsidR="00EB5B5F" w:rsidRPr="00A5667B">
        <w:rPr>
          <w:rFonts w:ascii="Arial" w:eastAsia="Times New Roman" w:hAnsi="Arial" w:cs="Arial"/>
          <w:sz w:val="24"/>
          <w:szCs w:val="24"/>
          <w:lang w:eastAsia="en-GB"/>
        </w:rPr>
        <w:t xml:space="preserve">RES facility’s size, the LCOE for the scenarios – even </w:t>
      </w:r>
      <w:r w:rsidR="00981D16">
        <w:rPr>
          <w:rFonts w:ascii="Arial" w:eastAsia="Times New Roman" w:hAnsi="Arial" w:cs="Arial"/>
          <w:sz w:val="24"/>
          <w:szCs w:val="24"/>
          <w:lang w:eastAsia="en-GB"/>
        </w:rPr>
        <w:t>if they need to be scaled up</w:t>
      </w:r>
      <w:r w:rsidR="00B9337E">
        <w:rPr>
          <w:rFonts w:ascii="Arial" w:eastAsia="Times New Roman" w:hAnsi="Arial" w:cs="Arial"/>
          <w:sz w:val="24"/>
          <w:szCs w:val="24"/>
          <w:lang w:eastAsia="en-GB"/>
        </w:rPr>
        <w:t xml:space="preserve"> </w:t>
      </w:r>
      <w:r w:rsidR="00EB5B5F" w:rsidRPr="00A5667B">
        <w:rPr>
          <w:rFonts w:ascii="Arial" w:eastAsia="Times New Roman" w:hAnsi="Arial" w:cs="Arial"/>
          <w:sz w:val="24"/>
          <w:szCs w:val="24"/>
          <w:lang w:eastAsia="en-GB"/>
        </w:rPr>
        <w:t xml:space="preserve">– would </w:t>
      </w:r>
      <w:r w:rsidR="00B9337E">
        <w:rPr>
          <w:rFonts w:ascii="Arial" w:eastAsia="Times New Roman" w:hAnsi="Arial" w:cs="Arial"/>
          <w:sz w:val="24"/>
          <w:szCs w:val="24"/>
          <w:lang w:eastAsia="en-GB"/>
        </w:rPr>
        <w:t xml:space="preserve">roughly </w:t>
      </w:r>
      <w:r w:rsidR="00EB5B5F" w:rsidRPr="00A5667B">
        <w:rPr>
          <w:rFonts w:ascii="Arial" w:eastAsia="Times New Roman" w:hAnsi="Arial" w:cs="Arial"/>
          <w:sz w:val="24"/>
          <w:szCs w:val="24"/>
          <w:lang w:eastAsia="en-GB"/>
        </w:rPr>
        <w:t>be the same.</w:t>
      </w:r>
    </w:p>
    <w:p w14:paraId="0A0CCBF6" w14:textId="797093A8" w:rsidR="00B32EB8" w:rsidRPr="00A5667B" w:rsidRDefault="00B32EB8" w:rsidP="00B32EB8">
      <w:pPr>
        <w:pStyle w:val="Heading3"/>
        <w:rPr>
          <w:rFonts w:eastAsia="Times New Roman"/>
          <w:lang w:eastAsia="en-GB"/>
        </w:rPr>
      </w:pPr>
      <w:r w:rsidRPr="000514E3">
        <w:rPr>
          <w:rFonts w:ascii="Arial" w:eastAsia="Times New Roman" w:hAnsi="Arial" w:cs="Arial"/>
          <w:lang w:eastAsia="en-GB"/>
        </w:rPr>
        <w:t xml:space="preserve">4.4.2. </w:t>
      </w:r>
      <w:r w:rsidR="00982580" w:rsidRPr="000514E3">
        <w:rPr>
          <w:rFonts w:ascii="Arial" w:eastAsia="Times New Roman" w:hAnsi="Arial" w:cs="Arial"/>
          <w:lang w:eastAsia="en-GB"/>
        </w:rPr>
        <w:t>ICT Platform and its Costing</w:t>
      </w:r>
    </w:p>
    <w:p w14:paraId="605B893F" w14:textId="1ADA8084" w:rsidR="00982580" w:rsidRPr="00783EEB" w:rsidRDefault="006960EF" w:rsidP="00982580">
      <w:pPr>
        <w:spacing w:line="360" w:lineRule="auto"/>
        <w:jc w:val="both"/>
        <w:rPr>
          <w:rFonts w:ascii="Arial" w:hAnsi="Arial" w:cs="Arial"/>
          <w:sz w:val="24"/>
          <w:szCs w:val="24"/>
          <w:lang w:eastAsia="en-GB"/>
        </w:rPr>
      </w:pPr>
      <w:r w:rsidRPr="00783EEB">
        <w:rPr>
          <w:rFonts w:ascii="Arial" w:hAnsi="Arial" w:cs="Arial"/>
          <w:sz w:val="24"/>
          <w:szCs w:val="24"/>
        </w:rPr>
        <w:t xml:space="preserve">For </w:t>
      </w:r>
      <w:r w:rsidR="00D907B9" w:rsidRPr="00783EEB">
        <w:rPr>
          <w:rFonts w:ascii="Arial" w:hAnsi="Arial" w:cs="Arial"/>
          <w:sz w:val="24"/>
          <w:szCs w:val="24"/>
        </w:rPr>
        <w:t>enabling the decarboni</w:t>
      </w:r>
      <w:r w:rsidR="003255FB">
        <w:rPr>
          <w:rFonts w:ascii="Arial" w:hAnsi="Arial" w:cs="Arial"/>
          <w:sz w:val="24"/>
          <w:szCs w:val="24"/>
        </w:rPr>
        <w:t>s</w:t>
      </w:r>
      <w:r w:rsidR="00D907B9" w:rsidRPr="00783EEB">
        <w:rPr>
          <w:rFonts w:ascii="Arial" w:hAnsi="Arial" w:cs="Arial"/>
          <w:sz w:val="24"/>
          <w:szCs w:val="24"/>
        </w:rPr>
        <w:t xml:space="preserve">ation and 100% energy autonomy of geographical islands' </w:t>
      </w:r>
      <w:r w:rsidR="00BC71B8" w:rsidRPr="00783EEB">
        <w:rPr>
          <w:rFonts w:ascii="Arial" w:hAnsi="Arial" w:cs="Arial"/>
          <w:sz w:val="24"/>
          <w:szCs w:val="24"/>
        </w:rPr>
        <w:t xml:space="preserve">they need </w:t>
      </w:r>
      <w:r w:rsidR="00D907B9" w:rsidRPr="00783EEB">
        <w:rPr>
          <w:rFonts w:ascii="Arial" w:hAnsi="Arial" w:cs="Arial"/>
          <w:sz w:val="24"/>
          <w:szCs w:val="24"/>
        </w:rPr>
        <w:t xml:space="preserve">autonomous energy systems based on renewable energy sources, storage, intelligent monitoring techniques, and advanced energy management techniques. </w:t>
      </w:r>
      <w:r w:rsidR="000C7532" w:rsidRPr="00783EEB">
        <w:rPr>
          <w:rFonts w:ascii="Arial" w:hAnsi="Arial" w:cs="Arial"/>
          <w:sz w:val="24"/>
          <w:szCs w:val="24"/>
        </w:rPr>
        <w:t>An</w:t>
      </w:r>
      <w:r w:rsidR="00306F99" w:rsidRPr="00783EEB">
        <w:rPr>
          <w:rFonts w:ascii="Arial" w:hAnsi="Arial" w:cs="Arial"/>
          <w:sz w:val="24"/>
          <w:szCs w:val="24"/>
        </w:rPr>
        <w:t xml:space="preserve"> </w:t>
      </w:r>
      <w:r w:rsidR="00982580" w:rsidRPr="00783EEB">
        <w:rPr>
          <w:rFonts w:ascii="Arial" w:hAnsi="Arial" w:cs="Arial"/>
          <w:sz w:val="24"/>
          <w:szCs w:val="24"/>
          <w:lang w:eastAsia="en-GB"/>
        </w:rPr>
        <w:t xml:space="preserve">ICT </w:t>
      </w:r>
      <w:r w:rsidR="00376CBD" w:rsidRPr="00783EEB">
        <w:rPr>
          <w:rFonts w:ascii="Arial" w:hAnsi="Arial" w:cs="Arial"/>
          <w:sz w:val="24"/>
          <w:szCs w:val="24"/>
          <w:lang w:eastAsia="en-GB"/>
        </w:rPr>
        <w:t xml:space="preserve">(Information and Communications Technology) </w:t>
      </w:r>
      <w:r w:rsidR="00982580" w:rsidRPr="00783EEB">
        <w:rPr>
          <w:rFonts w:ascii="Arial" w:hAnsi="Arial" w:cs="Arial"/>
          <w:sz w:val="24"/>
          <w:szCs w:val="24"/>
          <w:lang w:eastAsia="en-GB"/>
        </w:rPr>
        <w:t xml:space="preserve">platform </w:t>
      </w:r>
      <w:r w:rsidR="000C7532" w:rsidRPr="00783EEB">
        <w:rPr>
          <w:rFonts w:ascii="Arial" w:hAnsi="Arial" w:cs="Arial"/>
          <w:sz w:val="24"/>
          <w:szCs w:val="24"/>
          <w:lang w:eastAsia="en-GB"/>
        </w:rPr>
        <w:t xml:space="preserve">is needed for </w:t>
      </w:r>
      <w:r w:rsidR="00590BA4" w:rsidRPr="00783EEB">
        <w:rPr>
          <w:rFonts w:ascii="Arial" w:hAnsi="Arial" w:cs="Arial"/>
          <w:sz w:val="24"/>
          <w:szCs w:val="24"/>
          <w:lang w:eastAsia="en-GB"/>
        </w:rPr>
        <w:t xml:space="preserve">optimised energy dispatching using </w:t>
      </w:r>
      <w:r w:rsidR="000C7532" w:rsidRPr="00783EEB">
        <w:rPr>
          <w:rFonts w:ascii="Arial" w:hAnsi="Arial" w:cs="Arial"/>
          <w:sz w:val="24"/>
          <w:szCs w:val="24"/>
          <w:lang w:eastAsia="en-GB"/>
        </w:rPr>
        <w:t xml:space="preserve">intelligent monitoring and </w:t>
      </w:r>
      <w:r w:rsidR="000C7532" w:rsidRPr="00783EEB">
        <w:rPr>
          <w:rFonts w:ascii="Arial" w:hAnsi="Arial" w:cs="Arial"/>
          <w:sz w:val="24"/>
          <w:szCs w:val="24"/>
        </w:rPr>
        <w:t>advanced energy management</w:t>
      </w:r>
      <w:r w:rsidR="000D679D" w:rsidRPr="00783EEB">
        <w:rPr>
          <w:rFonts w:ascii="Arial" w:hAnsi="Arial" w:cs="Arial"/>
          <w:sz w:val="24"/>
          <w:szCs w:val="24"/>
        </w:rPr>
        <w:t xml:space="preserve">. The </w:t>
      </w:r>
      <w:r w:rsidR="00376CBD" w:rsidRPr="00783EEB">
        <w:rPr>
          <w:rFonts w:ascii="Arial" w:hAnsi="Arial" w:cs="Arial"/>
          <w:sz w:val="24"/>
          <w:szCs w:val="24"/>
          <w:lang w:eastAsia="en-GB"/>
        </w:rPr>
        <w:t>platform</w:t>
      </w:r>
      <w:r w:rsidR="00EA0519" w:rsidRPr="00783EEB">
        <w:rPr>
          <w:rFonts w:ascii="Arial" w:hAnsi="Arial" w:cs="Arial"/>
          <w:sz w:val="24"/>
          <w:szCs w:val="24"/>
          <w:lang w:eastAsia="en-GB"/>
        </w:rPr>
        <w:t xml:space="preserve"> </w:t>
      </w:r>
      <w:r w:rsidR="000D679D" w:rsidRPr="00783EEB">
        <w:rPr>
          <w:rFonts w:ascii="Arial" w:hAnsi="Arial" w:cs="Arial"/>
          <w:sz w:val="24"/>
          <w:szCs w:val="24"/>
          <w:lang w:eastAsia="en-GB"/>
        </w:rPr>
        <w:t>needs to</w:t>
      </w:r>
      <w:r w:rsidR="00EA0519" w:rsidRPr="00783EEB">
        <w:rPr>
          <w:rFonts w:ascii="Arial" w:hAnsi="Arial" w:cs="Arial"/>
          <w:sz w:val="24"/>
          <w:szCs w:val="24"/>
          <w:lang w:eastAsia="en-GB"/>
        </w:rPr>
        <w:t xml:space="preserve"> integrat</w:t>
      </w:r>
      <w:r w:rsidR="008812B3" w:rsidRPr="00783EEB">
        <w:rPr>
          <w:rFonts w:ascii="Arial" w:hAnsi="Arial" w:cs="Arial"/>
          <w:sz w:val="24"/>
          <w:szCs w:val="24"/>
          <w:lang w:eastAsia="en-GB"/>
        </w:rPr>
        <w:t>e</w:t>
      </w:r>
      <w:r w:rsidR="00EA0519" w:rsidRPr="00783EEB">
        <w:rPr>
          <w:rFonts w:ascii="Arial" w:hAnsi="Arial" w:cs="Arial"/>
          <w:sz w:val="24"/>
          <w:szCs w:val="24"/>
          <w:lang w:eastAsia="en-GB"/>
        </w:rPr>
        <w:t xml:space="preserve"> algorithms to plan and manage the RES and storage assets by developing a holistic cooperative energy management and demand response (DR) system at the community level on geographical islands.</w:t>
      </w:r>
      <w:r w:rsidR="008812B3" w:rsidRPr="00783EEB">
        <w:rPr>
          <w:rFonts w:ascii="Arial" w:hAnsi="Arial" w:cs="Arial"/>
          <w:sz w:val="24"/>
          <w:szCs w:val="24"/>
          <w:lang w:eastAsia="en-GB"/>
        </w:rPr>
        <w:t xml:space="preserve"> </w:t>
      </w:r>
      <w:r w:rsidR="00837C07">
        <w:rPr>
          <w:rFonts w:ascii="Arial" w:hAnsi="Arial" w:cs="Arial"/>
          <w:sz w:val="24"/>
          <w:szCs w:val="24"/>
          <w:lang w:eastAsia="en-GB"/>
        </w:rPr>
        <w:t xml:space="preserve">Some of </w:t>
      </w:r>
      <w:r w:rsidR="00C44654" w:rsidRPr="00783EEB">
        <w:rPr>
          <w:rFonts w:ascii="Arial" w:hAnsi="Arial" w:cs="Arial"/>
          <w:sz w:val="24"/>
          <w:szCs w:val="24"/>
          <w:lang w:eastAsia="en-GB"/>
        </w:rPr>
        <w:t>the benefits of energy storage optimi</w:t>
      </w:r>
      <w:r w:rsidR="00835EA3" w:rsidRPr="00783EEB">
        <w:rPr>
          <w:rFonts w:ascii="Arial" w:hAnsi="Arial" w:cs="Arial"/>
          <w:sz w:val="24"/>
          <w:szCs w:val="24"/>
          <w:lang w:eastAsia="en-GB"/>
        </w:rPr>
        <w:t>s</w:t>
      </w:r>
      <w:r w:rsidR="00C44654" w:rsidRPr="00783EEB">
        <w:rPr>
          <w:rFonts w:ascii="Arial" w:hAnsi="Arial" w:cs="Arial"/>
          <w:sz w:val="24"/>
          <w:szCs w:val="24"/>
          <w:lang w:eastAsia="en-GB"/>
        </w:rPr>
        <w:t>ation are</w:t>
      </w:r>
      <w:r w:rsidR="00E02837">
        <w:rPr>
          <w:rFonts w:ascii="Arial" w:hAnsi="Arial" w:cs="Arial"/>
          <w:sz w:val="24"/>
          <w:szCs w:val="24"/>
          <w:lang w:eastAsia="en-GB"/>
        </w:rPr>
        <w:t>,</w:t>
      </w:r>
      <w:r w:rsidR="00C44654" w:rsidRPr="00783EEB">
        <w:rPr>
          <w:rFonts w:ascii="Arial" w:hAnsi="Arial" w:cs="Arial"/>
          <w:sz w:val="24"/>
          <w:szCs w:val="24"/>
          <w:lang w:eastAsia="en-GB"/>
        </w:rPr>
        <w:t xml:space="preserve"> utili</w:t>
      </w:r>
      <w:r w:rsidR="00835EA3" w:rsidRPr="00783EEB">
        <w:rPr>
          <w:rFonts w:ascii="Arial" w:hAnsi="Arial" w:cs="Arial"/>
          <w:sz w:val="24"/>
          <w:szCs w:val="24"/>
          <w:lang w:eastAsia="en-GB"/>
        </w:rPr>
        <w:t>s</w:t>
      </w:r>
      <w:r w:rsidR="00C44654" w:rsidRPr="00783EEB">
        <w:rPr>
          <w:rFonts w:ascii="Arial" w:hAnsi="Arial" w:cs="Arial"/>
          <w:sz w:val="24"/>
          <w:szCs w:val="24"/>
          <w:lang w:eastAsia="en-GB"/>
        </w:rPr>
        <w:t xml:space="preserve">ing local renewable generation, taking </w:t>
      </w:r>
      <w:r w:rsidR="00C44654" w:rsidRPr="00783EEB">
        <w:rPr>
          <w:rFonts w:ascii="Arial" w:hAnsi="Arial" w:cs="Arial"/>
          <w:sz w:val="24"/>
          <w:szCs w:val="24"/>
          <w:lang w:eastAsia="en-GB"/>
        </w:rPr>
        <w:lastRenderedPageBreak/>
        <w:t>advantage of variable energy prices, responding to custom demand increase/decrease requests, or utili</w:t>
      </w:r>
      <w:r w:rsidR="00835EA3" w:rsidRPr="00783EEB">
        <w:rPr>
          <w:rFonts w:ascii="Arial" w:hAnsi="Arial" w:cs="Arial"/>
          <w:sz w:val="24"/>
          <w:szCs w:val="24"/>
          <w:lang w:eastAsia="en-GB"/>
        </w:rPr>
        <w:t>s</w:t>
      </w:r>
      <w:r w:rsidR="00C44654" w:rsidRPr="00783EEB">
        <w:rPr>
          <w:rFonts w:ascii="Arial" w:hAnsi="Arial" w:cs="Arial"/>
          <w:sz w:val="24"/>
          <w:szCs w:val="24"/>
          <w:lang w:eastAsia="en-GB"/>
        </w:rPr>
        <w:t xml:space="preserve">ing end-user flexibility in electric load. </w:t>
      </w:r>
    </w:p>
    <w:p w14:paraId="4FEE456C" w14:textId="3D3075DA" w:rsidR="00415D31" w:rsidRPr="00A5667B" w:rsidRDefault="006F0657" w:rsidP="00415D31">
      <w:pPr>
        <w:spacing w:line="360" w:lineRule="auto"/>
        <w:jc w:val="both"/>
        <w:rPr>
          <w:rFonts w:ascii="Arial" w:hAnsi="Arial" w:cs="Arial"/>
          <w:sz w:val="24"/>
          <w:szCs w:val="24"/>
          <w:lang w:eastAsia="en-GB"/>
        </w:rPr>
      </w:pPr>
      <w:r w:rsidRPr="00783EEB">
        <w:rPr>
          <w:rFonts w:ascii="Arial" w:hAnsi="Arial" w:cs="Arial"/>
          <w:sz w:val="24"/>
          <w:szCs w:val="24"/>
          <w:lang w:eastAsia="en-GB"/>
        </w:rPr>
        <w:t xml:space="preserve">Such an ICT platform while </w:t>
      </w:r>
      <w:r w:rsidR="00A62B2B">
        <w:rPr>
          <w:rFonts w:ascii="Arial" w:hAnsi="Arial" w:cs="Arial"/>
          <w:sz w:val="24"/>
          <w:szCs w:val="24"/>
          <w:lang w:eastAsia="en-GB"/>
        </w:rPr>
        <w:t>integral</w:t>
      </w:r>
      <w:r w:rsidR="007907FE">
        <w:rPr>
          <w:rFonts w:ascii="Arial" w:hAnsi="Arial" w:cs="Arial"/>
          <w:sz w:val="24"/>
          <w:szCs w:val="24"/>
          <w:lang w:eastAsia="en-GB"/>
        </w:rPr>
        <w:t xml:space="preserve"> </w:t>
      </w:r>
      <w:r w:rsidRPr="00783EEB">
        <w:rPr>
          <w:rFonts w:ascii="Arial" w:hAnsi="Arial" w:cs="Arial"/>
          <w:sz w:val="24"/>
          <w:szCs w:val="24"/>
          <w:lang w:eastAsia="en-GB"/>
        </w:rPr>
        <w:t>for autonomous energy management</w:t>
      </w:r>
      <w:r w:rsidR="007907FE">
        <w:rPr>
          <w:rFonts w:ascii="Arial" w:hAnsi="Arial" w:cs="Arial"/>
          <w:sz w:val="24"/>
          <w:szCs w:val="24"/>
          <w:lang w:eastAsia="en-GB"/>
        </w:rPr>
        <w:t>,</w:t>
      </w:r>
      <w:r w:rsidR="00A765B9" w:rsidRPr="00783EEB">
        <w:rPr>
          <w:rFonts w:ascii="Arial" w:hAnsi="Arial" w:cs="Arial"/>
          <w:sz w:val="24"/>
          <w:szCs w:val="24"/>
          <w:lang w:eastAsia="en-GB"/>
        </w:rPr>
        <w:t xml:space="preserve"> also adds</w:t>
      </w:r>
      <w:r w:rsidR="00415D31" w:rsidRPr="00783EEB">
        <w:rPr>
          <w:rFonts w:ascii="Arial" w:hAnsi="Arial" w:cs="Arial"/>
          <w:sz w:val="24"/>
          <w:szCs w:val="24"/>
          <w:lang w:eastAsia="en-GB"/>
        </w:rPr>
        <w:t xml:space="preserve"> a cost of between 10% and 50% to the lifetime cost of the RES configurations selected on the</w:t>
      </w:r>
      <w:r w:rsidR="00A765B9" w:rsidRPr="00783EEB">
        <w:rPr>
          <w:rFonts w:ascii="Arial" w:hAnsi="Arial" w:cs="Arial"/>
          <w:sz w:val="24"/>
          <w:szCs w:val="24"/>
          <w:lang w:eastAsia="en-GB"/>
        </w:rPr>
        <w:t xml:space="preserve"> geographical</w:t>
      </w:r>
      <w:r w:rsidR="00415D31" w:rsidRPr="00783EEB">
        <w:rPr>
          <w:rFonts w:ascii="Arial" w:hAnsi="Arial" w:cs="Arial"/>
          <w:sz w:val="24"/>
          <w:szCs w:val="24"/>
          <w:lang w:eastAsia="en-GB"/>
        </w:rPr>
        <w:t xml:space="preserve"> islands</w:t>
      </w:r>
      <w:r w:rsidR="00B27A25">
        <w:rPr>
          <w:rFonts w:ascii="Arial" w:hAnsi="Arial" w:cs="Arial"/>
          <w:sz w:val="24"/>
          <w:szCs w:val="24"/>
          <w:lang w:eastAsia="en-GB"/>
        </w:rPr>
        <w:t xml:space="preserve">. </w:t>
      </w:r>
      <w:r w:rsidR="003D50B7">
        <w:rPr>
          <w:rFonts w:ascii="Arial" w:hAnsi="Arial" w:cs="Arial"/>
          <w:sz w:val="24"/>
          <w:szCs w:val="24"/>
          <w:lang w:eastAsia="en-GB"/>
        </w:rPr>
        <w:t>This</w:t>
      </w:r>
      <w:r w:rsidR="004E40A2" w:rsidRPr="00783EEB">
        <w:rPr>
          <w:rFonts w:ascii="Arial" w:hAnsi="Arial" w:cs="Arial"/>
          <w:sz w:val="24"/>
          <w:szCs w:val="24"/>
          <w:lang w:eastAsia="en-GB"/>
        </w:rPr>
        <w:t xml:space="preserve"> mean</w:t>
      </w:r>
      <w:r w:rsidR="003D50B7">
        <w:rPr>
          <w:rFonts w:ascii="Arial" w:hAnsi="Arial" w:cs="Arial"/>
          <w:sz w:val="24"/>
          <w:szCs w:val="24"/>
          <w:lang w:eastAsia="en-GB"/>
        </w:rPr>
        <w:t>s an</w:t>
      </w:r>
      <w:r w:rsidR="00415D31" w:rsidRPr="00783EEB">
        <w:rPr>
          <w:rFonts w:ascii="Arial" w:hAnsi="Arial" w:cs="Arial"/>
          <w:sz w:val="24"/>
          <w:szCs w:val="24"/>
          <w:lang w:eastAsia="en-GB"/>
        </w:rPr>
        <w:t xml:space="preserve"> increase </w:t>
      </w:r>
      <w:r w:rsidR="003D50B7">
        <w:rPr>
          <w:rFonts w:ascii="Arial" w:hAnsi="Arial" w:cs="Arial"/>
          <w:sz w:val="24"/>
          <w:szCs w:val="24"/>
          <w:lang w:eastAsia="en-GB"/>
        </w:rPr>
        <w:t xml:space="preserve">in </w:t>
      </w:r>
      <w:r w:rsidR="00415D31" w:rsidRPr="00783EEB">
        <w:rPr>
          <w:rFonts w:ascii="Arial" w:hAnsi="Arial" w:cs="Arial"/>
          <w:sz w:val="24"/>
          <w:szCs w:val="24"/>
          <w:lang w:eastAsia="en-GB"/>
        </w:rPr>
        <w:t>the LCOE by a factor between 1.1 and 1.5 based on cost figures observed in the literature</w:t>
      </w:r>
      <w:r w:rsidR="00F36E1A">
        <w:rPr>
          <w:rFonts w:ascii="Arial" w:hAnsi="Arial" w:cs="Arial"/>
          <w:sz w:val="24"/>
          <w:szCs w:val="24"/>
          <w:lang w:eastAsia="en-GB"/>
        </w:rPr>
        <w:t xml:space="preserve"> [3</w:t>
      </w:r>
      <w:r w:rsidR="00BF1BFE">
        <w:rPr>
          <w:rFonts w:ascii="Arial" w:hAnsi="Arial" w:cs="Arial"/>
          <w:sz w:val="24"/>
          <w:szCs w:val="24"/>
          <w:lang w:eastAsia="en-GB"/>
        </w:rPr>
        <w:t>4</w:t>
      </w:r>
      <w:r w:rsidR="00F36E1A">
        <w:rPr>
          <w:rFonts w:ascii="Arial" w:hAnsi="Arial" w:cs="Arial"/>
          <w:sz w:val="24"/>
          <w:szCs w:val="24"/>
          <w:lang w:eastAsia="en-GB"/>
        </w:rPr>
        <w:t>]</w:t>
      </w:r>
      <w:r w:rsidR="00415D31" w:rsidRPr="00783EEB">
        <w:rPr>
          <w:rFonts w:ascii="Arial" w:hAnsi="Arial" w:cs="Arial"/>
          <w:sz w:val="24"/>
          <w:szCs w:val="24"/>
          <w:lang w:eastAsia="en-GB"/>
        </w:rPr>
        <w:t>. We call this an ICT scale-up factor. Owing to uncertainties around the complexities of the ICT platform, we have considered an ICT scale-up factor of 1.2 for individual scenario analysis. A sensitivity analysis of ICT factors ranging from 1.1 to 1.5 is then performed to evaluate the impact of ICT costs on social and economic benefits.</w:t>
      </w:r>
      <w:r w:rsidR="00415D31" w:rsidRPr="00A5667B">
        <w:rPr>
          <w:rFonts w:ascii="Arial" w:hAnsi="Arial" w:cs="Arial"/>
          <w:sz w:val="24"/>
          <w:szCs w:val="24"/>
          <w:lang w:eastAsia="en-GB"/>
        </w:rPr>
        <w:t xml:space="preserve"> </w:t>
      </w:r>
    </w:p>
    <w:p w14:paraId="46EF365B" w14:textId="76DB1228" w:rsidR="00D41834" w:rsidRPr="000514E3" w:rsidRDefault="00D41834" w:rsidP="00225EAE">
      <w:pPr>
        <w:pStyle w:val="Heading2"/>
        <w:numPr>
          <w:ilvl w:val="1"/>
          <w:numId w:val="16"/>
        </w:numPr>
        <w:rPr>
          <w:rFonts w:ascii="Arial" w:hAnsi="Arial" w:cs="Arial"/>
          <w:sz w:val="24"/>
          <w:szCs w:val="24"/>
        </w:rPr>
      </w:pPr>
      <w:r w:rsidRPr="000514E3">
        <w:rPr>
          <w:rFonts w:ascii="Arial" w:hAnsi="Arial" w:cs="Arial"/>
          <w:sz w:val="24"/>
          <w:szCs w:val="24"/>
        </w:rPr>
        <w:t>Capturing Gender Income Differentials</w:t>
      </w:r>
    </w:p>
    <w:p w14:paraId="51343662" w14:textId="2E6FE366" w:rsidR="00127857" w:rsidRPr="00A5667B" w:rsidRDefault="00D41834" w:rsidP="00127857">
      <w:pPr>
        <w:spacing w:line="360" w:lineRule="auto"/>
        <w:jc w:val="both"/>
        <w:rPr>
          <w:rFonts w:ascii="Arial" w:hAnsi="Arial" w:cs="Arial"/>
          <w:sz w:val="24"/>
          <w:szCs w:val="24"/>
        </w:rPr>
      </w:pPr>
      <w:r w:rsidRPr="00A5667B">
        <w:rPr>
          <w:rFonts w:ascii="Arial" w:hAnsi="Arial" w:cs="Arial"/>
          <w:sz w:val="24"/>
          <w:szCs w:val="24"/>
        </w:rPr>
        <w:t>As there is a focus o</w:t>
      </w:r>
      <w:r w:rsidR="00CB3146" w:rsidRPr="00A5667B">
        <w:rPr>
          <w:rFonts w:ascii="Arial" w:hAnsi="Arial" w:cs="Arial"/>
          <w:sz w:val="24"/>
          <w:szCs w:val="24"/>
        </w:rPr>
        <w:t>n</w:t>
      </w:r>
      <w:r w:rsidRPr="00A5667B">
        <w:rPr>
          <w:rFonts w:ascii="Arial" w:hAnsi="Arial" w:cs="Arial"/>
          <w:sz w:val="24"/>
          <w:szCs w:val="24"/>
        </w:rPr>
        <w:t xml:space="preserve"> technology and policies to drive sustainability in</w:t>
      </w:r>
      <w:r w:rsidR="00CB3146" w:rsidRPr="00A5667B">
        <w:rPr>
          <w:rFonts w:ascii="Arial" w:hAnsi="Arial" w:cs="Arial"/>
          <w:sz w:val="24"/>
          <w:szCs w:val="24"/>
        </w:rPr>
        <w:t xml:space="preserve"> the</w:t>
      </w:r>
      <w:r w:rsidRPr="00A5667B">
        <w:rPr>
          <w:rFonts w:ascii="Arial" w:hAnsi="Arial" w:cs="Arial"/>
          <w:sz w:val="24"/>
          <w:szCs w:val="24"/>
        </w:rPr>
        <w:t xml:space="preserve"> energy transition to RES, it is also important to ensure that there are equal economic opportunities and employment accessibility across gender, and </w:t>
      </w:r>
      <w:r w:rsidR="00127857" w:rsidRPr="00A5667B">
        <w:rPr>
          <w:rFonts w:ascii="Arial" w:hAnsi="Arial" w:cs="Arial"/>
          <w:sz w:val="24"/>
          <w:szCs w:val="24"/>
        </w:rPr>
        <w:t xml:space="preserve">the benefits this might have will be equitably distributed. Adopting a gender aware approach to assessing the impacts and benefits of sustainable energy interventions is crucial to ensure that women’s contributions – their skills and perspectives – are represented. </w:t>
      </w:r>
      <w:r w:rsidR="002B6C2A" w:rsidRPr="00A5667B">
        <w:rPr>
          <w:rFonts w:ascii="Arial" w:hAnsi="Arial" w:cs="Arial"/>
          <w:sz w:val="24"/>
          <w:szCs w:val="24"/>
        </w:rPr>
        <w:t>I</w:t>
      </w:r>
      <w:r w:rsidR="00127857" w:rsidRPr="00A5667B">
        <w:rPr>
          <w:rFonts w:ascii="Arial" w:hAnsi="Arial" w:cs="Arial"/>
          <w:sz w:val="24"/>
          <w:szCs w:val="24"/>
        </w:rPr>
        <w:t>ncreasing women’s engagement</w:t>
      </w:r>
      <w:r w:rsidR="002B6C2A" w:rsidRPr="00A5667B">
        <w:rPr>
          <w:rFonts w:ascii="Arial" w:hAnsi="Arial" w:cs="Arial"/>
          <w:sz w:val="24"/>
          <w:szCs w:val="24"/>
        </w:rPr>
        <w:t xml:space="preserve"> will expand </w:t>
      </w:r>
      <w:r w:rsidR="00127857" w:rsidRPr="00A5667B">
        <w:rPr>
          <w:rFonts w:ascii="Arial" w:hAnsi="Arial" w:cs="Arial"/>
          <w:sz w:val="24"/>
          <w:szCs w:val="24"/>
        </w:rPr>
        <w:t xml:space="preserve">the available talent pool for the renewables sector. Other benefits of furthering gender diversity include the varied views women bring to the workplace. Studies have shown that women tend to be more collaborative at work </w:t>
      </w:r>
      <w:r w:rsidR="00F36E1A">
        <w:rPr>
          <w:rFonts w:ascii="Arial" w:hAnsi="Arial" w:cs="Arial"/>
          <w:sz w:val="24"/>
          <w:szCs w:val="24"/>
        </w:rPr>
        <w:t>[3</w:t>
      </w:r>
      <w:r w:rsidR="00BF1BFE">
        <w:rPr>
          <w:rFonts w:ascii="Arial" w:hAnsi="Arial" w:cs="Arial"/>
          <w:sz w:val="24"/>
          <w:szCs w:val="24"/>
        </w:rPr>
        <w:t>5</w:t>
      </w:r>
      <w:r w:rsidR="00F36E1A">
        <w:rPr>
          <w:rFonts w:ascii="Arial" w:hAnsi="Arial" w:cs="Arial"/>
          <w:sz w:val="24"/>
          <w:szCs w:val="24"/>
        </w:rPr>
        <w:t>]</w:t>
      </w:r>
      <w:r w:rsidR="002B6C2A" w:rsidRPr="004A5416">
        <w:rPr>
          <w:rFonts w:ascii="Arial" w:hAnsi="Arial" w:cs="Arial"/>
          <w:sz w:val="24"/>
          <w:szCs w:val="24"/>
        </w:rPr>
        <w:t>.</w:t>
      </w:r>
      <w:r w:rsidR="00127857" w:rsidRPr="004A5416">
        <w:rPr>
          <w:rFonts w:ascii="Arial" w:hAnsi="Arial" w:cs="Arial"/>
          <w:sz w:val="24"/>
          <w:szCs w:val="24"/>
        </w:rPr>
        <w:t xml:space="preserve"> </w:t>
      </w:r>
      <w:r w:rsidR="002B6C2A" w:rsidRPr="00A5667B">
        <w:rPr>
          <w:rFonts w:ascii="Arial" w:hAnsi="Arial" w:cs="Arial"/>
          <w:sz w:val="24"/>
          <w:szCs w:val="24"/>
        </w:rPr>
        <w:t>W</w:t>
      </w:r>
      <w:r w:rsidR="00127857" w:rsidRPr="00A5667B">
        <w:rPr>
          <w:rFonts w:ascii="Arial" w:hAnsi="Arial" w:cs="Arial"/>
          <w:sz w:val="24"/>
          <w:szCs w:val="24"/>
        </w:rPr>
        <w:t>hilst increasing the representation of women has shown improved business performance</w:t>
      </w:r>
      <w:r w:rsidR="00F36E1A">
        <w:rPr>
          <w:rFonts w:ascii="Arial" w:hAnsi="Arial" w:cs="Arial"/>
          <w:sz w:val="24"/>
          <w:szCs w:val="24"/>
        </w:rPr>
        <w:t xml:space="preserve"> [3</w:t>
      </w:r>
      <w:r w:rsidR="00BF1BFE">
        <w:rPr>
          <w:rFonts w:ascii="Arial" w:hAnsi="Arial" w:cs="Arial"/>
          <w:sz w:val="24"/>
          <w:szCs w:val="24"/>
        </w:rPr>
        <w:t>6</w:t>
      </w:r>
      <w:r w:rsidR="001632C7">
        <w:rPr>
          <w:rFonts w:ascii="Arial" w:hAnsi="Arial" w:cs="Arial"/>
          <w:sz w:val="24"/>
          <w:szCs w:val="24"/>
        </w:rPr>
        <w:t>].</w:t>
      </w:r>
    </w:p>
    <w:p w14:paraId="6DBFEC59" w14:textId="79E8DA87" w:rsidR="00D41834" w:rsidRPr="00A5667B" w:rsidRDefault="00A52EA3" w:rsidP="00D41834">
      <w:pPr>
        <w:spacing w:line="360" w:lineRule="auto"/>
        <w:jc w:val="both"/>
        <w:rPr>
          <w:rFonts w:ascii="Arial" w:hAnsi="Arial" w:cs="Arial"/>
          <w:sz w:val="24"/>
          <w:szCs w:val="24"/>
        </w:rPr>
      </w:pPr>
      <w:r w:rsidRPr="00A5667B">
        <w:rPr>
          <w:rFonts w:ascii="Arial" w:hAnsi="Arial" w:cs="Arial"/>
          <w:sz w:val="24"/>
          <w:szCs w:val="24"/>
        </w:rPr>
        <w:t xml:space="preserve">Labour force participation and wage equality are the two principal parameters related to gender impact on waged employment </w:t>
      </w:r>
      <w:r w:rsidR="005C7301" w:rsidRPr="00A5667B">
        <w:rPr>
          <w:rFonts w:ascii="Arial" w:hAnsi="Arial" w:cs="Arial"/>
          <w:sz w:val="24"/>
          <w:szCs w:val="24"/>
        </w:rPr>
        <w:t xml:space="preserve">that will be </w:t>
      </w:r>
      <w:r w:rsidR="00211379" w:rsidRPr="00A5667B">
        <w:rPr>
          <w:rFonts w:ascii="Arial" w:hAnsi="Arial" w:cs="Arial"/>
          <w:sz w:val="24"/>
          <w:szCs w:val="24"/>
        </w:rPr>
        <w:t xml:space="preserve">relevant </w:t>
      </w:r>
      <w:r w:rsidR="005C7301" w:rsidRPr="00A5667B">
        <w:rPr>
          <w:rFonts w:ascii="Arial" w:hAnsi="Arial" w:cs="Arial"/>
          <w:sz w:val="24"/>
          <w:szCs w:val="24"/>
        </w:rPr>
        <w:t>for socio-economic impact assessment in this paper.</w:t>
      </w:r>
      <w:r w:rsidR="00C658AE" w:rsidRPr="00A5667B">
        <w:rPr>
          <w:rFonts w:ascii="Arial" w:hAnsi="Arial" w:cs="Arial"/>
          <w:sz w:val="24"/>
          <w:szCs w:val="24"/>
        </w:rPr>
        <w:t xml:space="preserve"> Table 2 lists the values of these parameters for </w:t>
      </w:r>
      <w:r w:rsidR="004E40A2" w:rsidRPr="00A5667B">
        <w:rPr>
          <w:rFonts w:ascii="Arial" w:hAnsi="Arial" w:cs="Arial"/>
          <w:sz w:val="24"/>
          <w:szCs w:val="24"/>
        </w:rPr>
        <w:t>the geographical</w:t>
      </w:r>
      <w:r w:rsidR="00C658AE" w:rsidRPr="00A5667B">
        <w:rPr>
          <w:rFonts w:ascii="Arial" w:hAnsi="Arial" w:cs="Arial"/>
          <w:sz w:val="24"/>
          <w:szCs w:val="24"/>
        </w:rPr>
        <w:t xml:space="preserve"> islands that are available from national and international sources</w:t>
      </w:r>
      <w:r w:rsidR="00F36E1A">
        <w:rPr>
          <w:rFonts w:ascii="Arial" w:hAnsi="Arial" w:cs="Arial"/>
          <w:sz w:val="24"/>
          <w:szCs w:val="24"/>
        </w:rPr>
        <w:t xml:space="preserve"> [3</w:t>
      </w:r>
      <w:r w:rsidR="00BF1BFE">
        <w:rPr>
          <w:rFonts w:ascii="Arial" w:hAnsi="Arial" w:cs="Arial"/>
          <w:sz w:val="24"/>
          <w:szCs w:val="24"/>
        </w:rPr>
        <w:t>7</w:t>
      </w:r>
      <w:r w:rsidR="00F36E1A">
        <w:rPr>
          <w:rFonts w:ascii="Arial" w:hAnsi="Arial" w:cs="Arial"/>
          <w:sz w:val="24"/>
          <w:szCs w:val="24"/>
        </w:rPr>
        <w:t>]</w:t>
      </w:r>
      <w:r w:rsidR="001632C7">
        <w:rPr>
          <w:rFonts w:ascii="Arial" w:hAnsi="Arial" w:cs="Arial"/>
          <w:sz w:val="24"/>
          <w:szCs w:val="24"/>
        </w:rPr>
        <w:t>.</w:t>
      </w:r>
      <w:r w:rsidR="005C7301" w:rsidRPr="00F36E1A">
        <w:rPr>
          <w:rFonts w:ascii="Arial" w:hAnsi="Arial" w:cs="Arial"/>
          <w:color w:val="FF0000"/>
          <w:sz w:val="24"/>
          <w:szCs w:val="24"/>
        </w:rPr>
        <w:t xml:space="preserve"> </w:t>
      </w:r>
      <w:r w:rsidR="001D0D10" w:rsidRPr="00A5667B">
        <w:rPr>
          <w:rFonts w:ascii="Arial" w:hAnsi="Arial" w:cs="Arial"/>
          <w:sz w:val="24"/>
          <w:szCs w:val="24"/>
        </w:rPr>
        <w:t xml:space="preserve">We assume that the national impact is reflected in the </w:t>
      </w:r>
      <w:r w:rsidR="006707B0" w:rsidRPr="00A5667B">
        <w:rPr>
          <w:rFonts w:ascii="Arial" w:hAnsi="Arial" w:cs="Arial"/>
          <w:sz w:val="24"/>
          <w:szCs w:val="24"/>
        </w:rPr>
        <w:t>islands</w:t>
      </w:r>
      <w:r w:rsidR="006707B0">
        <w:rPr>
          <w:rFonts w:ascii="Arial" w:hAnsi="Arial" w:cs="Arial"/>
          <w:sz w:val="24"/>
          <w:szCs w:val="24"/>
        </w:rPr>
        <w:t xml:space="preserve"> unless</w:t>
      </w:r>
      <w:r w:rsidR="001D0D10" w:rsidRPr="00A5667B">
        <w:rPr>
          <w:rFonts w:ascii="Arial" w:hAnsi="Arial" w:cs="Arial"/>
          <w:sz w:val="24"/>
          <w:szCs w:val="24"/>
        </w:rPr>
        <w:t xml:space="preserve"> specific sector data is available. </w:t>
      </w:r>
      <w:r w:rsidR="0029568D" w:rsidRPr="00A5667B">
        <w:rPr>
          <w:rFonts w:ascii="Arial" w:hAnsi="Arial" w:cs="Arial"/>
          <w:sz w:val="24"/>
          <w:szCs w:val="24"/>
        </w:rPr>
        <w:t xml:space="preserve">Gotland </w:t>
      </w:r>
      <w:r w:rsidR="0063324C">
        <w:rPr>
          <w:rFonts w:ascii="Arial" w:hAnsi="Arial" w:cs="Arial"/>
          <w:sz w:val="24"/>
          <w:szCs w:val="24"/>
        </w:rPr>
        <w:t xml:space="preserve">was the only </w:t>
      </w:r>
      <w:r w:rsidR="006A40E9">
        <w:rPr>
          <w:rFonts w:ascii="Arial" w:hAnsi="Arial" w:cs="Arial"/>
          <w:sz w:val="24"/>
          <w:szCs w:val="24"/>
        </w:rPr>
        <w:t>case study i</w:t>
      </w:r>
      <w:r w:rsidR="0029568D" w:rsidRPr="00A5667B">
        <w:rPr>
          <w:rFonts w:ascii="Arial" w:hAnsi="Arial" w:cs="Arial"/>
          <w:sz w:val="24"/>
          <w:szCs w:val="24"/>
        </w:rPr>
        <w:t xml:space="preserve">sland </w:t>
      </w:r>
      <w:r w:rsidR="0063324C">
        <w:rPr>
          <w:rFonts w:ascii="Arial" w:hAnsi="Arial" w:cs="Arial"/>
          <w:sz w:val="24"/>
          <w:szCs w:val="24"/>
        </w:rPr>
        <w:t>where</w:t>
      </w:r>
      <w:r w:rsidR="0029568D" w:rsidRPr="00A5667B">
        <w:rPr>
          <w:rFonts w:ascii="Arial" w:hAnsi="Arial" w:cs="Arial"/>
          <w:sz w:val="24"/>
          <w:szCs w:val="24"/>
        </w:rPr>
        <w:t xml:space="preserve"> specific sector data </w:t>
      </w:r>
      <w:r w:rsidR="0063324C">
        <w:rPr>
          <w:rFonts w:ascii="Arial" w:hAnsi="Arial" w:cs="Arial"/>
          <w:sz w:val="24"/>
          <w:szCs w:val="24"/>
        </w:rPr>
        <w:t>was</w:t>
      </w:r>
      <w:r w:rsidR="0029568D" w:rsidRPr="00A5667B">
        <w:rPr>
          <w:rFonts w:ascii="Arial" w:hAnsi="Arial" w:cs="Arial"/>
          <w:sz w:val="24"/>
          <w:szCs w:val="24"/>
        </w:rPr>
        <w:t xml:space="preserve"> </w:t>
      </w:r>
      <w:r w:rsidR="0063324C">
        <w:rPr>
          <w:rFonts w:ascii="Arial" w:hAnsi="Arial" w:cs="Arial"/>
          <w:sz w:val="24"/>
          <w:szCs w:val="24"/>
        </w:rPr>
        <w:t>available</w:t>
      </w:r>
      <w:r w:rsidR="000C5482">
        <w:rPr>
          <w:rFonts w:ascii="Arial" w:hAnsi="Arial" w:cs="Arial"/>
          <w:sz w:val="24"/>
          <w:szCs w:val="24"/>
        </w:rPr>
        <w:t xml:space="preserve"> </w:t>
      </w:r>
      <w:r w:rsidR="00F36E1A">
        <w:rPr>
          <w:rFonts w:ascii="Arial" w:hAnsi="Arial" w:cs="Arial"/>
          <w:sz w:val="24"/>
          <w:szCs w:val="24"/>
        </w:rPr>
        <w:t>[3</w:t>
      </w:r>
      <w:r w:rsidR="00BF1BFE">
        <w:rPr>
          <w:rFonts w:ascii="Arial" w:hAnsi="Arial" w:cs="Arial"/>
          <w:sz w:val="24"/>
          <w:szCs w:val="24"/>
        </w:rPr>
        <w:t>8</w:t>
      </w:r>
      <w:r w:rsidR="00F36E1A">
        <w:rPr>
          <w:rFonts w:ascii="Arial" w:hAnsi="Arial" w:cs="Arial"/>
          <w:sz w:val="24"/>
          <w:szCs w:val="24"/>
        </w:rPr>
        <w:t>]</w:t>
      </w:r>
      <w:r w:rsidR="002762F7">
        <w:rPr>
          <w:rFonts w:ascii="Arial" w:hAnsi="Arial" w:cs="Arial"/>
          <w:sz w:val="24"/>
          <w:szCs w:val="24"/>
        </w:rPr>
        <w:t>.</w:t>
      </w:r>
      <w:r w:rsidR="0029568D" w:rsidRPr="00F36E1A">
        <w:rPr>
          <w:rFonts w:ascii="Arial" w:hAnsi="Arial" w:cs="Arial"/>
          <w:color w:val="FF0000"/>
          <w:sz w:val="24"/>
          <w:szCs w:val="24"/>
        </w:rPr>
        <w:t xml:space="preserve"> </w:t>
      </w:r>
      <w:r w:rsidR="00C658AE" w:rsidRPr="00A5667B">
        <w:rPr>
          <w:rFonts w:ascii="Arial" w:hAnsi="Arial" w:cs="Arial"/>
          <w:sz w:val="24"/>
          <w:szCs w:val="24"/>
        </w:rPr>
        <w:t>Table 3</w:t>
      </w:r>
      <w:r w:rsidR="00211379" w:rsidRPr="00A5667B">
        <w:rPr>
          <w:rFonts w:ascii="Arial" w:hAnsi="Arial" w:cs="Arial"/>
          <w:sz w:val="24"/>
          <w:szCs w:val="24"/>
        </w:rPr>
        <w:t xml:space="preserve"> shows Gotland’s sectoral labour force participation and the gender representation </w:t>
      </w:r>
      <w:r w:rsidR="00045A5F">
        <w:rPr>
          <w:rFonts w:ascii="Arial" w:hAnsi="Arial" w:cs="Arial"/>
          <w:sz w:val="24"/>
          <w:szCs w:val="24"/>
        </w:rPr>
        <w:t>Female to Male (</w:t>
      </w:r>
      <w:r w:rsidR="00211379" w:rsidRPr="00A5667B">
        <w:rPr>
          <w:rFonts w:ascii="Arial" w:hAnsi="Arial" w:cs="Arial"/>
          <w:sz w:val="24"/>
          <w:szCs w:val="24"/>
        </w:rPr>
        <w:t>F/M</w:t>
      </w:r>
      <w:r w:rsidR="00045A5F">
        <w:rPr>
          <w:rFonts w:ascii="Arial" w:hAnsi="Arial" w:cs="Arial"/>
          <w:sz w:val="24"/>
          <w:szCs w:val="24"/>
        </w:rPr>
        <w:t>)</w:t>
      </w:r>
      <w:r w:rsidR="00211379" w:rsidRPr="00A5667B">
        <w:rPr>
          <w:rFonts w:ascii="Arial" w:hAnsi="Arial" w:cs="Arial"/>
          <w:sz w:val="24"/>
          <w:szCs w:val="24"/>
        </w:rPr>
        <w:t xml:space="preserve"> in labour income using the national wage equality ratio. The Gender Representation F/M in Labour Income (GRLI) parameter values are considered for socio-economic impact analysis. </w:t>
      </w:r>
    </w:p>
    <w:p w14:paraId="225BE32D" w14:textId="1612DD8A" w:rsidR="00DA6575" w:rsidRPr="00A5667B" w:rsidRDefault="00DA6575" w:rsidP="00DA6575">
      <w:pPr>
        <w:pStyle w:val="Caption"/>
        <w:keepNext/>
      </w:pPr>
      <w:r w:rsidRPr="00A5667B">
        <w:lastRenderedPageBreak/>
        <w:t xml:space="preserve">Table </w:t>
      </w:r>
      <w:r>
        <w:fldChar w:fldCharType="begin"/>
      </w:r>
      <w:r>
        <w:instrText>SEQ Table \* ARABIC</w:instrText>
      </w:r>
      <w:r>
        <w:fldChar w:fldCharType="separate"/>
      </w:r>
      <w:r w:rsidR="009733CD">
        <w:rPr>
          <w:noProof/>
        </w:rPr>
        <w:t>2</w:t>
      </w:r>
      <w:r>
        <w:fldChar w:fldCharType="end"/>
      </w:r>
      <w:r w:rsidRPr="00A5667B">
        <w:t>: Gender impact on waged employment parameters values</w:t>
      </w:r>
      <w:r w:rsidR="004E40A2" w:rsidRPr="00A5667B">
        <w:t xml:space="preserve"> among the geographical islands</w:t>
      </w:r>
    </w:p>
    <w:tbl>
      <w:tblPr>
        <w:tblW w:w="5067" w:type="pct"/>
        <w:jc w:val="center"/>
        <w:tblLook w:val="0420" w:firstRow="1" w:lastRow="0" w:firstColumn="0" w:lastColumn="0" w:noHBand="0" w:noVBand="1"/>
      </w:tblPr>
      <w:tblGrid>
        <w:gridCol w:w="3260"/>
        <w:gridCol w:w="794"/>
        <w:gridCol w:w="607"/>
        <w:gridCol w:w="973"/>
        <w:gridCol w:w="961"/>
        <w:gridCol w:w="961"/>
        <w:gridCol w:w="1581"/>
      </w:tblGrid>
      <w:tr w:rsidR="004E40A2" w:rsidRPr="00003047" w14:paraId="163368DF" w14:textId="77777777" w:rsidTr="00FF3AA5">
        <w:trPr>
          <w:trHeight w:val="982"/>
          <w:jc w:val="center"/>
        </w:trPr>
        <w:tc>
          <w:tcPr>
            <w:tcW w:w="1731" w:type="pct"/>
            <w:vMerge w:val="restart"/>
            <w:tcBorders>
              <w:top w:val="single" w:sz="4" w:space="0" w:color="auto"/>
              <w:left w:val="single" w:sz="4" w:space="0" w:color="auto"/>
              <w:right w:val="single" w:sz="4" w:space="0" w:color="auto"/>
            </w:tcBorders>
            <w:shd w:val="clear" w:color="000000" w:fill="92D050"/>
            <w:noWrap/>
            <w:vAlign w:val="center"/>
            <w:hideMark/>
          </w:tcPr>
          <w:p w14:paraId="495B6B65" w14:textId="2E6D313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Geographical Island</w:t>
            </w:r>
          </w:p>
        </w:tc>
        <w:tc>
          <w:tcPr>
            <w:tcW w:w="1399" w:type="pct"/>
            <w:gridSpan w:val="3"/>
            <w:tcBorders>
              <w:top w:val="single" w:sz="4" w:space="0" w:color="auto"/>
              <w:left w:val="nil"/>
              <w:bottom w:val="single" w:sz="4" w:space="0" w:color="auto"/>
              <w:right w:val="single" w:sz="4" w:space="0" w:color="auto"/>
            </w:tcBorders>
            <w:shd w:val="clear" w:color="000000" w:fill="92D050"/>
            <w:vAlign w:val="center"/>
            <w:hideMark/>
          </w:tcPr>
          <w:p w14:paraId="5333D204"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Labour force participation (%)</w:t>
            </w:r>
          </w:p>
        </w:tc>
        <w:tc>
          <w:tcPr>
            <w:tcW w:w="514" w:type="pct"/>
            <w:tcBorders>
              <w:top w:val="single" w:sz="4" w:space="0" w:color="auto"/>
              <w:left w:val="nil"/>
              <w:bottom w:val="single" w:sz="4" w:space="0" w:color="auto"/>
              <w:right w:val="single" w:sz="4" w:space="0" w:color="auto"/>
            </w:tcBorders>
            <w:shd w:val="clear" w:color="000000" w:fill="92D050"/>
            <w:vAlign w:val="center"/>
            <w:hideMark/>
          </w:tcPr>
          <w:p w14:paraId="060CB282" w14:textId="26E1F7C8"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Wage equality score (1-7)</w:t>
            </w:r>
          </w:p>
        </w:tc>
        <w:tc>
          <w:tcPr>
            <w:tcW w:w="514" w:type="pct"/>
            <w:tcBorders>
              <w:top w:val="single" w:sz="4" w:space="0" w:color="auto"/>
              <w:left w:val="nil"/>
              <w:bottom w:val="single" w:sz="4" w:space="0" w:color="auto"/>
              <w:right w:val="single" w:sz="4" w:space="0" w:color="auto"/>
            </w:tcBorders>
            <w:shd w:val="clear" w:color="000000" w:fill="92D050"/>
            <w:vAlign w:val="center"/>
            <w:hideMark/>
          </w:tcPr>
          <w:p w14:paraId="3028CA8B"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Wage equality</w:t>
            </w:r>
          </w:p>
        </w:tc>
        <w:tc>
          <w:tcPr>
            <w:tcW w:w="842" w:type="pct"/>
            <w:tcBorders>
              <w:top w:val="single" w:sz="4" w:space="0" w:color="auto"/>
              <w:left w:val="nil"/>
              <w:bottom w:val="single" w:sz="4" w:space="0" w:color="auto"/>
              <w:right w:val="single" w:sz="4" w:space="0" w:color="auto"/>
            </w:tcBorders>
            <w:shd w:val="clear" w:color="000000" w:fill="92D050"/>
            <w:vAlign w:val="center"/>
            <w:hideMark/>
          </w:tcPr>
          <w:p w14:paraId="27EEFB82"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Gender representation F/M in labour income</w:t>
            </w:r>
          </w:p>
        </w:tc>
      </w:tr>
      <w:tr w:rsidR="004E40A2" w:rsidRPr="00003047" w14:paraId="490E5281" w14:textId="77777777" w:rsidTr="00FF3AA5">
        <w:trPr>
          <w:trHeight w:val="358"/>
          <w:jc w:val="center"/>
        </w:trPr>
        <w:tc>
          <w:tcPr>
            <w:tcW w:w="1731" w:type="pct"/>
            <w:vMerge/>
            <w:tcBorders>
              <w:left w:val="single" w:sz="4" w:space="0" w:color="auto"/>
              <w:bottom w:val="single" w:sz="4" w:space="0" w:color="auto"/>
              <w:right w:val="single" w:sz="4" w:space="0" w:color="auto"/>
            </w:tcBorders>
            <w:shd w:val="clear" w:color="000000" w:fill="92D050"/>
            <w:noWrap/>
            <w:vAlign w:val="center"/>
            <w:hideMark/>
          </w:tcPr>
          <w:p w14:paraId="4D4AE0CB" w14:textId="7906763B" w:rsidR="004E40A2" w:rsidRPr="00072E8F" w:rsidRDefault="004E40A2" w:rsidP="004E40A2">
            <w:pPr>
              <w:spacing w:after="0" w:line="240" w:lineRule="auto"/>
              <w:jc w:val="center"/>
              <w:rPr>
                <w:rFonts w:ascii="Calibri" w:eastAsia="Times New Roman" w:hAnsi="Calibri" w:cs="Calibri"/>
                <w:b/>
                <w:bCs/>
                <w:color w:val="FFFFFF"/>
                <w:lang w:eastAsia="en-GB"/>
              </w:rPr>
            </w:pPr>
          </w:p>
        </w:tc>
        <w:tc>
          <w:tcPr>
            <w:tcW w:w="487" w:type="pct"/>
            <w:tcBorders>
              <w:top w:val="nil"/>
              <w:left w:val="nil"/>
              <w:bottom w:val="single" w:sz="4" w:space="0" w:color="auto"/>
              <w:right w:val="single" w:sz="4" w:space="0" w:color="auto"/>
            </w:tcBorders>
            <w:shd w:val="clear" w:color="000000" w:fill="92D050"/>
            <w:noWrap/>
            <w:vAlign w:val="center"/>
            <w:hideMark/>
          </w:tcPr>
          <w:p w14:paraId="4C9EA4E9"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w:t>
            </w:r>
          </w:p>
        </w:tc>
        <w:tc>
          <w:tcPr>
            <w:tcW w:w="327" w:type="pct"/>
            <w:tcBorders>
              <w:top w:val="nil"/>
              <w:left w:val="nil"/>
              <w:bottom w:val="single" w:sz="4" w:space="0" w:color="auto"/>
              <w:right w:val="single" w:sz="4" w:space="0" w:color="auto"/>
            </w:tcBorders>
            <w:shd w:val="clear" w:color="000000" w:fill="92D050"/>
            <w:noWrap/>
            <w:vAlign w:val="center"/>
            <w:hideMark/>
          </w:tcPr>
          <w:p w14:paraId="7D295E53"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M</w:t>
            </w:r>
          </w:p>
        </w:tc>
        <w:tc>
          <w:tcPr>
            <w:tcW w:w="585" w:type="pct"/>
            <w:tcBorders>
              <w:top w:val="nil"/>
              <w:left w:val="nil"/>
              <w:bottom w:val="single" w:sz="4" w:space="0" w:color="auto"/>
              <w:right w:val="single" w:sz="4" w:space="0" w:color="auto"/>
            </w:tcBorders>
            <w:shd w:val="clear" w:color="000000" w:fill="92D050"/>
            <w:vAlign w:val="center"/>
            <w:hideMark/>
          </w:tcPr>
          <w:p w14:paraId="371494A2"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F/M ratio (1)</w:t>
            </w:r>
          </w:p>
        </w:tc>
        <w:tc>
          <w:tcPr>
            <w:tcW w:w="514" w:type="pct"/>
            <w:tcBorders>
              <w:top w:val="nil"/>
              <w:left w:val="nil"/>
              <w:bottom w:val="single" w:sz="4" w:space="0" w:color="auto"/>
              <w:right w:val="single" w:sz="4" w:space="0" w:color="auto"/>
            </w:tcBorders>
            <w:shd w:val="clear" w:color="000000" w:fill="92D050"/>
            <w:noWrap/>
            <w:vAlign w:val="center"/>
            <w:hideMark/>
          </w:tcPr>
          <w:p w14:paraId="2B96D5B5"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F/M</w:t>
            </w:r>
          </w:p>
        </w:tc>
        <w:tc>
          <w:tcPr>
            <w:tcW w:w="514" w:type="pct"/>
            <w:tcBorders>
              <w:top w:val="nil"/>
              <w:left w:val="nil"/>
              <w:bottom w:val="single" w:sz="4" w:space="0" w:color="auto"/>
              <w:right w:val="single" w:sz="4" w:space="0" w:color="auto"/>
            </w:tcBorders>
            <w:shd w:val="clear" w:color="000000" w:fill="92D050"/>
            <w:vAlign w:val="center"/>
            <w:hideMark/>
          </w:tcPr>
          <w:p w14:paraId="549145D6"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F/M ratio (2)</w:t>
            </w:r>
          </w:p>
        </w:tc>
        <w:tc>
          <w:tcPr>
            <w:tcW w:w="842" w:type="pct"/>
            <w:tcBorders>
              <w:top w:val="nil"/>
              <w:left w:val="nil"/>
              <w:bottom w:val="single" w:sz="4" w:space="0" w:color="auto"/>
              <w:right w:val="single" w:sz="4" w:space="0" w:color="auto"/>
            </w:tcBorders>
            <w:shd w:val="clear" w:color="000000" w:fill="92D050"/>
            <w:noWrap/>
            <w:vAlign w:val="center"/>
            <w:hideMark/>
          </w:tcPr>
          <w:p w14:paraId="64310EB6"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 (1) x (2)</w:t>
            </w:r>
          </w:p>
        </w:tc>
      </w:tr>
      <w:tr w:rsidR="004E40A2" w:rsidRPr="00003047" w14:paraId="0CF06C7C" w14:textId="77777777" w:rsidTr="00FF3AA5">
        <w:trPr>
          <w:trHeight w:val="439"/>
          <w:jc w:val="center"/>
        </w:trPr>
        <w:tc>
          <w:tcPr>
            <w:tcW w:w="1731" w:type="pct"/>
            <w:tcBorders>
              <w:top w:val="nil"/>
              <w:left w:val="single" w:sz="4" w:space="0" w:color="auto"/>
              <w:bottom w:val="single" w:sz="4" w:space="0" w:color="auto"/>
              <w:right w:val="single" w:sz="4" w:space="0" w:color="auto"/>
            </w:tcBorders>
            <w:shd w:val="clear" w:color="auto" w:fill="auto"/>
            <w:noWrap/>
            <w:vAlign w:val="bottom"/>
            <w:hideMark/>
          </w:tcPr>
          <w:p w14:paraId="457FF867" w14:textId="77777777" w:rsidR="00DA6575" w:rsidRPr="00072E8F" w:rsidRDefault="00DA6575" w:rsidP="00DA6575">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La Graciosa, Canary Island (Spain) </w:t>
            </w:r>
          </w:p>
        </w:tc>
        <w:tc>
          <w:tcPr>
            <w:tcW w:w="487" w:type="pct"/>
            <w:tcBorders>
              <w:top w:val="nil"/>
              <w:left w:val="nil"/>
              <w:bottom w:val="single" w:sz="4" w:space="0" w:color="auto"/>
              <w:right w:val="single" w:sz="4" w:space="0" w:color="auto"/>
            </w:tcBorders>
            <w:shd w:val="clear" w:color="auto" w:fill="auto"/>
            <w:noWrap/>
            <w:vAlign w:val="bottom"/>
            <w:hideMark/>
          </w:tcPr>
          <w:p w14:paraId="59696394"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69.2</w:t>
            </w:r>
          </w:p>
        </w:tc>
        <w:tc>
          <w:tcPr>
            <w:tcW w:w="327" w:type="pct"/>
            <w:tcBorders>
              <w:top w:val="nil"/>
              <w:left w:val="nil"/>
              <w:bottom w:val="single" w:sz="4" w:space="0" w:color="auto"/>
              <w:right w:val="single" w:sz="4" w:space="0" w:color="auto"/>
            </w:tcBorders>
            <w:shd w:val="clear" w:color="auto" w:fill="auto"/>
            <w:noWrap/>
            <w:vAlign w:val="bottom"/>
            <w:hideMark/>
          </w:tcPr>
          <w:p w14:paraId="3B1E0EA4"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79.1</w:t>
            </w:r>
          </w:p>
        </w:tc>
        <w:tc>
          <w:tcPr>
            <w:tcW w:w="585" w:type="pct"/>
            <w:tcBorders>
              <w:top w:val="nil"/>
              <w:left w:val="nil"/>
              <w:bottom w:val="single" w:sz="4" w:space="0" w:color="auto"/>
              <w:right w:val="single" w:sz="4" w:space="0" w:color="auto"/>
            </w:tcBorders>
            <w:shd w:val="clear" w:color="auto" w:fill="auto"/>
            <w:noWrap/>
            <w:vAlign w:val="bottom"/>
            <w:hideMark/>
          </w:tcPr>
          <w:p w14:paraId="0B24764F"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0.88</w:t>
            </w:r>
          </w:p>
        </w:tc>
        <w:tc>
          <w:tcPr>
            <w:tcW w:w="514" w:type="pct"/>
            <w:tcBorders>
              <w:top w:val="nil"/>
              <w:left w:val="nil"/>
              <w:bottom w:val="single" w:sz="4" w:space="0" w:color="auto"/>
              <w:right w:val="single" w:sz="4" w:space="0" w:color="auto"/>
            </w:tcBorders>
            <w:shd w:val="clear" w:color="auto" w:fill="auto"/>
            <w:noWrap/>
            <w:vAlign w:val="bottom"/>
            <w:hideMark/>
          </w:tcPr>
          <w:p w14:paraId="10DB682E"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4.18</w:t>
            </w:r>
          </w:p>
        </w:tc>
        <w:tc>
          <w:tcPr>
            <w:tcW w:w="514" w:type="pct"/>
            <w:tcBorders>
              <w:top w:val="nil"/>
              <w:left w:val="nil"/>
              <w:bottom w:val="single" w:sz="4" w:space="0" w:color="auto"/>
              <w:right w:val="single" w:sz="4" w:space="0" w:color="auto"/>
            </w:tcBorders>
            <w:shd w:val="clear" w:color="auto" w:fill="auto"/>
            <w:noWrap/>
            <w:vAlign w:val="bottom"/>
            <w:hideMark/>
          </w:tcPr>
          <w:p w14:paraId="4C385805"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0.60</w:t>
            </w:r>
          </w:p>
        </w:tc>
        <w:tc>
          <w:tcPr>
            <w:tcW w:w="842" w:type="pct"/>
            <w:tcBorders>
              <w:top w:val="nil"/>
              <w:left w:val="nil"/>
              <w:bottom w:val="single" w:sz="4" w:space="0" w:color="auto"/>
              <w:right w:val="single" w:sz="4" w:space="0" w:color="auto"/>
            </w:tcBorders>
            <w:shd w:val="clear" w:color="auto" w:fill="auto"/>
            <w:noWrap/>
            <w:vAlign w:val="bottom"/>
            <w:hideMark/>
          </w:tcPr>
          <w:p w14:paraId="28959135"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0.53</w:t>
            </w:r>
          </w:p>
        </w:tc>
      </w:tr>
      <w:tr w:rsidR="004E40A2" w:rsidRPr="00003047" w14:paraId="14DBAD61" w14:textId="77777777" w:rsidTr="00FF3AA5">
        <w:trPr>
          <w:trHeight w:val="439"/>
          <w:jc w:val="center"/>
        </w:trPr>
        <w:tc>
          <w:tcPr>
            <w:tcW w:w="1731" w:type="pct"/>
            <w:tcBorders>
              <w:top w:val="nil"/>
              <w:left w:val="single" w:sz="4" w:space="0" w:color="auto"/>
              <w:bottom w:val="single" w:sz="4" w:space="0" w:color="auto"/>
              <w:right w:val="single" w:sz="4" w:space="0" w:color="auto"/>
            </w:tcBorders>
            <w:shd w:val="clear" w:color="auto" w:fill="auto"/>
            <w:noWrap/>
            <w:vAlign w:val="bottom"/>
            <w:hideMark/>
          </w:tcPr>
          <w:p w14:paraId="4C8EAC67" w14:textId="77777777" w:rsidR="00DA6575" w:rsidRPr="00072E8F" w:rsidRDefault="00DA6575" w:rsidP="00DA6575">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Gotland (Sweden) </w:t>
            </w:r>
          </w:p>
        </w:tc>
        <w:tc>
          <w:tcPr>
            <w:tcW w:w="487" w:type="pct"/>
            <w:tcBorders>
              <w:top w:val="nil"/>
              <w:left w:val="nil"/>
              <w:bottom w:val="single" w:sz="4" w:space="0" w:color="auto"/>
              <w:right w:val="single" w:sz="4" w:space="0" w:color="auto"/>
            </w:tcBorders>
            <w:shd w:val="clear" w:color="auto" w:fill="auto"/>
            <w:noWrap/>
            <w:vAlign w:val="bottom"/>
            <w:hideMark/>
          </w:tcPr>
          <w:p w14:paraId="1878BE37"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81.3</w:t>
            </w:r>
          </w:p>
        </w:tc>
        <w:tc>
          <w:tcPr>
            <w:tcW w:w="327" w:type="pct"/>
            <w:tcBorders>
              <w:top w:val="nil"/>
              <w:left w:val="nil"/>
              <w:bottom w:val="single" w:sz="4" w:space="0" w:color="auto"/>
              <w:right w:val="single" w:sz="4" w:space="0" w:color="auto"/>
            </w:tcBorders>
            <w:shd w:val="clear" w:color="auto" w:fill="auto"/>
            <w:noWrap/>
            <w:vAlign w:val="bottom"/>
            <w:hideMark/>
          </w:tcPr>
          <w:p w14:paraId="6B2612CD"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85</w:t>
            </w:r>
          </w:p>
        </w:tc>
        <w:tc>
          <w:tcPr>
            <w:tcW w:w="585" w:type="pct"/>
            <w:tcBorders>
              <w:top w:val="nil"/>
              <w:left w:val="nil"/>
              <w:bottom w:val="single" w:sz="4" w:space="0" w:color="auto"/>
              <w:right w:val="single" w:sz="4" w:space="0" w:color="auto"/>
            </w:tcBorders>
            <w:shd w:val="clear" w:color="auto" w:fill="auto"/>
            <w:noWrap/>
            <w:vAlign w:val="bottom"/>
            <w:hideMark/>
          </w:tcPr>
          <w:p w14:paraId="2EAC45F9"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0.96</w:t>
            </w:r>
          </w:p>
        </w:tc>
        <w:tc>
          <w:tcPr>
            <w:tcW w:w="514" w:type="pct"/>
            <w:tcBorders>
              <w:top w:val="nil"/>
              <w:left w:val="nil"/>
              <w:bottom w:val="single" w:sz="4" w:space="0" w:color="auto"/>
              <w:right w:val="single" w:sz="4" w:space="0" w:color="auto"/>
            </w:tcBorders>
            <w:shd w:val="clear" w:color="auto" w:fill="auto"/>
            <w:noWrap/>
            <w:vAlign w:val="bottom"/>
            <w:hideMark/>
          </w:tcPr>
          <w:p w14:paraId="220532E8"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4.88</w:t>
            </w:r>
          </w:p>
        </w:tc>
        <w:tc>
          <w:tcPr>
            <w:tcW w:w="514" w:type="pct"/>
            <w:tcBorders>
              <w:top w:val="nil"/>
              <w:left w:val="nil"/>
              <w:bottom w:val="single" w:sz="4" w:space="0" w:color="auto"/>
              <w:right w:val="single" w:sz="4" w:space="0" w:color="auto"/>
            </w:tcBorders>
            <w:shd w:val="clear" w:color="auto" w:fill="auto"/>
            <w:noWrap/>
            <w:vAlign w:val="bottom"/>
            <w:hideMark/>
          </w:tcPr>
          <w:p w14:paraId="3C7EB2C4"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0.70</w:t>
            </w:r>
          </w:p>
        </w:tc>
        <w:tc>
          <w:tcPr>
            <w:tcW w:w="842" w:type="pct"/>
            <w:tcBorders>
              <w:top w:val="nil"/>
              <w:left w:val="nil"/>
              <w:bottom w:val="single" w:sz="4" w:space="0" w:color="auto"/>
              <w:right w:val="single" w:sz="4" w:space="0" w:color="auto"/>
            </w:tcBorders>
            <w:shd w:val="clear" w:color="auto" w:fill="auto"/>
            <w:noWrap/>
            <w:vAlign w:val="bottom"/>
            <w:hideMark/>
          </w:tcPr>
          <w:p w14:paraId="639CE3CA" w14:textId="77777777" w:rsidR="00DA6575" w:rsidRPr="00072E8F" w:rsidRDefault="00DA6575" w:rsidP="00DA6575">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0.67</w:t>
            </w:r>
          </w:p>
        </w:tc>
      </w:tr>
    </w:tbl>
    <w:p w14:paraId="61E9EC57" w14:textId="0521DE45" w:rsidR="00DA6575" w:rsidRPr="003B36D3" w:rsidRDefault="00111ECC" w:rsidP="00D41834">
      <w:pPr>
        <w:spacing w:line="360" w:lineRule="auto"/>
        <w:jc w:val="both"/>
        <w:rPr>
          <w:rFonts w:ascii="Arial" w:hAnsi="Arial" w:cs="Arial"/>
          <w:sz w:val="18"/>
          <w:szCs w:val="18"/>
        </w:rPr>
      </w:pPr>
      <w:r w:rsidRPr="003B36D3">
        <w:rPr>
          <w:rFonts w:ascii="Arial" w:hAnsi="Arial" w:cs="Arial"/>
          <w:sz w:val="18"/>
          <w:szCs w:val="18"/>
        </w:rPr>
        <w:t>Note: F for female, M for male</w:t>
      </w:r>
    </w:p>
    <w:p w14:paraId="53A3F11E" w14:textId="54896714" w:rsidR="00DA6575" w:rsidRPr="00A5667B" w:rsidRDefault="00DA6575" w:rsidP="00DA6575">
      <w:pPr>
        <w:pStyle w:val="Caption"/>
        <w:keepNext/>
      </w:pPr>
      <w:r w:rsidRPr="00A5667B">
        <w:t xml:space="preserve">Table </w:t>
      </w:r>
      <w:r>
        <w:fldChar w:fldCharType="begin"/>
      </w:r>
      <w:r>
        <w:instrText>SEQ Table \* ARABIC</w:instrText>
      </w:r>
      <w:r>
        <w:fldChar w:fldCharType="separate"/>
      </w:r>
      <w:r w:rsidR="009733CD">
        <w:rPr>
          <w:noProof/>
        </w:rPr>
        <w:t>3</w:t>
      </w:r>
      <w:r>
        <w:fldChar w:fldCharType="end"/>
      </w:r>
      <w:r w:rsidRPr="00A5667B">
        <w:t>: Sectoral labour force participation in Gotland Island</w:t>
      </w:r>
    </w:p>
    <w:tbl>
      <w:tblPr>
        <w:tblW w:w="5000" w:type="pct"/>
        <w:tblLook w:val="04A0" w:firstRow="1" w:lastRow="0" w:firstColumn="1" w:lastColumn="0" w:noHBand="0" w:noVBand="1"/>
      </w:tblPr>
      <w:tblGrid>
        <w:gridCol w:w="3725"/>
        <w:gridCol w:w="1008"/>
        <w:gridCol w:w="1008"/>
        <w:gridCol w:w="1089"/>
        <w:gridCol w:w="2186"/>
      </w:tblGrid>
      <w:tr w:rsidR="004E40A2" w:rsidRPr="00A5667B" w14:paraId="398E5607" w14:textId="77777777" w:rsidTr="004E40A2">
        <w:trPr>
          <w:cantSplit/>
          <w:trHeight w:val="290"/>
        </w:trPr>
        <w:tc>
          <w:tcPr>
            <w:tcW w:w="1978" w:type="pct"/>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14:paraId="7B1415E4"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Industry sector</w:t>
            </w:r>
          </w:p>
        </w:tc>
        <w:tc>
          <w:tcPr>
            <w:tcW w:w="1073"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4C98BE2B"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Numbers employed</w:t>
            </w:r>
          </w:p>
        </w:tc>
        <w:tc>
          <w:tcPr>
            <w:tcW w:w="582" w:type="pct"/>
            <w:vMerge w:val="restart"/>
            <w:tcBorders>
              <w:top w:val="single" w:sz="4" w:space="0" w:color="auto"/>
              <w:left w:val="nil"/>
              <w:right w:val="single" w:sz="4" w:space="0" w:color="auto"/>
            </w:tcBorders>
            <w:shd w:val="clear" w:color="000000" w:fill="92D050"/>
            <w:noWrap/>
            <w:vAlign w:val="center"/>
            <w:hideMark/>
          </w:tcPr>
          <w:p w14:paraId="1AC458A8" w14:textId="675ED6BD"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F/M ratio</w:t>
            </w:r>
          </w:p>
        </w:tc>
        <w:tc>
          <w:tcPr>
            <w:tcW w:w="1367"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989E11F"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Gender representation F/M in labour income</w:t>
            </w:r>
          </w:p>
        </w:tc>
      </w:tr>
      <w:tr w:rsidR="004E40A2" w:rsidRPr="00A5667B" w14:paraId="5DC66906" w14:textId="77777777" w:rsidTr="004E40A2">
        <w:trPr>
          <w:cantSplit/>
          <w:trHeight w:val="63"/>
        </w:trPr>
        <w:tc>
          <w:tcPr>
            <w:tcW w:w="1978" w:type="pct"/>
            <w:vMerge/>
            <w:tcBorders>
              <w:top w:val="single" w:sz="4" w:space="0" w:color="auto"/>
              <w:left w:val="single" w:sz="4" w:space="0" w:color="auto"/>
              <w:bottom w:val="single" w:sz="4" w:space="0" w:color="000000"/>
              <w:right w:val="single" w:sz="4" w:space="0" w:color="auto"/>
            </w:tcBorders>
            <w:hideMark/>
          </w:tcPr>
          <w:p w14:paraId="24871673" w14:textId="77777777" w:rsidR="004E40A2" w:rsidRPr="00072E8F" w:rsidRDefault="004E40A2" w:rsidP="00A02697">
            <w:pPr>
              <w:spacing w:after="0" w:line="240" w:lineRule="auto"/>
              <w:rPr>
                <w:rFonts w:ascii="Calibri" w:eastAsia="Times New Roman" w:hAnsi="Calibri" w:cs="Calibri"/>
                <w:b/>
                <w:bCs/>
                <w:color w:val="FFFFFF"/>
                <w:lang w:eastAsia="en-GB"/>
              </w:rPr>
            </w:pPr>
          </w:p>
        </w:tc>
        <w:tc>
          <w:tcPr>
            <w:tcW w:w="536" w:type="pct"/>
            <w:tcBorders>
              <w:top w:val="nil"/>
              <w:left w:val="nil"/>
              <w:bottom w:val="single" w:sz="4" w:space="0" w:color="auto"/>
              <w:right w:val="single" w:sz="4" w:space="0" w:color="auto"/>
            </w:tcBorders>
            <w:shd w:val="clear" w:color="000000" w:fill="92D050"/>
            <w:noWrap/>
            <w:vAlign w:val="center"/>
            <w:hideMark/>
          </w:tcPr>
          <w:p w14:paraId="6D74ED53"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F</w:t>
            </w:r>
          </w:p>
        </w:tc>
        <w:tc>
          <w:tcPr>
            <w:tcW w:w="537" w:type="pct"/>
            <w:tcBorders>
              <w:top w:val="nil"/>
              <w:left w:val="nil"/>
              <w:bottom w:val="single" w:sz="4" w:space="0" w:color="auto"/>
              <w:right w:val="single" w:sz="4" w:space="0" w:color="auto"/>
            </w:tcBorders>
            <w:shd w:val="clear" w:color="000000" w:fill="92D050"/>
            <w:noWrap/>
            <w:vAlign w:val="center"/>
            <w:hideMark/>
          </w:tcPr>
          <w:p w14:paraId="39C18828" w14:textId="77777777" w:rsidR="004E40A2" w:rsidRPr="00072E8F" w:rsidRDefault="004E40A2" w:rsidP="004E40A2">
            <w:pPr>
              <w:spacing w:after="0" w:line="240" w:lineRule="auto"/>
              <w:jc w:val="center"/>
              <w:rPr>
                <w:rFonts w:ascii="Calibri" w:eastAsia="Times New Roman" w:hAnsi="Calibri" w:cs="Calibri"/>
                <w:b/>
                <w:bCs/>
                <w:color w:val="FFFFFF"/>
                <w:lang w:eastAsia="en-GB"/>
              </w:rPr>
            </w:pPr>
            <w:r w:rsidRPr="00072E8F">
              <w:rPr>
                <w:rFonts w:ascii="Calibri" w:eastAsia="Times New Roman" w:hAnsi="Calibri" w:cs="Calibri"/>
                <w:b/>
                <w:bCs/>
                <w:color w:val="FFFFFF"/>
                <w:lang w:eastAsia="en-GB"/>
              </w:rPr>
              <w:t>M</w:t>
            </w:r>
          </w:p>
        </w:tc>
        <w:tc>
          <w:tcPr>
            <w:tcW w:w="582" w:type="pct"/>
            <w:vMerge/>
            <w:tcBorders>
              <w:left w:val="nil"/>
              <w:bottom w:val="single" w:sz="4" w:space="0" w:color="auto"/>
              <w:right w:val="single" w:sz="4" w:space="0" w:color="auto"/>
            </w:tcBorders>
            <w:shd w:val="clear" w:color="000000" w:fill="92D050"/>
            <w:noWrap/>
            <w:vAlign w:val="center"/>
            <w:hideMark/>
          </w:tcPr>
          <w:p w14:paraId="50913BE0" w14:textId="38EFECDE" w:rsidR="004E40A2" w:rsidRPr="00072E8F" w:rsidRDefault="004E40A2" w:rsidP="004E40A2">
            <w:pPr>
              <w:spacing w:after="0" w:line="240" w:lineRule="auto"/>
              <w:jc w:val="center"/>
              <w:rPr>
                <w:rFonts w:ascii="Calibri" w:eastAsia="Times New Roman" w:hAnsi="Calibri" w:cs="Calibri"/>
                <w:b/>
                <w:bCs/>
                <w:color w:val="FFFFFF"/>
                <w:lang w:eastAsia="en-GB"/>
              </w:rPr>
            </w:pPr>
          </w:p>
        </w:tc>
        <w:tc>
          <w:tcPr>
            <w:tcW w:w="1367" w:type="pct"/>
            <w:vMerge/>
            <w:tcBorders>
              <w:top w:val="single" w:sz="4" w:space="0" w:color="auto"/>
              <w:left w:val="single" w:sz="4" w:space="0" w:color="auto"/>
              <w:bottom w:val="single" w:sz="4" w:space="0" w:color="auto"/>
              <w:right w:val="single" w:sz="4" w:space="0" w:color="auto"/>
            </w:tcBorders>
            <w:hideMark/>
          </w:tcPr>
          <w:p w14:paraId="6EB2D5F1" w14:textId="77777777" w:rsidR="004E40A2" w:rsidRPr="00072E8F" w:rsidRDefault="004E40A2" w:rsidP="00A02697">
            <w:pPr>
              <w:spacing w:after="0" w:line="240" w:lineRule="auto"/>
              <w:rPr>
                <w:rFonts w:ascii="Calibri" w:eastAsia="Times New Roman" w:hAnsi="Calibri" w:cs="Calibri"/>
                <w:b/>
                <w:bCs/>
                <w:color w:val="FFFFFF"/>
                <w:lang w:eastAsia="en-GB"/>
              </w:rPr>
            </w:pPr>
          </w:p>
        </w:tc>
      </w:tr>
      <w:tr w:rsidR="00A02697" w:rsidRPr="00A5667B" w14:paraId="0AA518F9"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1FB7E95E"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Farming, forestry, hunting, fishing</w:t>
            </w:r>
          </w:p>
        </w:tc>
        <w:tc>
          <w:tcPr>
            <w:tcW w:w="536" w:type="pct"/>
            <w:tcBorders>
              <w:top w:val="nil"/>
              <w:left w:val="nil"/>
              <w:bottom w:val="single" w:sz="4" w:space="0" w:color="auto"/>
              <w:right w:val="single" w:sz="4" w:space="0" w:color="auto"/>
            </w:tcBorders>
            <w:shd w:val="clear" w:color="auto" w:fill="auto"/>
            <w:noWrap/>
            <w:hideMark/>
          </w:tcPr>
          <w:p w14:paraId="6D807AFC"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360</w:t>
            </w:r>
          </w:p>
        </w:tc>
        <w:tc>
          <w:tcPr>
            <w:tcW w:w="537" w:type="pct"/>
            <w:tcBorders>
              <w:top w:val="nil"/>
              <w:left w:val="nil"/>
              <w:bottom w:val="single" w:sz="4" w:space="0" w:color="auto"/>
              <w:right w:val="single" w:sz="4" w:space="0" w:color="auto"/>
            </w:tcBorders>
            <w:shd w:val="clear" w:color="auto" w:fill="auto"/>
            <w:noWrap/>
            <w:hideMark/>
          </w:tcPr>
          <w:p w14:paraId="74FB0C7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1269</w:t>
            </w:r>
          </w:p>
        </w:tc>
        <w:tc>
          <w:tcPr>
            <w:tcW w:w="582" w:type="pct"/>
            <w:tcBorders>
              <w:top w:val="nil"/>
              <w:left w:val="nil"/>
              <w:bottom w:val="single" w:sz="4" w:space="0" w:color="auto"/>
              <w:right w:val="single" w:sz="4" w:space="0" w:color="auto"/>
            </w:tcBorders>
            <w:shd w:val="clear" w:color="auto" w:fill="auto"/>
            <w:noWrap/>
            <w:hideMark/>
          </w:tcPr>
          <w:p w14:paraId="5E19C888"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0.28</w:t>
            </w:r>
          </w:p>
        </w:tc>
        <w:tc>
          <w:tcPr>
            <w:tcW w:w="1367" w:type="pct"/>
            <w:tcBorders>
              <w:top w:val="nil"/>
              <w:left w:val="nil"/>
              <w:bottom w:val="single" w:sz="4" w:space="0" w:color="auto"/>
              <w:right w:val="single" w:sz="4" w:space="0" w:color="auto"/>
            </w:tcBorders>
            <w:shd w:val="clear" w:color="auto" w:fill="auto"/>
            <w:noWrap/>
            <w:hideMark/>
          </w:tcPr>
          <w:p w14:paraId="1E2EF62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0.19</w:t>
            </w:r>
          </w:p>
        </w:tc>
      </w:tr>
      <w:tr w:rsidR="00A02697" w:rsidRPr="00A5667B" w14:paraId="65D77B45"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7ABBB8C8"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Manufacturing and extraction</w:t>
            </w:r>
          </w:p>
        </w:tc>
        <w:tc>
          <w:tcPr>
            <w:tcW w:w="536" w:type="pct"/>
            <w:tcBorders>
              <w:top w:val="nil"/>
              <w:left w:val="nil"/>
              <w:bottom w:val="single" w:sz="4" w:space="0" w:color="auto"/>
              <w:right w:val="single" w:sz="4" w:space="0" w:color="auto"/>
            </w:tcBorders>
            <w:shd w:val="clear" w:color="auto" w:fill="auto"/>
            <w:noWrap/>
            <w:hideMark/>
          </w:tcPr>
          <w:p w14:paraId="0EACD6EE"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352</w:t>
            </w:r>
          </w:p>
        </w:tc>
        <w:tc>
          <w:tcPr>
            <w:tcW w:w="537" w:type="pct"/>
            <w:tcBorders>
              <w:top w:val="nil"/>
              <w:left w:val="nil"/>
              <w:bottom w:val="single" w:sz="4" w:space="0" w:color="auto"/>
              <w:right w:val="single" w:sz="4" w:space="0" w:color="auto"/>
            </w:tcBorders>
            <w:shd w:val="clear" w:color="auto" w:fill="auto"/>
            <w:noWrap/>
            <w:hideMark/>
          </w:tcPr>
          <w:p w14:paraId="17BE2F1F"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1314</w:t>
            </w:r>
          </w:p>
        </w:tc>
        <w:tc>
          <w:tcPr>
            <w:tcW w:w="582" w:type="pct"/>
            <w:tcBorders>
              <w:top w:val="nil"/>
              <w:left w:val="nil"/>
              <w:bottom w:val="single" w:sz="4" w:space="0" w:color="auto"/>
              <w:right w:val="single" w:sz="4" w:space="0" w:color="auto"/>
            </w:tcBorders>
            <w:shd w:val="clear" w:color="auto" w:fill="auto"/>
            <w:noWrap/>
            <w:hideMark/>
          </w:tcPr>
          <w:p w14:paraId="762276C0"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0.27</w:t>
            </w:r>
          </w:p>
        </w:tc>
        <w:tc>
          <w:tcPr>
            <w:tcW w:w="1367" w:type="pct"/>
            <w:tcBorders>
              <w:top w:val="nil"/>
              <w:left w:val="nil"/>
              <w:bottom w:val="single" w:sz="4" w:space="0" w:color="auto"/>
              <w:right w:val="single" w:sz="4" w:space="0" w:color="auto"/>
            </w:tcBorders>
            <w:shd w:val="clear" w:color="auto" w:fill="auto"/>
            <w:noWrap/>
            <w:hideMark/>
          </w:tcPr>
          <w:p w14:paraId="23329053"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0.18</w:t>
            </w:r>
          </w:p>
        </w:tc>
      </w:tr>
      <w:tr w:rsidR="00A02697" w:rsidRPr="00A5667B" w14:paraId="14B9B2BA"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16A0EBF9"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Energy supply; environmental activities</w:t>
            </w:r>
          </w:p>
        </w:tc>
        <w:tc>
          <w:tcPr>
            <w:tcW w:w="536" w:type="pct"/>
            <w:tcBorders>
              <w:top w:val="nil"/>
              <w:left w:val="nil"/>
              <w:bottom w:val="single" w:sz="4" w:space="0" w:color="auto"/>
              <w:right w:val="single" w:sz="4" w:space="0" w:color="auto"/>
            </w:tcBorders>
            <w:shd w:val="clear" w:color="auto" w:fill="auto"/>
            <w:noWrap/>
            <w:hideMark/>
          </w:tcPr>
          <w:p w14:paraId="36896422"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53</w:t>
            </w:r>
          </w:p>
        </w:tc>
        <w:tc>
          <w:tcPr>
            <w:tcW w:w="537" w:type="pct"/>
            <w:tcBorders>
              <w:top w:val="nil"/>
              <w:left w:val="nil"/>
              <w:bottom w:val="single" w:sz="4" w:space="0" w:color="auto"/>
              <w:right w:val="single" w:sz="4" w:space="0" w:color="auto"/>
            </w:tcBorders>
            <w:shd w:val="clear" w:color="auto" w:fill="auto"/>
            <w:noWrap/>
            <w:hideMark/>
          </w:tcPr>
          <w:p w14:paraId="4FD33A6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182</w:t>
            </w:r>
          </w:p>
        </w:tc>
        <w:tc>
          <w:tcPr>
            <w:tcW w:w="582" w:type="pct"/>
            <w:tcBorders>
              <w:top w:val="nil"/>
              <w:left w:val="nil"/>
              <w:bottom w:val="single" w:sz="4" w:space="0" w:color="auto"/>
              <w:right w:val="single" w:sz="4" w:space="0" w:color="auto"/>
            </w:tcBorders>
            <w:shd w:val="clear" w:color="auto" w:fill="auto"/>
            <w:noWrap/>
            <w:hideMark/>
          </w:tcPr>
          <w:p w14:paraId="75754BC6"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0.29</w:t>
            </w:r>
          </w:p>
        </w:tc>
        <w:tc>
          <w:tcPr>
            <w:tcW w:w="1367" w:type="pct"/>
            <w:tcBorders>
              <w:top w:val="nil"/>
              <w:left w:val="nil"/>
              <w:bottom w:val="single" w:sz="4" w:space="0" w:color="auto"/>
              <w:right w:val="single" w:sz="4" w:space="0" w:color="auto"/>
            </w:tcBorders>
            <w:shd w:val="clear" w:color="auto" w:fill="auto"/>
            <w:noWrap/>
            <w:hideMark/>
          </w:tcPr>
          <w:p w14:paraId="2FE8E584"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0.20</w:t>
            </w:r>
          </w:p>
        </w:tc>
      </w:tr>
      <w:tr w:rsidR="00A02697" w:rsidRPr="00A5667B" w14:paraId="2E034BF7"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330A3EC5"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Construction</w:t>
            </w:r>
          </w:p>
        </w:tc>
        <w:tc>
          <w:tcPr>
            <w:tcW w:w="536" w:type="pct"/>
            <w:tcBorders>
              <w:top w:val="nil"/>
              <w:left w:val="nil"/>
              <w:bottom w:val="single" w:sz="4" w:space="0" w:color="auto"/>
              <w:right w:val="single" w:sz="4" w:space="0" w:color="auto"/>
            </w:tcBorders>
            <w:shd w:val="clear" w:color="auto" w:fill="auto"/>
            <w:noWrap/>
            <w:hideMark/>
          </w:tcPr>
          <w:p w14:paraId="2B16E40F"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194</w:t>
            </w:r>
          </w:p>
        </w:tc>
        <w:tc>
          <w:tcPr>
            <w:tcW w:w="537" w:type="pct"/>
            <w:tcBorders>
              <w:top w:val="nil"/>
              <w:left w:val="nil"/>
              <w:bottom w:val="single" w:sz="4" w:space="0" w:color="auto"/>
              <w:right w:val="single" w:sz="4" w:space="0" w:color="auto"/>
            </w:tcBorders>
            <w:shd w:val="clear" w:color="auto" w:fill="auto"/>
            <w:noWrap/>
            <w:hideMark/>
          </w:tcPr>
          <w:p w14:paraId="2837DAC8"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2290</w:t>
            </w:r>
          </w:p>
        </w:tc>
        <w:tc>
          <w:tcPr>
            <w:tcW w:w="582" w:type="pct"/>
            <w:tcBorders>
              <w:top w:val="nil"/>
              <w:left w:val="nil"/>
              <w:bottom w:val="single" w:sz="4" w:space="0" w:color="auto"/>
              <w:right w:val="single" w:sz="4" w:space="0" w:color="auto"/>
            </w:tcBorders>
            <w:shd w:val="clear" w:color="auto" w:fill="auto"/>
            <w:noWrap/>
            <w:hideMark/>
          </w:tcPr>
          <w:p w14:paraId="01D1018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0.08</w:t>
            </w:r>
          </w:p>
        </w:tc>
        <w:tc>
          <w:tcPr>
            <w:tcW w:w="1367" w:type="pct"/>
            <w:tcBorders>
              <w:top w:val="nil"/>
              <w:left w:val="nil"/>
              <w:bottom w:val="single" w:sz="4" w:space="0" w:color="auto"/>
              <w:right w:val="single" w:sz="4" w:space="0" w:color="auto"/>
            </w:tcBorders>
            <w:shd w:val="clear" w:color="auto" w:fill="auto"/>
            <w:noWrap/>
            <w:hideMark/>
          </w:tcPr>
          <w:p w14:paraId="4A3352FB"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0.06</w:t>
            </w:r>
          </w:p>
        </w:tc>
      </w:tr>
      <w:tr w:rsidR="00A02697" w:rsidRPr="00A5667B" w14:paraId="638F14BC"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4F8618F9"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Sales</w:t>
            </w:r>
          </w:p>
        </w:tc>
        <w:tc>
          <w:tcPr>
            <w:tcW w:w="536" w:type="pct"/>
            <w:tcBorders>
              <w:top w:val="nil"/>
              <w:left w:val="nil"/>
              <w:bottom w:val="single" w:sz="4" w:space="0" w:color="auto"/>
              <w:right w:val="single" w:sz="4" w:space="0" w:color="auto"/>
            </w:tcBorders>
            <w:shd w:val="clear" w:color="auto" w:fill="auto"/>
            <w:noWrap/>
            <w:hideMark/>
          </w:tcPr>
          <w:p w14:paraId="6678E4EB"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1226</w:t>
            </w:r>
          </w:p>
        </w:tc>
        <w:tc>
          <w:tcPr>
            <w:tcW w:w="537" w:type="pct"/>
            <w:tcBorders>
              <w:top w:val="nil"/>
              <w:left w:val="nil"/>
              <w:bottom w:val="single" w:sz="4" w:space="0" w:color="auto"/>
              <w:right w:val="single" w:sz="4" w:space="0" w:color="auto"/>
            </w:tcBorders>
            <w:shd w:val="clear" w:color="auto" w:fill="auto"/>
            <w:noWrap/>
            <w:hideMark/>
          </w:tcPr>
          <w:p w14:paraId="46F2EAC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1369</w:t>
            </w:r>
          </w:p>
        </w:tc>
        <w:tc>
          <w:tcPr>
            <w:tcW w:w="582" w:type="pct"/>
            <w:tcBorders>
              <w:top w:val="nil"/>
              <w:left w:val="nil"/>
              <w:bottom w:val="single" w:sz="4" w:space="0" w:color="auto"/>
              <w:right w:val="single" w:sz="4" w:space="0" w:color="auto"/>
            </w:tcBorders>
            <w:shd w:val="clear" w:color="auto" w:fill="auto"/>
            <w:noWrap/>
            <w:hideMark/>
          </w:tcPr>
          <w:p w14:paraId="7024D0B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0.90</w:t>
            </w:r>
          </w:p>
        </w:tc>
        <w:tc>
          <w:tcPr>
            <w:tcW w:w="1367" w:type="pct"/>
            <w:tcBorders>
              <w:top w:val="nil"/>
              <w:left w:val="nil"/>
              <w:bottom w:val="single" w:sz="4" w:space="0" w:color="auto"/>
              <w:right w:val="single" w:sz="4" w:space="0" w:color="auto"/>
            </w:tcBorders>
            <w:shd w:val="clear" w:color="auto" w:fill="auto"/>
            <w:noWrap/>
            <w:hideMark/>
          </w:tcPr>
          <w:p w14:paraId="4F67FE2E"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0.60</w:t>
            </w:r>
          </w:p>
        </w:tc>
      </w:tr>
      <w:tr w:rsidR="00A02697" w:rsidRPr="00A5667B" w14:paraId="69B127CF"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031B4AF7"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Transport and warehousing</w:t>
            </w:r>
          </w:p>
        </w:tc>
        <w:tc>
          <w:tcPr>
            <w:tcW w:w="536" w:type="pct"/>
            <w:tcBorders>
              <w:top w:val="nil"/>
              <w:left w:val="nil"/>
              <w:bottom w:val="single" w:sz="4" w:space="0" w:color="auto"/>
              <w:right w:val="single" w:sz="4" w:space="0" w:color="auto"/>
            </w:tcBorders>
            <w:shd w:val="clear" w:color="auto" w:fill="auto"/>
            <w:noWrap/>
            <w:hideMark/>
          </w:tcPr>
          <w:p w14:paraId="491790F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251</w:t>
            </w:r>
          </w:p>
        </w:tc>
        <w:tc>
          <w:tcPr>
            <w:tcW w:w="537" w:type="pct"/>
            <w:tcBorders>
              <w:top w:val="nil"/>
              <w:left w:val="nil"/>
              <w:bottom w:val="single" w:sz="4" w:space="0" w:color="auto"/>
              <w:right w:val="single" w:sz="4" w:space="0" w:color="auto"/>
            </w:tcBorders>
            <w:shd w:val="clear" w:color="auto" w:fill="auto"/>
            <w:noWrap/>
            <w:hideMark/>
          </w:tcPr>
          <w:p w14:paraId="28212628"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878</w:t>
            </w:r>
          </w:p>
        </w:tc>
        <w:tc>
          <w:tcPr>
            <w:tcW w:w="582" w:type="pct"/>
            <w:tcBorders>
              <w:top w:val="nil"/>
              <w:left w:val="nil"/>
              <w:bottom w:val="single" w:sz="4" w:space="0" w:color="auto"/>
              <w:right w:val="single" w:sz="4" w:space="0" w:color="auto"/>
            </w:tcBorders>
            <w:shd w:val="clear" w:color="auto" w:fill="auto"/>
            <w:noWrap/>
            <w:hideMark/>
          </w:tcPr>
          <w:p w14:paraId="1AC18F8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0.29</w:t>
            </w:r>
          </w:p>
        </w:tc>
        <w:tc>
          <w:tcPr>
            <w:tcW w:w="1367" w:type="pct"/>
            <w:tcBorders>
              <w:top w:val="nil"/>
              <w:left w:val="nil"/>
              <w:bottom w:val="single" w:sz="4" w:space="0" w:color="auto"/>
              <w:right w:val="single" w:sz="4" w:space="0" w:color="auto"/>
            </w:tcBorders>
            <w:shd w:val="clear" w:color="auto" w:fill="auto"/>
            <w:noWrap/>
            <w:hideMark/>
          </w:tcPr>
          <w:p w14:paraId="0EABA3A2"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0.19</w:t>
            </w:r>
          </w:p>
        </w:tc>
      </w:tr>
      <w:tr w:rsidR="00A02697" w:rsidRPr="00A5667B" w14:paraId="778DC5D4"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4C51259D"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Hotels and restaurants</w:t>
            </w:r>
          </w:p>
        </w:tc>
        <w:tc>
          <w:tcPr>
            <w:tcW w:w="536" w:type="pct"/>
            <w:tcBorders>
              <w:top w:val="nil"/>
              <w:left w:val="nil"/>
              <w:bottom w:val="single" w:sz="4" w:space="0" w:color="auto"/>
              <w:right w:val="single" w:sz="4" w:space="0" w:color="auto"/>
            </w:tcBorders>
            <w:shd w:val="clear" w:color="auto" w:fill="auto"/>
            <w:noWrap/>
            <w:hideMark/>
          </w:tcPr>
          <w:p w14:paraId="601CC3B6"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651</w:t>
            </w:r>
          </w:p>
        </w:tc>
        <w:tc>
          <w:tcPr>
            <w:tcW w:w="537" w:type="pct"/>
            <w:tcBorders>
              <w:top w:val="nil"/>
              <w:left w:val="nil"/>
              <w:bottom w:val="single" w:sz="4" w:space="0" w:color="auto"/>
              <w:right w:val="single" w:sz="4" w:space="0" w:color="auto"/>
            </w:tcBorders>
            <w:shd w:val="clear" w:color="auto" w:fill="auto"/>
            <w:noWrap/>
            <w:hideMark/>
          </w:tcPr>
          <w:p w14:paraId="4A8D087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585</w:t>
            </w:r>
          </w:p>
        </w:tc>
        <w:tc>
          <w:tcPr>
            <w:tcW w:w="582" w:type="pct"/>
            <w:tcBorders>
              <w:top w:val="nil"/>
              <w:left w:val="nil"/>
              <w:bottom w:val="single" w:sz="4" w:space="0" w:color="auto"/>
              <w:right w:val="single" w:sz="4" w:space="0" w:color="auto"/>
            </w:tcBorders>
            <w:shd w:val="clear" w:color="auto" w:fill="auto"/>
            <w:noWrap/>
            <w:hideMark/>
          </w:tcPr>
          <w:p w14:paraId="1F8B886A"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1.11</w:t>
            </w:r>
          </w:p>
        </w:tc>
        <w:tc>
          <w:tcPr>
            <w:tcW w:w="1367" w:type="pct"/>
            <w:tcBorders>
              <w:top w:val="nil"/>
              <w:left w:val="nil"/>
              <w:bottom w:val="single" w:sz="4" w:space="0" w:color="auto"/>
              <w:right w:val="single" w:sz="4" w:space="0" w:color="auto"/>
            </w:tcBorders>
            <w:shd w:val="clear" w:color="auto" w:fill="auto"/>
            <w:noWrap/>
            <w:hideMark/>
          </w:tcPr>
          <w:p w14:paraId="46FD1EA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0.75</w:t>
            </w:r>
          </w:p>
        </w:tc>
      </w:tr>
      <w:tr w:rsidR="00A02697" w:rsidRPr="00A5667B" w14:paraId="766520EB"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14EB5C11"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Information and communication</w:t>
            </w:r>
          </w:p>
        </w:tc>
        <w:tc>
          <w:tcPr>
            <w:tcW w:w="536" w:type="pct"/>
            <w:tcBorders>
              <w:top w:val="nil"/>
              <w:left w:val="nil"/>
              <w:bottom w:val="single" w:sz="4" w:space="0" w:color="auto"/>
              <w:right w:val="single" w:sz="4" w:space="0" w:color="auto"/>
            </w:tcBorders>
            <w:shd w:val="clear" w:color="auto" w:fill="auto"/>
            <w:noWrap/>
            <w:hideMark/>
          </w:tcPr>
          <w:p w14:paraId="2437AA0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100</w:t>
            </w:r>
          </w:p>
        </w:tc>
        <w:tc>
          <w:tcPr>
            <w:tcW w:w="537" w:type="pct"/>
            <w:tcBorders>
              <w:top w:val="nil"/>
              <w:left w:val="nil"/>
              <w:bottom w:val="single" w:sz="4" w:space="0" w:color="auto"/>
              <w:right w:val="single" w:sz="4" w:space="0" w:color="auto"/>
            </w:tcBorders>
            <w:shd w:val="clear" w:color="auto" w:fill="auto"/>
            <w:noWrap/>
            <w:hideMark/>
          </w:tcPr>
          <w:p w14:paraId="0681BA30"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233</w:t>
            </w:r>
          </w:p>
        </w:tc>
        <w:tc>
          <w:tcPr>
            <w:tcW w:w="582" w:type="pct"/>
            <w:tcBorders>
              <w:top w:val="nil"/>
              <w:left w:val="nil"/>
              <w:bottom w:val="single" w:sz="4" w:space="0" w:color="auto"/>
              <w:right w:val="single" w:sz="4" w:space="0" w:color="auto"/>
            </w:tcBorders>
            <w:shd w:val="clear" w:color="auto" w:fill="auto"/>
            <w:noWrap/>
            <w:hideMark/>
          </w:tcPr>
          <w:p w14:paraId="39D0846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0.43</w:t>
            </w:r>
          </w:p>
        </w:tc>
        <w:tc>
          <w:tcPr>
            <w:tcW w:w="1367" w:type="pct"/>
            <w:tcBorders>
              <w:top w:val="nil"/>
              <w:left w:val="nil"/>
              <w:bottom w:val="single" w:sz="4" w:space="0" w:color="auto"/>
              <w:right w:val="single" w:sz="4" w:space="0" w:color="auto"/>
            </w:tcBorders>
            <w:shd w:val="clear" w:color="auto" w:fill="auto"/>
            <w:noWrap/>
            <w:hideMark/>
          </w:tcPr>
          <w:p w14:paraId="0F74296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0.29</w:t>
            </w:r>
          </w:p>
        </w:tc>
      </w:tr>
      <w:tr w:rsidR="00A02697" w:rsidRPr="00A5667B" w14:paraId="7D269132"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20ACC2AC"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Finance</w:t>
            </w:r>
          </w:p>
        </w:tc>
        <w:tc>
          <w:tcPr>
            <w:tcW w:w="536" w:type="pct"/>
            <w:tcBorders>
              <w:top w:val="nil"/>
              <w:left w:val="nil"/>
              <w:bottom w:val="single" w:sz="4" w:space="0" w:color="auto"/>
              <w:right w:val="single" w:sz="4" w:space="0" w:color="auto"/>
            </w:tcBorders>
            <w:shd w:val="clear" w:color="auto" w:fill="auto"/>
            <w:noWrap/>
            <w:hideMark/>
          </w:tcPr>
          <w:p w14:paraId="1EB4F829"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345</w:t>
            </w:r>
          </w:p>
        </w:tc>
        <w:tc>
          <w:tcPr>
            <w:tcW w:w="537" w:type="pct"/>
            <w:tcBorders>
              <w:top w:val="nil"/>
              <w:left w:val="nil"/>
              <w:bottom w:val="single" w:sz="4" w:space="0" w:color="auto"/>
              <w:right w:val="single" w:sz="4" w:space="0" w:color="auto"/>
            </w:tcBorders>
            <w:shd w:val="clear" w:color="auto" w:fill="auto"/>
            <w:noWrap/>
            <w:hideMark/>
          </w:tcPr>
          <w:p w14:paraId="1FA0EEC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299</w:t>
            </w:r>
          </w:p>
        </w:tc>
        <w:tc>
          <w:tcPr>
            <w:tcW w:w="582" w:type="pct"/>
            <w:tcBorders>
              <w:top w:val="nil"/>
              <w:left w:val="nil"/>
              <w:bottom w:val="single" w:sz="4" w:space="0" w:color="auto"/>
              <w:right w:val="single" w:sz="4" w:space="0" w:color="auto"/>
            </w:tcBorders>
            <w:shd w:val="clear" w:color="auto" w:fill="auto"/>
            <w:noWrap/>
            <w:hideMark/>
          </w:tcPr>
          <w:p w14:paraId="7BF5E0E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1.15</w:t>
            </w:r>
          </w:p>
        </w:tc>
        <w:tc>
          <w:tcPr>
            <w:tcW w:w="1367" w:type="pct"/>
            <w:tcBorders>
              <w:top w:val="nil"/>
              <w:left w:val="nil"/>
              <w:bottom w:val="single" w:sz="4" w:space="0" w:color="auto"/>
              <w:right w:val="single" w:sz="4" w:space="0" w:color="auto"/>
            </w:tcBorders>
            <w:shd w:val="clear" w:color="auto" w:fill="auto"/>
            <w:noWrap/>
            <w:hideMark/>
          </w:tcPr>
          <w:p w14:paraId="22C1BAC3"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0.77</w:t>
            </w:r>
          </w:p>
        </w:tc>
      </w:tr>
      <w:tr w:rsidR="00A02697" w:rsidRPr="00A5667B" w14:paraId="0CFB1AD3"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4B9D1A82"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Real estate</w:t>
            </w:r>
          </w:p>
        </w:tc>
        <w:tc>
          <w:tcPr>
            <w:tcW w:w="536" w:type="pct"/>
            <w:tcBorders>
              <w:top w:val="nil"/>
              <w:left w:val="nil"/>
              <w:bottom w:val="single" w:sz="4" w:space="0" w:color="auto"/>
              <w:right w:val="single" w:sz="4" w:space="0" w:color="auto"/>
            </w:tcBorders>
            <w:shd w:val="clear" w:color="auto" w:fill="auto"/>
            <w:noWrap/>
            <w:hideMark/>
          </w:tcPr>
          <w:p w14:paraId="650EC41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152</w:t>
            </w:r>
          </w:p>
        </w:tc>
        <w:tc>
          <w:tcPr>
            <w:tcW w:w="537" w:type="pct"/>
            <w:tcBorders>
              <w:top w:val="nil"/>
              <w:left w:val="nil"/>
              <w:bottom w:val="single" w:sz="4" w:space="0" w:color="auto"/>
              <w:right w:val="single" w:sz="4" w:space="0" w:color="auto"/>
            </w:tcBorders>
            <w:shd w:val="clear" w:color="auto" w:fill="auto"/>
            <w:noWrap/>
            <w:hideMark/>
          </w:tcPr>
          <w:p w14:paraId="0284AE06"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306</w:t>
            </w:r>
          </w:p>
        </w:tc>
        <w:tc>
          <w:tcPr>
            <w:tcW w:w="582" w:type="pct"/>
            <w:tcBorders>
              <w:top w:val="nil"/>
              <w:left w:val="nil"/>
              <w:bottom w:val="single" w:sz="4" w:space="0" w:color="auto"/>
              <w:right w:val="single" w:sz="4" w:space="0" w:color="auto"/>
            </w:tcBorders>
            <w:shd w:val="clear" w:color="auto" w:fill="auto"/>
            <w:noWrap/>
            <w:hideMark/>
          </w:tcPr>
          <w:p w14:paraId="3714DA99"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0.50</w:t>
            </w:r>
          </w:p>
        </w:tc>
        <w:tc>
          <w:tcPr>
            <w:tcW w:w="1367" w:type="pct"/>
            <w:tcBorders>
              <w:top w:val="nil"/>
              <w:left w:val="nil"/>
              <w:bottom w:val="single" w:sz="4" w:space="0" w:color="auto"/>
              <w:right w:val="single" w:sz="4" w:space="0" w:color="auto"/>
            </w:tcBorders>
            <w:shd w:val="clear" w:color="auto" w:fill="auto"/>
            <w:noWrap/>
            <w:hideMark/>
          </w:tcPr>
          <w:p w14:paraId="3612DED3"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0.33</w:t>
            </w:r>
          </w:p>
        </w:tc>
      </w:tr>
      <w:tr w:rsidR="00A02697" w:rsidRPr="00A5667B" w14:paraId="299C9AFC"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1840BFC9"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Business services</w:t>
            </w:r>
          </w:p>
        </w:tc>
        <w:tc>
          <w:tcPr>
            <w:tcW w:w="536" w:type="pct"/>
            <w:tcBorders>
              <w:top w:val="nil"/>
              <w:left w:val="nil"/>
              <w:bottom w:val="single" w:sz="4" w:space="0" w:color="auto"/>
              <w:right w:val="single" w:sz="4" w:space="0" w:color="auto"/>
            </w:tcBorders>
            <w:shd w:val="clear" w:color="auto" w:fill="auto"/>
            <w:noWrap/>
            <w:hideMark/>
          </w:tcPr>
          <w:p w14:paraId="070A3F2A"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799</w:t>
            </w:r>
          </w:p>
        </w:tc>
        <w:tc>
          <w:tcPr>
            <w:tcW w:w="537" w:type="pct"/>
            <w:tcBorders>
              <w:top w:val="nil"/>
              <w:left w:val="nil"/>
              <w:bottom w:val="single" w:sz="4" w:space="0" w:color="auto"/>
              <w:right w:val="single" w:sz="4" w:space="0" w:color="auto"/>
            </w:tcBorders>
            <w:shd w:val="clear" w:color="auto" w:fill="auto"/>
            <w:noWrap/>
            <w:hideMark/>
          </w:tcPr>
          <w:p w14:paraId="2F25EA20"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1018</w:t>
            </w:r>
          </w:p>
        </w:tc>
        <w:tc>
          <w:tcPr>
            <w:tcW w:w="582" w:type="pct"/>
            <w:tcBorders>
              <w:top w:val="nil"/>
              <w:left w:val="nil"/>
              <w:bottom w:val="single" w:sz="4" w:space="0" w:color="auto"/>
              <w:right w:val="single" w:sz="4" w:space="0" w:color="auto"/>
            </w:tcBorders>
            <w:shd w:val="clear" w:color="auto" w:fill="auto"/>
            <w:noWrap/>
            <w:hideMark/>
          </w:tcPr>
          <w:p w14:paraId="5C93AC7C"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0.78</w:t>
            </w:r>
          </w:p>
        </w:tc>
        <w:tc>
          <w:tcPr>
            <w:tcW w:w="1367" w:type="pct"/>
            <w:tcBorders>
              <w:top w:val="nil"/>
              <w:left w:val="nil"/>
              <w:bottom w:val="single" w:sz="4" w:space="0" w:color="auto"/>
              <w:right w:val="single" w:sz="4" w:space="0" w:color="auto"/>
            </w:tcBorders>
            <w:shd w:val="clear" w:color="auto" w:fill="auto"/>
            <w:noWrap/>
            <w:hideMark/>
          </w:tcPr>
          <w:p w14:paraId="284CE93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0.53</w:t>
            </w:r>
          </w:p>
        </w:tc>
      </w:tr>
      <w:tr w:rsidR="00A02697" w:rsidRPr="00A5667B" w14:paraId="448102DE"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77F27682"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Government and military</w:t>
            </w:r>
          </w:p>
        </w:tc>
        <w:tc>
          <w:tcPr>
            <w:tcW w:w="536" w:type="pct"/>
            <w:tcBorders>
              <w:top w:val="nil"/>
              <w:left w:val="nil"/>
              <w:bottom w:val="single" w:sz="4" w:space="0" w:color="auto"/>
              <w:right w:val="single" w:sz="4" w:space="0" w:color="auto"/>
            </w:tcBorders>
            <w:shd w:val="clear" w:color="auto" w:fill="auto"/>
            <w:noWrap/>
            <w:hideMark/>
          </w:tcPr>
          <w:p w14:paraId="2BB94593"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1856</w:t>
            </w:r>
          </w:p>
        </w:tc>
        <w:tc>
          <w:tcPr>
            <w:tcW w:w="537" w:type="pct"/>
            <w:tcBorders>
              <w:top w:val="nil"/>
              <w:left w:val="nil"/>
              <w:bottom w:val="single" w:sz="4" w:space="0" w:color="auto"/>
              <w:right w:val="single" w:sz="4" w:space="0" w:color="auto"/>
            </w:tcBorders>
            <w:shd w:val="clear" w:color="auto" w:fill="auto"/>
            <w:noWrap/>
            <w:hideMark/>
          </w:tcPr>
          <w:p w14:paraId="7DAEE50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1360</w:t>
            </w:r>
          </w:p>
        </w:tc>
        <w:tc>
          <w:tcPr>
            <w:tcW w:w="582" w:type="pct"/>
            <w:tcBorders>
              <w:top w:val="nil"/>
              <w:left w:val="nil"/>
              <w:bottom w:val="single" w:sz="4" w:space="0" w:color="auto"/>
              <w:right w:val="single" w:sz="4" w:space="0" w:color="auto"/>
            </w:tcBorders>
            <w:shd w:val="clear" w:color="auto" w:fill="auto"/>
            <w:noWrap/>
            <w:hideMark/>
          </w:tcPr>
          <w:p w14:paraId="39961CF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1.36</w:t>
            </w:r>
          </w:p>
        </w:tc>
        <w:tc>
          <w:tcPr>
            <w:tcW w:w="1367" w:type="pct"/>
            <w:tcBorders>
              <w:top w:val="nil"/>
              <w:left w:val="nil"/>
              <w:bottom w:val="single" w:sz="4" w:space="0" w:color="auto"/>
              <w:right w:val="single" w:sz="4" w:space="0" w:color="auto"/>
            </w:tcBorders>
            <w:shd w:val="clear" w:color="auto" w:fill="auto"/>
            <w:noWrap/>
            <w:hideMark/>
          </w:tcPr>
          <w:p w14:paraId="4EE1B8F2"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0.91</w:t>
            </w:r>
          </w:p>
        </w:tc>
      </w:tr>
      <w:tr w:rsidR="00A02697" w:rsidRPr="00A5667B" w14:paraId="408C3320"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2457C828"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Education</w:t>
            </w:r>
          </w:p>
        </w:tc>
        <w:tc>
          <w:tcPr>
            <w:tcW w:w="536" w:type="pct"/>
            <w:tcBorders>
              <w:top w:val="nil"/>
              <w:left w:val="nil"/>
              <w:bottom w:val="single" w:sz="4" w:space="0" w:color="auto"/>
              <w:right w:val="single" w:sz="4" w:space="0" w:color="auto"/>
            </w:tcBorders>
            <w:shd w:val="clear" w:color="auto" w:fill="auto"/>
            <w:noWrap/>
            <w:hideMark/>
          </w:tcPr>
          <w:p w14:paraId="56A66146"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2159</w:t>
            </w:r>
          </w:p>
        </w:tc>
        <w:tc>
          <w:tcPr>
            <w:tcW w:w="537" w:type="pct"/>
            <w:tcBorders>
              <w:top w:val="nil"/>
              <w:left w:val="nil"/>
              <w:bottom w:val="single" w:sz="4" w:space="0" w:color="auto"/>
              <w:right w:val="single" w:sz="4" w:space="0" w:color="auto"/>
            </w:tcBorders>
            <w:shd w:val="clear" w:color="auto" w:fill="auto"/>
            <w:noWrap/>
            <w:hideMark/>
          </w:tcPr>
          <w:p w14:paraId="47EEA3DB"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752</w:t>
            </w:r>
          </w:p>
        </w:tc>
        <w:tc>
          <w:tcPr>
            <w:tcW w:w="582" w:type="pct"/>
            <w:tcBorders>
              <w:top w:val="nil"/>
              <w:left w:val="nil"/>
              <w:bottom w:val="single" w:sz="4" w:space="0" w:color="auto"/>
              <w:right w:val="single" w:sz="4" w:space="0" w:color="auto"/>
            </w:tcBorders>
            <w:shd w:val="clear" w:color="auto" w:fill="auto"/>
            <w:noWrap/>
            <w:hideMark/>
          </w:tcPr>
          <w:p w14:paraId="2910D1D7"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2.87</w:t>
            </w:r>
          </w:p>
        </w:tc>
        <w:tc>
          <w:tcPr>
            <w:tcW w:w="1367" w:type="pct"/>
            <w:tcBorders>
              <w:top w:val="nil"/>
              <w:left w:val="nil"/>
              <w:bottom w:val="single" w:sz="4" w:space="0" w:color="auto"/>
              <w:right w:val="single" w:sz="4" w:space="0" w:color="auto"/>
            </w:tcBorders>
            <w:shd w:val="clear" w:color="auto" w:fill="auto"/>
            <w:noWrap/>
            <w:hideMark/>
          </w:tcPr>
          <w:p w14:paraId="054EF150"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1.92</w:t>
            </w:r>
          </w:p>
        </w:tc>
      </w:tr>
      <w:tr w:rsidR="00A02697" w:rsidRPr="00A5667B" w14:paraId="07F2D542"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5D921AC8"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Health and welfare; social services</w:t>
            </w:r>
          </w:p>
        </w:tc>
        <w:tc>
          <w:tcPr>
            <w:tcW w:w="536" w:type="pct"/>
            <w:tcBorders>
              <w:top w:val="nil"/>
              <w:left w:val="nil"/>
              <w:bottom w:val="single" w:sz="4" w:space="0" w:color="auto"/>
              <w:right w:val="single" w:sz="4" w:space="0" w:color="auto"/>
            </w:tcBorders>
            <w:shd w:val="clear" w:color="auto" w:fill="auto"/>
            <w:noWrap/>
            <w:hideMark/>
          </w:tcPr>
          <w:p w14:paraId="491A416C"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4010</w:t>
            </w:r>
          </w:p>
        </w:tc>
        <w:tc>
          <w:tcPr>
            <w:tcW w:w="537" w:type="pct"/>
            <w:tcBorders>
              <w:top w:val="nil"/>
              <w:left w:val="nil"/>
              <w:bottom w:val="single" w:sz="4" w:space="0" w:color="auto"/>
              <w:right w:val="single" w:sz="4" w:space="0" w:color="auto"/>
            </w:tcBorders>
            <w:shd w:val="clear" w:color="auto" w:fill="auto"/>
            <w:noWrap/>
            <w:hideMark/>
          </w:tcPr>
          <w:p w14:paraId="0F4CB31D"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1050</w:t>
            </w:r>
          </w:p>
        </w:tc>
        <w:tc>
          <w:tcPr>
            <w:tcW w:w="582" w:type="pct"/>
            <w:tcBorders>
              <w:top w:val="nil"/>
              <w:left w:val="nil"/>
              <w:bottom w:val="single" w:sz="4" w:space="0" w:color="auto"/>
              <w:right w:val="single" w:sz="4" w:space="0" w:color="auto"/>
            </w:tcBorders>
            <w:shd w:val="clear" w:color="auto" w:fill="auto"/>
            <w:noWrap/>
            <w:hideMark/>
          </w:tcPr>
          <w:p w14:paraId="0C802213"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3.82</w:t>
            </w:r>
          </w:p>
        </w:tc>
        <w:tc>
          <w:tcPr>
            <w:tcW w:w="1367" w:type="pct"/>
            <w:tcBorders>
              <w:top w:val="nil"/>
              <w:left w:val="nil"/>
              <w:bottom w:val="single" w:sz="4" w:space="0" w:color="auto"/>
              <w:right w:val="single" w:sz="4" w:space="0" w:color="auto"/>
            </w:tcBorders>
            <w:shd w:val="clear" w:color="auto" w:fill="auto"/>
            <w:noWrap/>
            <w:hideMark/>
          </w:tcPr>
          <w:p w14:paraId="2AA7F1C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2.56</w:t>
            </w:r>
          </w:p>
        </w:tc>
      </w:tr>
      <w:tr w:rsidR="00A02697" w:rsidRPr="00A5667B" w14:paraId="749CAEAC" w14:textId="77777777" w:rsidTr="004E40A2">
        <w:trPr>
          <w:cantSplit/>
          <w:trHeight w:val="290"/>
        </w:trPr>
        <w:tc>
          <w:tcPr>
            <w:tcW w:w="1978" w:type="pct"/>
            <w:tcBorders>
              <w:top w:val="nil"/>
              <w:left w:val="single" w:sz="4" w:space="0" w:color="auto"/>
              <w:bottom w:val="single" w:sz="4" w:space="0" w:color="auto"/>
              <w:right w:val="single" w:sz="4" w:space="0" w:color="auto"/>
            </w:tcBorders>
            <w:shd w:val="clear" w:color="auto" w:fill="auto"/>
            <w:noWrap/>
            <w:hideMark/>
          </w:tcPr>
          <w:p w14:paraId="09EBEB6B" w14:textId="77777777" w:rsidR="00A02697" w:rsidRPr="00072E8F" w:rsidRDefault="00A02697" w:rsidP="00A02697">
            <w:pPr>
              <w:spacing w:after="0" w:line="240" w:lineRule="auto"/>
              <w:rPr>
                <w:rFonts w:ascii="Calibri" w:eastAsia="Times New Roman" w:hAnsi="Calibri" w:cs="Calibri"/>
                <w:color w:val="000000"/>
                <w:lang w:eastAsia="en-GB"/>
              </w:rPr>
            </w:pPr>
            <w:r w:rsidRPr="00072E8F">
              <w:rPr>
                <w:rFonts w:ascii="Calibri" w:eastAsia="Times New Roman" w:hAnsi="Calibri" w:cs="Calibri"/>
                <w:color w:val="000000"/>
                <w:lang w:eastAsia="en-GB"/>
              </w:rPr>
              <w:t>Cultural and personal services</w:t>
            </w:r>
          </w:p>
        </w:tc>
        <w:tc>
          <w:tcPr>
            <w:tcW w:w="536" w:type="pct"/>
            <w:tcBorders>
              <w:top w:val="nil"/>
              <w:left w:val="nil"/>
              <w:bottom w:val="single" w:sz="4" w:space="0" w:color="auto"/>
              <w:right w:val="single" w:sz="4" w:space="0" w:color="auto"/>
            </w:tcBorders>
            <w:shd w:val="clear" w:color="auto" w:fill="auto"/>
            <w:noWrap/>
            <w:hideMark/>
          </w:tcPr>
          <w:p w14:paraId="3AB32251"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848</w:t>
            </w:r>
          </w:p>
        </w:tc>
        <w:tc>
          <w:tcPr>
            <w:tcW w:w="537" w:type="pct"/>
            <w:tcBorders>
              <w:top w:val="nil"/>
              <w:left w:val="nil"/>
              <w:bottom w:val="single" w:sz="4" w:space="0" w:color="auto"/>
              <w:right w:val="single" w:sz="4" w:space="0" w:color="auto"/>
            </w:tcBorders>
            <w:shd w:val="clear" w:color="auto" w:fill="auto"/>
            <w:noWrap/>
            <w:hideMark/>
          </w:tcPr>
          <w:p w14:paraId="05384AFB"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816</w:t>
            </w:r>
          </w:p>
        </w:tc>
        <w:tc>
          <w:tcPr>
            <w:tcW w:w="582" w:type="pct"/>
            <w:tcBorders>
              <w:top w:val="nil"/>
              <w:left w:val="nil"/>
              <w:bottom w:val="single" w:sz="4" w:space="0" w:color="auto"/>
              <w:right w:val="single" w:sz="4" w:space="0" w:color="auto"/>
            </w:tcBorders>
            <w:shd w:val="clear" w:color="auto" w:fill="auto"/>
            <w:noWrap/>
            <w:hideMark/>
          </w:tcPr>
          <w:p w14:paraId="5BA13295"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1.04</w:t>
            </w:r>
          </w:p>
        </w:tc>
        <w:tc>
          <w:tcPr>
            <w:tcW w:w="1367" w:type="pct"/>
            <w:tcBorders>
              <w:top w:val="nil"/>
              <w:left w:val="nil"/>
              <w:bottom w:val="single" w:sz="4" w:space="0" w:color="auto"/>
              <w:right w:val="single" w:sz="4" w:space="0" w:color="auto"/>
            </w:tcBorders>
            <w:shd w:val="clear" w:color="auto" w:fill="auto"/>
            <w:noWrap/>
            <w:hideMark/>
          </w:tcPr>
          <w:p w14:paraId="521E6F32" w14:textId="77777777" w:rsidR="00A02697" w:rsidRPr="00072E8F" w:rsidRDefault="00A02697" w:rsidP="00A02697">
            <w:pPr>
              <w:spacing w:after="0" w:line="240" w:lineRule="auto"/>
              <w:jc w:val="center"/>
              <w:rPr>
                <w:rFonts w:ascii="Calibri" w:eastAsia="Times New Roman" w:hAnsi="Calibri" w:cs="Calibri"/>
                <w:color w:val="000000"/>
                <w:lang w:eastAsia="en-GB"/>
              </w:rPr>
            </w:pPr>
            <w:r w:rsidRPr="00072E8F">
              <w:rPr>
                <w:rFonts w:ascii="Calibri" w:eastAsia="Times New Roman" w:hAnsi="Calibri" w:cs="Calibri"/>
                <w:color w:val="000000"/>
                <w:lang w:eastAsia="en-GB"/>
              </w:rPr>
              <w:t>0.70</w:t>
            </w:r>
          </w:p>
        </w:tc>
      </w:tr>
    </w:tbl>
    <w:p w14:paraId="45C2F044" w14:textId="43FC3A15" w:rsidR="00A02697" w:rsidRPr="003B36D3" w:rsidRDefault="004E40A2" w:rsidP="00D41834">
      <w:pPr>
        <w:spacing w:line="360" w:lineRule="auto"/>
        <w:jc w:val="both"/>
        <w:rPr>
          <w:rFonts w:ascii="Arial" w:hAnsi="Arial" w:cs="Arial"/>
          <w:sz w:val="18"/>
          <w:szCs w:val="18"/>
        </w:rPr>
      </w:pPr>
      <w:r w:rsidRPr="003B36D3">
        <w:rPr>
          <w:rFonts w:ascii="Arial" w:hAnsi="Arial" w:cs="Arial"/>
          <w:sz w:val="18"/>
          <w:szCs w:val="18"/>
        </w:rPr>
        <w:t>Note: F for female, M for male</w:t>
      </w:r>
    </w:p>
    <w:p w14:paraId="682353A0" w14:textId="3ED6277E" w:rsidR="00A02697" w:rsidRPr="00A5667B" w:rsidRDefault="00324588" w:rsidP="00A02697">
      <w:pPr>
        <w:spacing w:line="360" w:lineRule="auto"/>
        <w:jc w:val="both"/>
        <w:rPr>
          <w:rFonts w:ascii="Arial" w:hAnsi="Arial" w:cs="Arial"/>
          <w:sz w:val="24"/>
          <w:szCs w:val="24"/>
        </w:rPr>
      </w:pPr>
      <w:r w:rsidRPr="00A5667B">
        <w:rPr>
          <w:rFonts w:ascii="Arial" w:hAnsi="Arial" w:cs="Arial"/>
          <w:sz w:val="24"/>
          <w:szCs w:val="24"/>
        </w:rPr>
        <w:t>T</w:t>
      </w:r>
      <w:r w:rsidR="00A02697" w:rsidRPr="00A5667B">
        <w:rPr>
          <w:rFonts w:ascii="Arial" w:hAnsi="Arial" w:cs="Arial"/>
          <w:sz w:val="24"/>
          <w:szCs w:val="24"/>
        </w:rPr>
        <w:t xml:space="preserve">he induced local economic impact per unit of energy due to the new autonomous </w:t>
      </w:r>
      <w:r w:rsidR="00A50B09" w:rsidRPr="00A5667B">
        <w:rPr>
          <w:rFonts w:ascii="Arial" w:hAnsi="Arial" w:cs="Arial"/>
          <w:sz w:val="24"/>
          <w:szCs w:val="24"/>
        </w:rPr>
        <w:t>sustainable</w:t>
      </w:r>
      <w:r w:rsidR="00A02697" w:rsidRPr="00A5667B">
        <w:rPr>
          <w:rFonts w:ascii="Arial" w:hAnsi="Arial" w:cs="Arial"/>
          <w:sz w:val="24"/>
          <w:szCs w:val="24"/>
        </w:rPr>
        <w:t xml:space="preserve"> energy infrastructure (SEI) </w:t>
      </w:r>
      <w:r w:rsidR="00163D8A" w:rsidRPr="00A5667B">
        <w:rPr>
          <w:rFonts w:ascii="Arial" w:hAnsi="Arial" w:cs="Arial"/>
          <w:sz w:val="24"/>
          <w:szCs w:val="24"/>
        </w:rPr>
        <w:t>o</w:t>
      </w:r>
      <w:r w:rsidR="00A02697" w:rsidRPr="00A5667B">
        <w:rPr>
          <w:rFonts w:ascii="Arial" w:hAnsi="Arial" w:cs="Arial"/>
          <w:sz w:val="24"/>
          <w:szCs w:val="24"/>
        </w:rPr>
        <w:t>n a particular sector in a particular island</w:t>
      </w:r>
      <w:r w:rsidRPr="00A5667B">
        <w:rPr>
          <w:rFonts w:ascii="Arial" w:hAnsi="Arial" w:cs="Arial"/>
          <w:sz w:val="24"/>
          <w:szCs w:val="24"/>
        </w:rPr>
        <w:t xml:space="preserve">, </w:t>
      </w:r>
      <w:r w:rsidR="00A02697" w:rsidRPr="00A5667B">
        <w:rPr>
          <w:rFonts w:ascii="Arial" w:hAnsi="Arial" w:cs="Arial"/>
          <w:sz w:val="24"/>
          <w:szCs w:val="24"/>
        </w:rPr>
        <w:t>can be calculat</w:t>
      </w:r>
      <w:r w:rsidRPr="00A5667B">
        <w:rPr>
          <w:rFonts w:ascii="Arial" w:hAnsi="Arial" w:cs="Arial"/>
          <w:sz w:val="24"/>
          <w:szCs w:val="24"/>
        </w:rPr>
        <w:t>ed using Equation (</w:t>
      </w:r>
      <w:r w:rsidR="00D6393B">
        <w:rPr>
          <w:rFonts w:ascii="Arial" w:hAnsi="Arial" w:cs="Arial"/>
          <w:sz w:val="24"/>
          <w:szCs w:val="24"/>
        </w:rPr>
        <w:t>5</w:t>
      </w:r>
      <w:r w:rsidRPr="00A5667B">
        <w:rPr>
          <w:rFonts w:ascii="Arial" w:hAnsi="Arial" w:cs="Arial"/>
          <w:sz w:val="24"/>
          <w:szCs w:val="24"/>
        </w:rPr>
        <w:t>)</w:t>
      </w:r>
      <w:r w:rsidR="00A02697" w:rsidRPr="00A5667B">
        <w:rPr>
          <w:rFonts w:ascii="Arial" w:hAnsi="Arial" w:cs="Arial"/>
          <w:sz w:val="24"/>
          <w:szCs w:val="24"/>
        </w:rPr>
        <w:t xml:space="preserve"> as follows:</w:t>
      </w:r>
    </w:p>
    <w:p w14:paraId="35ADD2F8" w14:textId="21A416B8" w:rsidR="00A02697" w:rsidRPr="00A5667B" w:rsidRDefault="0040561F" w:rsidP="00A02697">
      <w:pPr>
        <w:spacing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SEI</m:t>
            </m:r>
          </m:e>
          <m:sub>
            <m:r>
              <w:rPr>
                <w:rFonts w:ascii="Cambria Math" w:hAnsi="Cambria Math" w:cs="Arial"/>
                <w:sz w:val="24"/>
                <w:szCs w:val="24"/>
              </w:rPr>
              <m:t>n</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r>
          <w:rPr>
            <w:rFonts w:ascii="Cambria Math" w:hAnsi="Cambria Math" w:cs="Arial"/>
            <w:sz w:val="24"/>
            <w:szCs w:val="24"/>
          </w:rPr>
          <m:t>LCOEm</m:t>
        </m:r>
        <m:r>
          <w:rPr>
            <w:rFonts w:ascii="Cambria Math" w:hAnsi="Cambria Math" w:cs="Arial"/>
            <w:sz w:val="24"/>
            <w:szCs w:val="24"/>
          </w:rPr>
          <m:t>×</m:t>
        </m:r>
        <m:r>
          <w:rPr>
            <w:rFonts w:ascii="Cambria Math" w:hAnsi="Cambria Math" w:cs="Arial"/>
            <w:sz w:val="24"/>
            <w:szCs w:val="24"/>
          </w:rPr>
          <m:t>ICTSFm</m:t>
        </m:r>
        <m:r>
          <w:rPr>
            <w:rFonts w:ascii="Cambria Math" w:hAnsi="Cambria Math" w:cs="Arial"/>
            <w:sz w:val="24"/>
            <w:szCs w:val="24"/>
          </w:rPr>
          <m:t>×</m:t>
        </m:r>
        <m:r>
          <w:rPr>
            <w:rFonts w:ascii="Cambria Math" w:hAnsi="Cambria Math" w:cs="Arial"/>
            <w:sz w:val="24"/>
            <w:szCs w:val="24"/>
          </w:rPr>
          <m:t>KIMn</m:t>
        </m:r>
        <m:r>
          <w:rPr>
            <w:rFonts w:ascii="Cambria Math" w:hAnsi="Cambria Math" w:cs="Arial"/>
            <w:sz w:val="24"/>
            <w:szCs w:val="24"/>
          </w:rPr>
          <m:t>,</m:t>
        </m:r>
        <m:r>
          <w:rPr>
            <w:rFonts w:ascii="Cambria Math" w:hAnsi="Cambria Math" w:cs="Arial"/>
            <w:sz w:val="24"/>
            <w:szCs w:val="24"/>
          </w:rPr>
          <m:t>m</m:t>
        </m:r>
      </m:oMath>
      <w:r w:rsidR="00A02697" w:rsidRPr="00A5667B">
        <w:rPr>
          <w:rFonts w:ascii="Arial" w:hAnsi="Arial" w:cs="Arial"/>
          <w:sz w:val="24"/>
          <w:szCs w:val="24"/>
        </w:rPr>
        <w:t xml:space="preserve"> </w:t>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t>(</w:t>
      </w:r>
      <w:r w:rsidR="00D6393B">
        <w:rPr>
          <w:rFonts w:ascii="Arial" w:hAnsi="Arial" w:cs="Arial"/>
          <w:sz w:val="24"/>
          <w:szCs w:val="24"/>
        </w:rPr>
        <w:t>5</w:t>
      </w:r>
      <w:r w:rsidR="00A02697" w:rsidRPr="00A5667B">
        <w:rPr>
          <w:rFonts w:ascii="Arial" w:hAnsi="Arial" w:cs="Arial"/>
          <w:sz w:val="24"/>
          <w:szCs w:val="24"/>
        </w:rPr>
        <w:t>)</w:t>
      </w:r>
    </w:p>
    <w:p w14:paraId="10689A77" w14:textId="046C56C6" w:rsidR="00A02697" w:rsidRPr="00A5667B" w:rsidRDefault="00A02697" w:rsidP="00A02697">
      <w:pPr>
        <w:spacing w:line="360" w:lineRule="auto"/>
        <w:jc w:val="both"/>
        <w:rPr>
          <w:rFonts w:ascii="Arial" w:hAnsi="Arial" w:cs="Arial"/>
          <w:sz w:val="24"/>
          <w:szCs w:val="24"/>
        </w:rPr>
      </w:pPr>
      <w:r w:rsidRPr="00A5667B">
        <w:rPr>
          <w:rFonts w:ascii="Arial" w:hAnsi="Arial" w:cs="Arial"/>
          <w:sz w:val="24"/>
          <w:szCs w:val="24"/>
        </w:rPr>
        <w:t xml:space="preserve">where </w:t>
      </w:r>
      <w:r w:rsidRPr="00A5667B">
        <w:rPr>
          <w:rFonts w:ascii="Arial" w:hAnsi="Arial" w:cs="Arial"/>
          <w:i/>
          <w:iCs/>
          <w:sz w:val="24"/>
          <w:szCs w:val="24"/>
        </w:rPr>
        <w:t>n</w:t>
      </w:r>
      <w:r w:rsidRPr="00A5667B">
        <w:rPr>
          <w:rFonts w:ascii="Arial" w:hAnsi="Arial" w:cs="Arial"/>
          <w:sz w:val="24"/>
          <w:szCs w:val="24"/>
        </w:rPr>
        <w:t xml:space="preserve"> indicates the sector concerned, </w:t>
      </w:r>
      <w:r w:rsidRPr="00A5667B">
        <w:rPr>
          <w:rFonts w:ascii="Arial" w:hAnsi="Arial" w:cs="Arial"/>
          <w:i/>
          <w:iCs/>
          <w:sz w:val="24"/>
          <w:szCs w:val="24"/>
        </w:rPr>
        <w:t>m</w:t>
      </w:r>
      <w:r w:rsidRPr="00A5667B">
        <w:rPr>
          <w:rFonts w:ascii="Arial" w:hAnsi="Arial" w:cs="Arial"/>
          <w:sz w:val="24"/>
          <w:szCs w:val="24"/>
        </w:rPr>
        <w:t xml:space="preserve"> indicates the island concerned, </w:t>
      </w:r>
      <w:r w:rsidRPr="00A5667B">
        <w:rPr>
          <w:rFonts w:ascii="Arial" w:hAnsi="Arial" w:cs="Arial"/>
          <w:i/>
          <w:iCs/>
          <w:sz w:val="24"/>
          <w:szCs w:val="24"/>
        </w:rPr>
        <w:t>LCOE</w:t>
      </w:r>
      <w:r w:rsidRPr="00634687">
        <w:rPr>
          <w:rFonts w:ascii="Arial" w:hAnsi="Arial" w:cs="Arial"/>
          <w:i/>
          <w:iCs/>
          <w:sz w:val="24"/>
          <w:szCs w:val="24"/>
          <w:vertAlign w:val="subscript"/>
        </w:rPr>
        <w:t>m</w:t>
      </w:r>
      <w:r w:rsidRPr="00A5667B">
        <w:rPr>
          <w:rFonts w:ascii="Arial" w:hAnsi="Arial" w:cs="Arial"/>
          <w:sz w:val="24"/>
          <w:szCs w:val="24"/>
        </w:rPr>
        <w:t xml:space="preserve"> is the Leveli</w:t>
      </w:r>
      <w:r w:rsidR="00324588" w:rsidRPr="00A5667B">
        <w:rPr>
          <w:rFonts w:ascii="Arial" w:hAnsi="Arial" w:cs="Arial"/>
          <w:sz w:val="24"/>
          <w:szCs w:val="24"/>
        </w:rPr>
        <w:t>z</w:t>
      </w:r>
      <w:r w:rsidRPr="00A5667B">
        <w:rPr>
          <w:rFonts w:ascii="Arial" w:hAnsi="Arial" w:cs="Arial"/>
          <w:sz w:val="24"/>
          <w:szCs w:val="24"/>
        </w:rPr>
        <w:t xml:space="preserve">ed Cost of Energy for the island, </w:t>
      </w:r>
      <w:proofErr w:type="spellStart"/>
      <w:r w:rsidRPr="00A5667B">
        <w:rPr>
          <w:rFonts w:ascii="Arial" w:hAnsi="Arial" w:cs="Arial"/>
          <w:i/>
          <w:iCs/>
          <w:sz w:val="24"/>
          <w:szCs w:val="24"/>
        </w:rPr>
        <w:t>ICTSF</w:t>
      </w:r>
      <w:r w:rsidRPr="00634687">
        <w:rPr>
          <w:rFonts w:ascii="Arial" w:hAnsi="Arial" w:cs="Arial"/>
          <w:i/>
          <w:iCs/>
          <w:sz w:val="24"/>
          <w:szCs w:val="24"/>
          <w:vertAlign w:val="subscript"/>
        </w:rPr>
        <w:t>m</w:t>
      </w:r>
      <w:proofErr w:type="spellEnd"/>
      <w:r w:rsidRPr="00A5667B">
        <w:rPr>
          <w:rFonts w:ascii="Arial" w:hAnsi="Arial" w:cs="Arial"/>
          <w:sz w:val="24"/>
          <w:szCs w:val="24"/>
        </w:rPr>
        <w:t xml:space="preserve"> is the ICT scale up factor for the island</w:t>
      </w:r>
      <w:r w:rsidR="00163D8A" w:rsidRPr="00A5667B">
        <w:rPr>
          <w:rFonts w:ascii="Arial" w:hAnsi="Arial" w:cs="Arial"/>
          <w:sz w:val="24"/>
          <w:szCs w:val="24"/>
        </w:rPr>
        <w:t>,</w:t>
      </w:r>
      <w:r w:rsidRPr="00A5667B">
        <w:rPr>
          <w:rFonts w:ascii="Arial" w:hAnsi="Arial" w:cs="Arial"/>
          <w:sz w:val="24"/>
          <w:szCs w:val="24"/>
        </w:rPr>
        <w:t xml:space="preserve"> </w:t>
      </w:r>
      <w:r w:rsidR="004620EA" w:rsidRPr="00A5667B">
        <w:rPr>
          <w:rFonts w:ascii="Arial" w:hAnsi="Arial" w:cs="Arial"/>
          <w:sz w:val="24"/>
          <w:szCs w:val="24"/>
        </w:rPr>
        <w:t xml:space="preserve">and </w:t>
      </w:r>
      <w:proofErr w:type="spellStart"/>
      <w:proofErr w:type="gramStart"/>
      <w:r w:rsidR="004620EA" w:rsidRPr="00634687">
        <w:rPr>
          <w:rFonts w:ascii="Arial" w:hAnsi="Arial" w:cs="Arial"/>
          <w:i/>
          <w:iCs/>
          <w:sz w:val="24"/>
          <w:szCs w:val="24"/>
        </w:rPr>
        <w:t>KIM</w:t>
      </w:r>
      <w:r w:rsidR="004620EA" w:rsidRPr="00634687">
        <w:rPr>
          <w:rFonts w:ascii="Arial" w:hAnsi="Arial" w:cs="Arial"/>
          <w:i/>
          <w:iCs/>
          <w:sz w:val="24"/>
          <w:szCs w:val="24"/>
          <w:vertAlign w:val="subscript"/>
        </w:rPr>
        <w:t>n</w:t>
      </w:r>
      <w:r w:rsidRPr="00634687">
        <w:rPr>
          <w:rFonts w:ascii="Arial" w:hAnsi="Arial" w:cs="Arial"/>
          <w:i/>
          <w:iCs/>
          <w:sz w:val="24"/>
          <w:szCs w:val="24"/>
          <w:vertAlign w:val="subscript"/>
        </w:rPr>
        <w:t>,m</w:t>
      </w:r>
      <w:proofErr w:type="spellEnd"/>
      <w:proofErr w:type="gramEnd"/>
      <w:r w:rsidRPr="00A5667B">
        <w:rPr>
          <w:rFonts w:ascii="Arial" w:hAnsi="Arial" w:cs="Arial"/>
          <w:sz w:val="24"/>
          <w:szCs w:val="24"/>
        </w:rPr>
        <w:t xml:space="preserve"> is the </w:t>
      </w:r>
      <w:r w:rsidR="00550C2D">
        <w:rPr>
          <w:rFonts w:ascii="Arial" w:hAnsi="Arial" w:cs="Arial"/>
          <w:sz w:val="24"/>
          <w:szCs w:val="24"/>
        </w:rPr>
        <w:t xml:space="preserve">KIM </w:t>
      </w:r>
      <w:r w:rsidRPr="00A5667B">
        <w:rPr>
          <w:rFonts w:ascii="Arial" w:hAnsi="Arial" w:cs="Arial"/>
          <w:sz w:val="24"/>
          <w:szCs w:val="24"/>
        </w:rPr>
        <w:t xml:space="preserve">for the sector </w:t>
      </w:r>
      <w:r w:rsidR="00163D8A" w:rsidRPr="00A5667B">
        <w:rPr>
          <w:rFonts w:ascii="Arial" w:hAnsi="Arial" w:cs="Arial"/>
          <w:sz w:val="24"/>
          <w:szCs w:val="24"/>
        </w:rPr>
        <w:t>o</w:t>
      </w:r>
      <w:r w:rsidRPr="00A5667B">
        <w:rPr>
          <w:rFonts w:ascii="Arial" w:hAnsi="Arial" w:cs="Arial"/>
          <w:sz w:val="24"/>
          <w:szCs w:val="24"/>
        </w:rPr>
        <w:t>n the island.</w:t>
      </w:r>
    </w:p>
    <w:p w14:paraId="7FFFFAE3" w14:textId="3CC14BDE" w:rsidR="00A02697" w:rsidRPr="00A5667B" w:rsidRDefault="00A02697" w:rsidP="00A02697">
      <w:pPr>
        <w:spacing w:line="360" w:lineRule="auto"/>
        <w:jc w:val="both"/>
        <w:rPr>
          <w:rFonts w:ascii="Arial" w:hAnsi="Arial" w:cs="Arial"/>
          <w:sz w:val="24"/>
          <w:szCs w:val="24"/>
        </w:rPr>
      </w:pPr>
      <w:r w:rsidRPr="00A5667B">
        <w:rPr>
          <w:rFonts w:ascii="Arial" w:hAnsi="Arial" w:cs="Arial"/>
          <w:sz w:val="24"/>
          <w:szCs w:val="24"/>
        </w:rPr>
        <w:t xml:space="preserve">The impact on female waged employment can be calculated by multiplying the </w:t>
      </w:r>
      <w:r w:rsidR="00324588" w:rsidRPr="00A5667B">
        <w:rPr>
          <w:rFonts w:ascii="Arial" w:hAnsi="Arial" w:cs="Arial"/>
          <w:sz w:val="24"/>
          <w:szCs w:val="24"/>
        </w:rPr>
        <w:t>E</w:t>
      </w:r>
      <w:r w:rsidRPr="00A5667B">
        <w:rPr>
          <w:rFonts w:ascii="Arial" w:hAnsi="Arial" w:cs="Arial"/>
          <w:sz w:val="24"/>
          <w:szCs w:val="24"/>
        </w:rPr>
        <w:t xml:space="preserve">quation </w:t>
      </w:r>
      <w:r w:rsidR="00324588" w:rsidRPr="00A5667B">
        <w:rPr>
          <w:rFonts w:ascii="Arial" w:hAnsi="Arial" w:cs="Arial"/>
          <w:sz w:val="24"/>
          <w:szCs w:val="24"/>
        </w:rPr>
        <w:t>(</w:t>
      </w:r>
      <w:r w:rsidR="00D6393B">
        <w:rPr>
          <w:rFonts w:ascii="Arial" w:hAnsi="Arial" w:cs="Arial"/>
          <w:sz w:val="24"/>
          <w:szCs w:val="24"/>
        </w:rPr>
        <w:t>5</w:t>
      </w:r>
      <w:r w:rsidR="00324588" w:rsidRPr="00A5667B">
        <w:rPr>
          <w:rFonts w:ascii="Arial" w:hAnsi="Arial" w:cs="Arial"/>
          <w:sz w:val="24"/>
          <w:szCs w:val="24"/>
        </w:rPr>
        <w:t xml:space="preserve">) </w:t>
      </w:r>
      <w:r w:rsidR="00163D8A" w:rsidRPr="00A5667B">
        <w:rPr>
          <w:rFonts w:ascii="Arial" w:hAnsi="Arial" w:cs="Arial"/>
          <w:sz w:val="24"/>
          <w:szCs w:val="24"/>
        </w:rPr>
        <w:t xml:space="preserve">by </w:t>
      </w:r>
      <w:r w:rsidRPr="00A5667B">
        <w:rPr>
          <w:rFonts w:ascii="Arial" w:hAnsi="Arial" w:cs="Arial"/>
          <w:sz w:val="24"/>
          <w:szCs w:val="24"/>
        </w:rPr>
        <w:t>the GRLI for the island</w:t>
      </w:r>
      <w:r w:rsidR="00324588" w:rsidRPr="00A5667B">
        <w:rPr>
          <w:rFonts w:ascii="Arial" w:hAnsi="Arial" w:cs="Arial"/>
          <w:sz w:val="24"/>
          <w:szCs w:val="24"/>
        </w:rPr>
        <w:t>s</w:t>
      </w:r>
      <w:r w:rsidRPr="00A5667B">
        <w:rPr>
          <w:rFonts w:ascii="Arial" w:hAnsi="Arial" w:cs="Arial"/>
          <w:sz w:val="24"/>
          <w:szCs w:val="24"/>
        </w:rPr>
        <w:t xml:space="preserve">. </w:t>
      </w:r>
    </w:p>
    <w:p w14:paraId="76CAB697" w14:textId="39418355" w:rsidR="00A02697" w:rsidRPr="00A5667B" w:rsidRDefault="0040561F" w:rsidP="00A02697">
      <w:pPr>
        <w:spacing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SEI</m:t>
            </m:r>
          </m:e>
          <m:sub>
            <m:r>
              <w:rPr>
                <w:rFonts w:ascii="Cambria Math" w:hAnsi="Cambria Math" w:cs="Arial"/>
                <w:sz w:val="24"/>
                <w:szCs w:val="24"/>
              </w:rPr>
              <m:t>n</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r>
          <w:rPr>
            <w:rFonts w:ascii="Cambria Math" w:hAnsi="Cambria Math" w:cs="Arial"/>
            <w:sz w:val="24"/>
            <w:szCs w:val="24"/>
          </w:rPr>
          <m:t>F</m:t>
        </m:r>
        <m:r>
          <w:rPr>
            <w:rFonts w:ascii="Cambria Math" w:hAnsi="Cambria Math" w:cs="Arial"/>
            <w:sz w:val="24"/>
            <w:szCs w:val="24"/>
          </w:rPr>
          <m:t>)=</m:t>
        </m:r>
        <m:r>
          <w:rPr>
            <w:rFonts w:ascii="Cambria Math" w:hAnsi="Cambria Math" w:cs="Arial"/>
            <w:sz w:val="24"/>
            <w:szCs w:val="24"/>
          </w:rPr>
          <m:t>LCOEm</m:t>
        </m:r>
        <m:r>
          <w:rPr>
            <w:rFonts w:ascii="Cambria Math" w:hAnsi="Cambria Math" w:cs="Arial"/>
            <w:sz w:val="24"/>
            <w:szCs w:val="24"/>
          </w:rPr>
          <m:t>×</m:t>
        </m:r>
        <m:r>
          <w:rPr>
            <w:rFonts w:ascii="Cambria Math" w:hAnsi="Cambria Math" w:cs="Arial"/>
            <w:sz w:val="24"/>
            <w:szCs w:val="24"/>
          </w:rPr>
          <m:t>ICTSFm</m:t>
        </m:r>
        <m:r>
          <w:rPr>
            <w:rFonts w:ascii="Cambria Math" w:hAnsi="Cambria Math" w:cs="Arial"/>
            <w:sz w:val="24"/>
            <w:szCs w:val="24"/>
          </w:rPr>
          <m:t>×</m:t>
        </m:r>
        <m:r>
          <w:rPr>
            <w:rFonts w:ascii="Cambria Math" w:hAnsi="Cambria Math" w:cs="Arial"/>
            <w:sz w:val="24"/>
            <w:szCs w:val="24"/>
          </w:rPr>
          <m:t>KIMn</m:t>
        </m:r>
        <m:r>
          <w:rPr>
            <w:rFonts w:ascii="Cambria Math" w:hAnsi="Cambria Math" w:cs="Arial"/>
            <w:sz w:val="24"/>
            <w:szCs w:val="24"/>
          </w:rPr>
          <m:t>,</m:t>
        </m:r>
        <m:r>
          <w:rPr>
            <w:rFonts w:ascii="Cambria Math" w:hAnsi="Cambria Math" w:cs="Arial"/>
            <w:sz w:val="24"/>
            <w:szCs w:val="24"/>
          </w:rPr>
          <m:t>m</m:t>
        </m:r>
      </m:oMath>
      <w:r w:rsidR="00A02697" w:rsidRPr="00A5667B">
        <w:rPr>
          <w:rFonts w:ascii="Arial" w:hAnsi="Arial" w:cs="Arial"/>
          <w:sz w:val="24"/>
          <w:szCs w:val="24"/>
        </w:rPr>
        <w:t xml:space="preserve"> </w:t>
      </w:r>
      <m:oMath>
        <m:r>
          <w:rPr>
            <w:rFonts w:ascii="Cambria Math" w:hAnsi="Cambria Math" w:cs="Arial"/>
            <w:sz w:val="24"/>
            <w:szCs w:val="24"/>
          </w:rPr>
          <m:t>×</m:t>
        </m:r>
        <m:r>
          <w:rPr>
            <w:rFonts w:ascii="Cambria Math" w:hAnsi="Cambria Math" w:cs="Arial"/>
            <w:sz w:val="24"/>
            <w:szCs w:val="24"/>
          </w:rPr>
          <m:t>GRLIm</m:t>
        </m:r>
      </m:oMath>
      <w:r w:rsidR="00A02697" w:rsidRPr="00A5667B">
        <w:rPr>
          <w:rFonts w:ascii="Arial" w:hAnsi="Arial" w:cs="Arial"/>
          <w:sz w:val="24"/>
          <w:szCs w:val="24"/>
        </w:rPr>
        <w:t xml:space="preserve"> </w:t>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r>
      <w:r w:rsidR="00A02697" w:rsidRPr="00A5667B">
        <w:rPr>
          <w:rFonts w:ascii="Arial" w:hAnsi="Arial" w:cs="Arial"/>
          <w:sz w:val="24"/>
          <w:szCs w:val="24"/>
        </w:rPr>
        <w:tab/>
        <w:t>(</w:t>
      </w:r>
      <w:r w:rsidR="00D6393B">
        <w:rPr>
          <w:rFonts w:ascii="Arial" w:hAnsi="Arial" w:cs="Arial"/>
          <w:sz w:val="24"/>
          <w:szCs w:val="24"/>
        </w:rPr>
        <w:t>6</w:t>
      </w:r>
      <w:r w:rsidR="00A02697" w:rsidRPr="00A5667B">
        <w:rPr>
          <w:rFonts w:ascii="Arial" w:hAnsi="Arial" w:cs="Arial"/>
          <w:sz w:val="24"/>
          <w:szCs w:val="24"/>
        </w:rPr>
        <w:t>)</w:t>
      </w:r>
    </w:p>
    <w:p w14:paraId="45230A13" w14:textId="42B5AEF3" w:rsidR="004620EA" w:rsidRPr="00A5667B" w:rsidRDefault="00A02697" w:rsidP="00A02697">
      <w:pPr>
        <w:spacing w:line="360" w:lineRule="auto"/>
        <w:jc w:val="both"/>
        <w:rPr>
          <w:rFonts w:ascii="Arial" w:hAnsi="Arial" w:cs="Arial"/>
          <w:sz w:val="24"/>
          <w:szCs w:val="24"/>
        </w:rPr>
      </w:pPr>
      <w:r w:rsidRPr="00A5667B">
        <w:rPr>
          <w:rFonts w:ascii="Arial" w:hAnsi="Arial" w:cs="Arial"/>
          <w:sz w:val="24"/>
          <w:szCs w:val="24"/>
        </w:rPr>
        <w:t xml:space="preserve">where </w:t>
      </w:r>
      <w:r w:rsidRPr="00A5667B">
        <w:rPr>
          <w:rFonts w:ascii="Arial" w:hAnsi="Arial" w:cs="Arial"/>
          <w:i/>
          <w:iCs/>
          <w:sz w:val="24"/>
          <w:szCs w:val="24"/>
        </w:rPr>
        <w:t>GRLI</w:t>
      </w:r>
      <w:r w:rsidRPr="00A5667B">
        <w:rPr>
          <w:rFonts w:ascii="Arial" w:hAnsi="Arial" w:cs="Arial"/>
          <w:sz w:val="24"/>
          <w:szCs w:val="24"/>
        </w:rPr>
        <w:t xml:space="preserve"> is the Gender Representation in Labour Income ratio for the island concerned.</w:t>
      </w:r>
    </w:p>
    <w:p w14:paraId="6255E15F" w14:textId="28408807" w:rsidR="004620EA" w:rsidRPr="000514E3" w:rsidRDefault="004620EA" w:rsidP="004400CD">
      <w:pPr>
        <w:pStyle w:val="Heading1"/>
        <w:numPr>
          <w:ilvl w:val="0"/>
          <w:numId w:val="17"/>
        </w:numPr>
        <w:rPr>
          <w:rFonts w:ascii="Arial" w:hAnsi="Arial" w:cs="Arial"/>
          <w:sz w:val="24"/>
          <w:szCs w:val="24"/>
        </w:rPr>
      </w:pPr>
      <w:r w:rsidRPr="000514E3">
        <w:rPr>
          <w:rFonts w:ascii="Arial" w:hAnsi="Arial" w:cs="Arial"/>
          <w:sz w:val="24"/>
          <w:szCs w:val="24"/>
        </w:rPr>
        <w:t>RESULTS AND DISCUSSION</w:t>
      </w:r>
    </w:p>
    <w:p w14:paraId="2ACDD3FD" w14:textId="4D95F5CD" w:rsidR="004620EA" w:rsidRPr="00A5667B" w:rsidRDefault="00240EC8" w:rsidP="00A20A86">
      <w:pPr>
        <w:spacing w:line="360" w:lineRule="auto"/>
        <w:jc w:val="both"/>
        <w:rPr>
          <w:rFonts w:ascii="Arial" w:hAnsi="Arial" w:cs="Arial"/>
          <w:sz w:val="24"/>
          <w:szCs w:val="24"/>
        </w:rPr>
      </w:pPr>
      <w:r w:rsidRPr="00A5667B">
        <w:rPr>
          <w:rFonts w:ascii="Arial" w:hAnsi="Arial" w:cs="Arial"/>
          <w:sz w:val="24"/>
          <w:szCs w:val="24"/>
        </w:rPr>
        <w:t xml:space="preserve">The basic description of the islands and their key characteristics have been captured in </w:t>
      </w:r>
      <w:r w:rsidR="00E6064E" w:rsidRPr="00A5667B">
        <w:rPr>
          <w:rFonts w:ascii="Arial" w:hAnsi="Arial" w:cs="Arial"/>
          <w:sz w:val="24"/>
          <w:szCs w:val="24"/>
        </w:rPr>
        <w:t>T</w:t>
      </w:r>
      <w:r w:rsidRPr="00A5667B">
        <w:rPr>
          <w:rFonts w:ascii="Arial" w:hAnsi="Arial" w:cs="Arial"/>
          <w:sz w:val="24"/>
          <w:szCs w:val="24"/>
        </w:rPr>
        <w:t>able 1</w:t>
      </w:r>
      <w:r w:rsidR="00A20A86" w:rsidRPr="00A5667B">
        <w:rPr>
          <w:rFonts w:ascii="Arial" w:hAnsi="Arial" w:cs="Arial"/>
          <w:sz w:val="24"/>
          <w:szCs w:val="24"/>
        </w:rPr>
        <w:t>.</w:t>
      </w:r>
      <w:r w:rsidR="00141EE7" w:rsidRPr="00A5667B">
        <w:rPr>
          <w:rFonts w:ascii="Arial" w:hAnsi="Arial" w:cs="Arial"/>
          <w:sz w:val="24"/>
          <w:szCs w:val="24"/>
        </w:rPr>
        <w:t xml:space="preserve"> The data </w:t>
      </w:r>
      <w:r w:rsidR="001B68BB" w:rsidRPr="00A5667B">
        <w:rPr>
          <w:rFonts w:ascii="Arial" w:hAnsi="Arial" w:cs="Arial"/>
          <w:sz w:val="24"/>
          <w:szCs w:val="24"/>
        </w:rPr>
        <w:t xml:space="preserve">available for GRLI in Table </w:t>
      </w:r>
      <w:r w:rsidR="001D505C" w:rsidRPr="00A5667B">
        <w:rPr>
          <w:rFonts w:ascii="Arial" w:hAnsi="Arial" w:cs="Arial"/>
          <w:sz w:val="24"/>
          <w:szCs w:val="24"/>
        </w:rPr>
        <w:t xml:space="preserve">2 </w:t>
      </w:r>
      <w:r w:rsidR="00694C78">
        <w:rPr>
          <w:rFonts w:ascii="Arial" w:hAnsi="Arial" w:cs="Arial"/>
          <w:sz w:val="24"/>
          <w:szCs w:val="24"/>
        </w:rPr>
        <w:t xml:space="preserve">collated from different national and international sources </w:t>
      </w:r>
      <w:r w:rsidR="001B68BB" w:rsidRPr="00A5667B">
        <w:rPr>
          <w:rFonts w:ascii="Arial" w:hAnsi="Arial" w:cs="Arial"/>
          <w:sz w:val="24"/>
          <w:szCs w:val="24"/>
        </w:rPr>
        <w:t>may have skewed some of the results</w:t>
      </w:r>
      <w:r w:rsidR="001D505C" w:rsidRPr="00A5667B">
        <w:rPr>
          <w:rFonts w:ascii="Arial" w:hAnsi="Arial" w:cs="Arial"/>
          <w:sz w:val="24"/>
          <w:szCs w:val="24"/>
        </w:rPr>
        <w:t xml:space="preserve"> of these analys</w:t>
      </w:r>
      <w:r w:rsidR="008E2A7F" w:rsidRPr="00A5667B">
        <w:rPr>
          <w:rFonts w:ascii="Arial" w:hAnsi="Arial" w:cs="Arial"/>
          <w:sz w:val="24"/>
          <w:szCs w:val="24"/>
        </w:rPr>
        <w:t>e</w:t>
      </w:r>
      <w:r w:rsidR="001D505C" w:rsidRPr="00A5667B">
        <w:rPr>
          <w:rFonts w:ascii="Arial" w:hAnsi="Arial" w:cs="Arial"/>
          <w:sz w:val="24"/>
          <w:szCs w:val="24"/>
        </w:rPr>
        <w:t>s</w:t>
      </w:r>
      <w:r w:rsidR="00E07986">
        <w:rPr>
          <w:rFonts w:ascii="Arial" w:hAnsi="Arial" w:cs="Arial"/>
          <w:sz w:val="24"/>
          <w:szCs w:val="24"/>
        </w:rPr>
        <w:t xml:space="preserve"> if they are</w:t>
      </w:r>
      <w:r w:rsidR="006E334A">
        <w:rPr>
          <w:rFonts w:ascii="Arial" w:hAnsi="Arial" w:cs="Arial"/>
          <w:sz w:val="24"/>
          <w:szCs w:val="24"/>
        </w:rPr>
        <w:t xml:space="preserve"> not</w:t>
      </w:r>
      <w:r w:rsidR="00E07986">
        <w:rPr>
          <w:rFonts w:ascii="Arial" w:hAnsi="Arial" w:cs="Arial"/>
          <w:sz w:val="24"/>
          <w:szCs w:val="24"/>
        </w:rPr>
        <w:t xml:space="preserve"> entirely representative</w:t>
      </w:r>
      <w:r w:rsidR="001D505C" w:rsidRPr="00A5667B">
        <w:rPr>
          <w:rFonts w:ascii="Arial" w:hAnsi="Arial" w:cs="Arial"/>
          <w:sz w:val="24"/>
          <w:szCs w:val="24"/>
        </w:rPr>
        <w:t>.</w:t>
      </w:r>
    </w:p>
    <w:p w14:paraId="3ADB1E5A" w14:textId="29DFDD0A" w:rsidR="00240EC8" w:rsidRPr="00F86BC9" w:rsidRDefault="00F86BC9" w:rsidP="006D76C0">
      <w:pPr>
        <w:pStyle w:val="Heading2"/>
        <w:ind w:firstLine="720"/>
      </w:pPr>
      <w:r w:rsidRPr="000514E3">
        <w:rPr>
          <w:rFonts w:ascii="Arial" w:hAnsi="Arial" w:cs="Arial"/>
          <w:sz w:val="24"/>
          <w:szCs w:val="24"/>
        </w:rPr>
        <w:t>5.1</w:t>
      </w:r>
      <w:r>
        <w:t xml:space="preserve"> </w:t>
      </w:r>
      <w:r w:rsidR="005B158B" w:rsidRPr="000514E3">
        <w:rPr>
          <w:rFonts w:ascii="Arial" w:hAnsi="Arial" w:cs="Arial"/>
          <w:sz w:val="24"/>
          <w:szCs w:val="24"/>
        </w:rPr>
        <w:t>La Grac</w:t>
      </w:r>
      <w:r w:rsidR="005D253B" w:rsidRPr="000514E3">
        <w:rPr>
          <w:rFonts w:ascii="Arial" w:hAnsi="Arial" w:cs="Arial"/>
          <w:sz w:val="24"/>
          <w:szCs w:val="24"/>
        </w:rPr>
        <w:t>iosa, Spain</w:t>
      </w:r>
    </w:p>
    <w:p w14:paraId="73F398B9" w14:textId="47AF173A" w:rsidR="00240EC8" w:rsidRPr="00A5667B" w:rsidRDefault="000D239B" w:rsidP="00A20A86">
      <w:pPr>
        <w:spacing w:line="360" w:lineRule="auto"/>
        <w:jc w:val="both"/>
        <w:rPr>
          <w:rFonts w:ascii="Arial" w:hAnsi="Arial" w:cs="Arial"/>
          <w:sz w:val="24"/>
          <w:szCs w:val="24"/>
        </w:rPr>
      </w:pPr>
      <w:bookmarkStart w:id="4" w:name="_Hlk104430180"/>
      <w:r w:rsidRPr="00A5667B">
        <w:rPr>
          <w:rFonts w:ascii="Arial" w:hAnsi="Arial" w:cs="Arial"/>
          <w:sz w:val="24"/>
          <w:szCs w:val="24"/>
        </w:rPr>
        <w:t>Th</w:t>
      </w:r>
      <w:r w:rsidR="00DD1CE7">
        <w:rPr>
          <w:rFonts w:ascii="Arial" w:hAnsi="Arial" w:cs="Arial"/>
          <w:sz w:val="24"/>
          <w:szCs w:val="24"/>
        </w:rPr>
        <w:t xml:space="preserve">e key </w:t>
      </w:r>
      <w:r w:rsidR="00851F4E">
        <w:rPr>
          <w:rFonts w:ascii="Arial" w:hAnsi="Arial" w:cs="Arial"/>
          <w:sz w:val="24"/>
          <w:szCs w:val="24"/>
        </w:rPr>
        <w:t>characteristics</w:t>
      </w:r>
      <w:r w:rsidR="00DD1CE7">
        <w:rPr>
          <w:rFonts w:ascii="Arial" w:hAnsi="Arial" w:cs="Arial"/>
          <w:sz w:val="24"/>
          <w:szCs w:val="24"/>
        </w:rPr>
        <w:t xml:space="preserve"> and </w:t>
      </w:r>
      <w:r w:rsidR="00290D95">
        <w:rPr>
          <w:rFonts w:ascii="Arial" w:hAnsi="Arial" w:cs="Arial"/>
          <w:sz w:val="24"/>
          <w:szCs w:val="24"/>
        </w:rPr>
        <w:t xml:space="preserve">preferred </w:t>
      </w:r>
      <w:r w:rsidR="00DD1CE7">
        <w:rPr>
          <w:rFonts w:ascii="Arial" w:hAnsi="Arial" w:cs="Arial"/>
          <w:sz w:val="24"/>
          <w:szCs w:val="24"/>
        </w:rPr>
        <w:t>energy scen</w:t>
      </w:r>
      <w:r w:rsidR="00851F4E">
        <w:rPr>
          <w:rFonts w:ascii="Arial" w:hAnsi="Arial" w:cs="Arial"/>
          <w:sz w:val="24"/>
          <w:szCs w:val="24"/>
        </w:rPr>
        <w:t xml:space="preserve">ario of this island is as shown in Table </w:t>
      </w:r>
      <w:r w:rsidR="00290D95">
        <w:rPr>
          <w:rFonts w:ascii="Arial" w:hAnsi="Arial" w:cs="Arial"/>
          <w:sz w:val="24"/>
          <w:szCs w:val="24"/>
        </w:rPr>
        <w:t>1.</w:t>
      </w:r>
      <w:r w:rsidR="004723AB" w:rsidRPr="00A5667B">
        <w:rPr>
          <w:rFonts w:ascii="Arial" w:hAnsi="Arial" w:cs="Arial"/>
          <w:sz w:val="24"/>
          <w:szCs w:val="24"/>
        </w:rPr>
        <w:t xml:space="preserve"> </w:t>
      </w:r>
      <w:bookmarkEnd w:id="4"/>
      <w:r w:rsidR="00A20A86" w:rsidRPr="00A5667B">
        <w:rPr>
          <w:rFonts w:ascii="Arial" w:hAnsi="Arial" w:cs="Arial"/>
          <w:sz w:val="24"/>
          <w:szCs w:val="24"/>
        </w:rPr>
        <w:t xml:space="preserve">Due to the size and low population of the island, specialist contractors from outside the local economy will be required </w:t>
      </w:r>
      <w:r w:rsidR="008E2A7F" w:rsidRPr="00A5667B">
        <w:rPr>
          <w:rFonts w:ascii="Arial" w:hAnsi="Arial" w:cs="Arial"/>
          <w:sz w:val="24"/>
          <w:szCs w:val="24"/>
        </w:rPr>
        <w:t>to</w:t>
      </w:r>
      <w:r w:rsidR="00A20A86" w:rsidRPr="00A5667B">
        <w:rPr>
          <w:rFonts w:ascii="Arial" w:hAnsi="Arial" w:cs="Arial"/>
          <w:sz w:val="24"/>
          <w:szCs w:val="24"/>
        </w:rPr>
        <w:t xml:space="preserve"> </w:t>
      </w:r>
      <w:r w:rsidR="00FD44F7">
        <w:rPr>
          <w:rFonts w:ascii="Arial" w:hAnsi="Arial" w:cs="Arial"/>
          <w:sz w:val="24"/>
          <w:szCs w:val="24"/>
        </w:rPr>
        <w:t xml:space="preserve">construct and </w:t>
      </w:r>
      <w:r w:rsidR="00A20A86" w:rsidRPr="00A5667B">
        <w:rPr>
          <w:rFonts w:ascii="Arial" w:hAnsi="Arial" w:cs="Arial"/>
          <w:sz w:val="24"/>
          <w:szCs w:val="24"/>
        </w:rPr>
        <w:t xml:space="preserve">install the RES facility. </w:t>
      </w:r>
      <w:r w:rsidR="008E2A7F" w:rsidRPr="00A5667B">
        <w:rPr>
          <w:rFonts w:ascii="Arial" w:hAnsi="Arial" w:cs="Arial"/>
          <w:sz w:val="24"/>
          <w:szCs w:val="24"/>
        </w:rPr>
        <w:t>T</w:t>
      </w:r>
      <w:r w:rsidR="00A20A86" w:rsidRPr="00A5667B">
        <w:rPr>
          <w:rFonts w:ascii="Arial" w:hAnsi="Arial" w:cs="Arial"/>
          <w:sz w:val="24"/>
          <w:szCs w:val="24"/>
        </w:rPr>
        <w:t xml:space="preserve">he </w:t>
      </w:r>
      <w:r w:rsidR="00E7755F" w:rsidRPr="00A5667B">
        <w:rPr>
          <w:rFonts w:ascii="Arial" w:hAnsi="Arial" w:cs="Arial"/>
          <w:sz w:val="24"/>
          <w:szCs w:val="24"/>
        </w:rPr>
        <w:t>construction phase</w:t>
      </w:r>
      <w:r w:rsidR="008E2A7F" w:rsidRPr="00A5667B">
        <w:rPr>
          <w:rFonts w:ascii="Arial" w:hAnsi="Arial" w:cs="Arial"/>
          <w:sz w:val="24"/>
          <w:szCs w:val="24"/>
        </w:rPr>
        <w:t xml:space="preserve"> does not produce </w:t>
      </w:r>
      <w:r w:rsidR="00E7755F" w:rsidRPr="00A5667B">
        <w:rPr>
          <w:rFonts w:ascii="Arial" w:hAnsi="Arial" w:cs="Arial"/>
          <w:sz w:val="24"/>
          <w:szCs w:val="24"/>
        </w:rPr>
        <w:t>direct employment effect as stated in assumption</w:t>
      </w:r>
      <w:r w:rsidR="0061510E" w:rsidRPr="00A5667B">
        <w:rPr>
          <w:rFonts w:ascii="Arial" w:hAnsi="Arial" w:cs="Arial"/>
          <w:sz w:val="24"/>
          <w:szCs w:val="24"/>
        </w:rPr>
        <w:t xml:space="preserve"> 1</w:t>
      </w:r>
      <w:r w:rsidR="00E7755F" w:rsidRPr="00A5667B">
        <w:rPr>
          <w:rFonts w:ascii="Arial" w:hAnsi="Arial" w:cs="Arial"/>
          <w:sz w:val="24"/>
          <w:szCs w:val="24"/>
        </w:rPr>
        <w:t xml:space="preserve">, but the operation of the </w:t>
      </w:r>
      <w:r w:rsidR="0035450D" w:rsidRPr="00A5667B">
        <w:rPr>
          <w:rFonts w:ascii="Arial" w:hAnsi="Arial" w:cs="Arial"/>
          <w:sz w:val="24"/>
          <w:szCs w:val="24"/>
        </w:rPr>
        <w:t xml:space="preserve">phase which involves PV plant </w:t>
      </w:r>
      <w:r w:rsidR="0061510E" w:rsidRPr="00A5667B">
        <w:rPr>
          <w:rFonts w:ascii="Arial" w:hAnsi="Arial" w:cs="Arial"/>
          <w:sz w:val="24"/>
          <w:szCs w:val="24"/>
        </w:rPr>
        <w:t>maintenance,</w:t>
      </w:r>
      <w:r w:rsidR="0035450D" w:rsidRPr="00A5667B">
        <w:rPr>
          <w:rFonts w:ascii="Arial" w:hAnsi="Arial" w:cs="Arial"/>
          <w:sz w:val="24"/>
          <w:szCs w:val="24"/>
        </w:rPr>
        <w:t xml:space="preserve"> and the management of the local control centre will only offer a vis-à-vis replacement </w:t>
      </w:r>
      <w:r w:rsidR="008E2A7F" w:rsidRPr="00A5667B">
        <w:rPr>
          <w:rFonts w:ascii="Arial" w:hAnsi="Arial" w:cs="Arial"/>
          <w:sz w:val="24"/>
          <w:szCs w:val="24"/>
        </w:rPr>
        <w:t xml:space="preserve">of </w:t>
      </w:r>
      <w:r w:rsidR="0035450D" w:rsidRPr="00A5667B">
        <w:rPr>
          <w:rFonts w:ascii="Arial" w:hAnsi="Arial" w:cs="Arial"/>
          <w:sz w:val="24"/>
          <w:szCs w:val="24"/>
        </w:rPr>
        <w:t>conventional energy sector</w:t>
      </w:r>
      <w:r w:rsidR="008E2A7F" w:rsidRPr="00A5667B">
        <w:rPr>
          <w:rFonts w:ascii="Arial" w:hAnsi="Arial" w:cs="Arial"/>
          <w:sz w:val="24"/>
          <w:szCs w:val="24"/>
        </w:rPr>
        <w:t>s</w:t>
      </w:r>
      <w:r w:rsidR="0035450D" w:rsidRPr="00A5667B">
        <w:rPr>
          <w:rFonts w:ascii="Arial" w:hAnsi="Arial" w:cs="Arial"/>
          <w:sz w:val="24"/>
          <w:szCs w:val="24"/>
        </w:rPr>
        <w:t>.</w:t>
      </w:r>
      <w:r w:rsidR="004723AB" w:rsidRPr="00A5667B">
        <w:rPr>
          <w:rFonts w:ascii="Arial" w:hAnsi="Arial" w:cs="Arial"/>
          <w:sz w:val="24"/>
          <w:szCs w:val="24"/>
        </w:rPr>
        <w:t xml:space="preserve"> </w:t>
      </w:r>
      <w:r w:rsidR="0061510E" w:rsidRPr="00A5667B">
        <w:rPr>
          <w:rFonts w:ascii="Arial" w:hAnsi="Arial" w:cs="Arial"/>
          <w:sz w:val="24"/>
          <w:szCs w:val="24"/>
        </w:rPr>
        <w:t>There is a temporary increase in the local cash flow due to the slight increase in population</w:t>
      </w:r>
      <w:r w:rsidR="00FC0119" w:rsidRPr="00A5667B">
        <w:rPr>
          <w:rFonts w:ascii="Arial" w:hAnsi="Arial" w:cs="Arial"/>
          <w:sz w:val="24"/>
          <w:szCs w:val="24"/>
        </w:rPr>
        <w:t xml:space="preserve"> </w:t>
      </w:r>
      <w:r w:rsidR="0061510E" w:rsidRPr="00A5667B">
        <w:rPr>
          <w:rFonts w:ascii="Arial" w:hAnsi="Arial" w:cs="Arial"/>
          <w:sz w:val="24"/>
          <w:szCs w:val="24"/>
        </w:rPr>
        <w:t xml:space="preserve">during site development </w:t>
      </w:r>
      <w:r w:rsidR="00FC0119" w:rsidRPr="00A5667B">
        <w:rPr>
          <w:rFonts w:ascii="Arial" w:hAnsi="Arial" w:cs="Arial"/>
          <w:sz w:val="24"/>
          <w:szCs w:val="24"/>
        </w:rPr>
        <w:t xml:space="preserve">and plant construction which lasts for just the duration of the installation. It is difficult to predict how the land for the site </w:t>
      </w:r>
      <w:r w:rsidR="00B54635" w:rsidRPr="00A5667B">
        <w:rPr>
          <w:rFonts w:ascii="Arial" w:hAnsi="Arial" w:cs="Arial"/>
          <w:sz w:val="24"/>
          <w:szCs w:val="24"/>
        </w:rPr>
        <w:t xml:space="preserve">will </w:t>
      </w:r>
      <w:r w:rsidR="00FC0119" w:rsidRPr="00A5667B">
        <w:rPr>
          <w:rFonts w:ascii="Arial" w:hAnsi="Arial" w:cs="Arial"/>
          <w:sz w:val="24"/>
          <w:szCs w:val="24"/>
        </w:rPr>
        <w:t xml:space="preserve">be arranged at this juncture. If it is leased from local landowners, there is potential for the lease income to be re-distributed within the economy. However, community ownership of the RES facility is better for the local economy from a socio-economic point of view. </w:t>
      </w:r>
      <w:r w:rsidR="00B54635" w:rsidRPr="00A5667B">
        <w:rPr>
          <w:rFonts w:ascii="Arial" w:hAnsi="Arial" w:cs="Arial"/>
          <w:sz w:val="24"/>
          <w:szCs w:val="24"/>
        </w:rPr>
        <w:t>Therefore,</w:t>
      </w:r>
      <w:r w:rsidR="00FC0119" w:rsidRPr="00A5667B">
        <w:rPr>
          <w:rFonts w:ascii="Arial" w:hAnsi="Arial" w:cs="Arial"/>
          <w:sz w:val="24"/>
          <w:szCs w:val="24"/>
        </w:rPr>
        <w:t xml:space="preserve"> leasing should not be considered </w:t>
      </w:r>
      <w:r w:rsidR="00B54635" w:rsidRPr="00A5667B">
        <w:rPr>
          <w:rFonts w:ascii="Arial" w:hAnsi="Arial" w:cs="Arial"/>
          <w:sz w:val="24"/>
          <w:szCs w:val="24"/>
        </w:rPr>
        <w:t xml:space="preserve">only </w:t>
      </w:r>
      <w:proofErr w:type="gramStart"/>
      <w:r w:rsidR="00B54635" w:rsidRPr="00A5667B">
        <w:rPr>
          <w:rFonts w:ascii="Arial" w:hAnsi="Arial" w:cs="Arial"/>
          <w:sz w:val="24"/>
          <w:szCs w:val="24"/>
        </w:rPr>
        <w:t>as a means to</w:t>
      </w:r>
      <w:proofErr w:type="gramEnd"/>
      <w:r w:rsidR="00FC0119" w:rsidRPr="00A5667B">
        <w:rPr>
          <w:rFonts w:ascii="Arial" w:hAnsi="Arial" w:cs="Arial"/>
          <w:sz w:val="24"/>
          <w:szCs w:val="24"/>
        </w:rPr>
        <w:t xml:space="preserve"> re-distribut</w:t>
      </w:r>
      <w:r w:rsidR="00B54635" w:rsidRPr="00A5667B">
        <w:rPr>
          <w:rFonts w:ascii="Arial" w:hAnsi="Arial" w:cs="Arial"/>
          <w:sz w:val="24"/>
          <w:szCs w:val="24"/>
        </w:rPr>
        <w:t>e</w:t>
      </w:r>
      <w:r w:rsidR="00FC0119" w:rsidRPr="00A5667B">
        <w:rPr>
          <w:rFonts w:ascii="Arial" w:hAnsi="Arial" w:cs="Arial"/>
          <w:sz w:val="24"/>
          <w:szCs w:val="24"/>
        </w:rPr>
        <w:t xml:space="preserve"> income within the local economy.</w:t>
      </w:r>
    </w:p>
    <w:p w14:paraId="529C8327" w14:textId="309A752E" w:rsidR="001F06ED" w:rsidRPr="00A5667B" w:rsidRDefault="001F06ED" w:rsidP="00A20A86">
      <w:pPr>
        <w:spacing w:line="360" w:lineRule="auto"/>
        <w:jc w:val="both"/>
        <w:rPr>
          <w:rFonts w:ascii="Arial" w:hAnsi="Arial" w:cs="Arial"/>
          <w:sz w:val="24"/>
          <w:szCs w:val="24"/>
        </w:rPr>
      </w:pPr>
      <w:r w:rsidRPr="00A5667B">
        <w:rPr>
          <w:rFonts w:ascii="Arial" w:hAnsi="Arial" w:cs="Arial"/>
          <w:sz w:val="24"/>
          <w:szCs w:val="24"/>
        </w:rPr>
        <w:t>With respect to the indirect employment effects, because there are not many industries on the island, elements of the installation cannot be sub-contracted</w:t>
      </w:r>
      <w:r w:rsidR="00B54635" w:rsidRPr="00A5667B">
        <w:rPr>
          <w:rFonts w:ascii="Arial" w:hAnsi="Arial" w:cs="Arial"/>
          <w:sz w:val="24"/>
          <w:szCs w:val="24"/>
        </w:rPr>
        <w:t>.</w:t>
      </w:r>
      <w:r w:rsidR="008B543C" w:rsidRPr="00A5667B">
        <w:rPr>
          <w:rFonts w:ascii="Arial" w:hAnsi="Arial" w:cs="Arial"/>
          <w:sz w:val="24"/>
          <w:szCs w:val="24"/>
        </w:rPr>
        <w:t xml:space="preserve"> </w:t>
      </w:r>
      <w:r w:rsidR="00B54635" w:rsidRPr="00A5667B">
        <w:rPr>
          <w:rFonts w:ascii="Arial" w:hAnsi="Arial" w:cs="Arial"/>
          <w:sz w:val="24"/>
          <w:szCs w:val="24"/>
        </w:rPr>
        <w:t>T</w:t>
      </w:r>
      <w:r w:rsidR="008B543C" w:rsidRPr="00A5667B">
        <w:rPr>
          <w:rFonts w:ascii="Arial" w:hAnsi="Arial" w:cs="Arial"/>
          <w:sz w:val="24"/>
          <w:szCs w:val="24"/>
        </w:rPr>
        <w:t xml:space="preserve">herefore, the construction phase will only result in more hours and higher wages which are temporary for those locally </w:t>
      </w:r>
      <w:r w:rsidR="00B54635" w:rsidRPr="00A5667B">
        <w:rPr>
          <w:rFonts w:ascii="Arial" w:hAnsi="Arial" w:cs="Arial"/>
          <w:sz w:val="24"/>
          <w:szCs w:val="24"/>
        </w:rPr>
        <w:t>o</w:t>
      </w:r>
      <w:r w:rsidR="008B543C" w:rsidRPr="00A5667B">
        <w:rPr>
          <w:rFonts w:ascii="Arial" w:hAnsi="Arial" w:cs="Arial"/>
          <w:sz w:val="24"/>
          <w:szCs w:val="24"/>
        </w:rPr>
        <w:t>n land and marine transportation.</w:t>
      </w:r>
    </w:p>
    <w:p w14:paraId="3344CCB3" w14:textId="19699D64" w:rsidR="008B543C" w:rsidRPr="00A5667B" w:rsidRDefault="008B543C" w:rsidP="008B543C">
      <w:pPr>
        <w:spacing w:line="360" w:lineRule="auto"/>
        <w:jc w:val="both"/>
        <w:rPr>
          <w:rFonts w:ascii="Arial" w:hAnsi="Arial" w:cs="Arial"/>
          <w:sz w:val="24"/>
          <w:szCs w:val="24"/>
        </w:rPr>
      </w:pPr>
      <w:r w:rsidRPr="00A5667B">
        <w:rPr>
          <w:rFonts w:ascii="Arial" w:hAnsi="Arial" w:cs="Arial"/>
          <w:sz w:val="24"/>
          <w:szCs w:val="24"/>
        </w:rPr>
        <w:t xml:space="preserve">In terms of </w:t>
      </w:r>
      <w:r w:rsidR="00391980">
        <w:rPr>
          <w:rFonts w:ascii="Arial" w:hAnsi="Arial" w:cs="Arial"/>
          <w:sz w:val="24"/>
          <w:szCs w:val="24"/>
        </w:rPr>
        <w:t xml:space="preserve">calculating </w:t>
      </w:r>
      <w:r w:rsidRPr="00A5667B">
        <w:rPr>
          <w:rFonts w:ascii="Arial" w:hAnsi="Arial" w:cs="Arial"/>
          <w:sz w:val="24"/>
          <w:szCs w:val="24"/>
        </w:rPr>
        <w:t xml:space="preserve">the </w:t>
      </w:r>
      <w:r w:rsidR="009C067A" w:rsidRPr="00A5667B">
        <w:rPr>
          <w:rFonts w:ascii="Arial" w:hAnsi="Arial" w:cs="Arial"/>
          <w:sz w:val="24"/>
          <w:szCs w:val="24"/>
        </w:rPr>
        <w:t>i</w:t>
      </w:r>
      <w:r w:rsidRPr="00A5667B">
        <w:rPr>
          <w:rFonts w:ascii="Arial" w:hAnsi="Arial" w:cs="Arial"/>
          <w:sz w:val="24"/>
          <w:szCs w:val="24"/>
        </w:rPr>
        <w:t xml:space="preserve">nduced effects, </w:t>
      </w:r>
      <w:r w:rsidR="00391980">
        <w:rPr>
          <w:rFonts w:ascii="Arial" w:hAnsi="Arial" w:cs="Arial"/>
          <w:sz w:val="24"/>
          <w:szCs w:val="24"/>
        </w:rPr>
        <w:t xml:space="preserve">the new approach described in section 4 using </w:t>
      </w:r>
      <w:r w:rsidRPr="00A5667B">
        <w:rPr>
          <w:rFonts w:ascii="Arial" w:hAnsi="Arial" w:cs="Arial"/>
          <w:sz w:val="24"/>
          <w:szCs w:val="24"/>
        </w:rPr>
        <w:t>AHP was used</w:t>
      </w:r>
      <w:r w:rsidR="009C067A" w:rsidRPr="00A5667B">
        <w:rPr>
          <w:rFonts w:ascii="Arial" w:hAnsi="Arial" w:cs="Arial"/>
          <w:sz w:val="24"/>
          <w:szCs w:val="24"/>
        </w:rPr>
        <w:t xml:space="preserve">. </w:t>
      </w:r>
      <w:r w:rsidRPr="00A5667B">
        <w:rPr>
          <w:rFonts w:ascii="Arial" w:hAnsi="Arial" w:cs="Arial"/>
          <w:sz w:val="24"/>
          <w:szCs w:val="24"/>
        </w:rPr>
        <w:t xml:space="preserve">Table </w:t>
      </w:r>
      <w:r w:rsidR="001130B8" w:rsidRPr="00A5667B">
        <w:rPr>
          <w:rFonts w:ascii="Arial" w:hAnsi="Arial" w:cs="Arial"/>
          <w:sz w:val="24"/>
          <w:szCs w:val="24"/>
        </w:rPr>
        <w:t>4</w:t>
      </w:r>
      <w:r w:rsidRPr="00A5667B">
        <w:rPr>
          <w:rFonts w:ascii="Arial" w:hAnsi="Arial" w:cs="Arial"/>
          <w:sz w:val="24"/>
          <w:szCs w:val="24"/>
        </w:rPr>
        <w:t xml:space="preserve"> shows the economic sectors in the local economy highlighted by the </w:t>
      </w:r>
      <w:r w:rsidR="00C675A9">
        <w:rPr>
          <w:rFonts w:ascii="Arial" w:hAnsi="Arial" w:cs="Arial"/>
          <w:sz w:val="24"/>
          <w:szCs w:val="24"/>
        </w:rPr>
        <w:t xml:space="preserve">local economy </w:t>
      </w:r>
      <w:r w:rsidRPr="00A5667B">
        <w:rPr>
          <w:rFonts w:ascii="Arial" w:hAnsi="Arial" w:cs="Arial"/>
          <w:sz w:val="24"/>
          <w:szCs w:val="24"/>
        </w:rPr>
        <w:t>expert, th</w:t>
      </w:r>
      <w:r w:rsidR="000946D5">
        <w:rPr>
          <w:rFonts w:ascii="Arial" w:hAnsi="Arial" w:cs="Arial"/>
          <w:sz w:val="24"/>
          <w:szCs w:val="24"/>
        </w:rPr>
        <w:t>e MPC</w:t>
      </w:r>
      <w:r w:rsidRPr="00A5667B">
        <w:rPr>
          <w:rFonts w:ascii="Arial" w:hAnsi="Arial" w:cs="Arial"/>
          <w:sz w:val="24"/>
          <w:szCs w:val="24"/>
        </w:rPr>
        <w:t xml:space="preserve"> and the corresponding KIMs for those sectors. Tourism is the economic sector with the highest potential for realising </w:t>
      </w:r>
      <w:r w:rsidRPr="00A5667B">
        <w:rPr>
          <w:rFonts w:ascii="Arial" w:hAnsi="Arial" w:cs="Arial"/>
          <w:sz w:val="24"/>
          <w:szCs w:val="24"/>
        </w:rPr>
        <w:lastRenderedPageBreak/>
        <w:t xml:space="preserve">positive economic benefits in the local economy via re-spent income. The second largest economic sector is the service </w:t>
      </w:r>
      <w:r w:rsidR="00B54635" w:rsidRPr="00A5667B">
        <w:rPr>
          <w:rFonts w:ascii="Arial" w:hAnsi="Arial" w:cs="Arial"/>
          <w:sz w:val="24"/>
          <w:szCs w:val="24"/>
        </w:rPr>
        <w:t>sector</w:t>
      </w:r>
      <w:r w:rsidRPr="00A5667B">
        <w:rPr>
          <w:rFonts w:ascii="Arial" w:hAnsi="Arial" w:cs="Arial"/>
          <w:sz w:val="24"/>
          <w:szCs w:val="24"/>
        </w:rPr>
        <w:t xml:space="preserve">, followed by the fishing sector. </w:t>
      </w:r>
    </w:p>
    <w:p w14:paraId="1F8B087F" w14:textId="57249A8B" w:rsidR="00630289" w:rsidRPr="00A5667B" w:rsidRDefault="00630289" w:rsidP="00630289">
      <w:pPr>
        <w:pStyle w:val="Caption"/>
        <w:keepNext/>
      </w:pPr>
      <w:r w:rsidRPr="00A5667B">
        <w:t xml:space="preserve">Table </w:t>
      </w:r>
      <w:r>
        <w:fldChar w:fldCharType="begin"/>
      </w:r>
      <w:r>
        <w:instrText>SEQ Table \* ARABIC</w:instrText>
      </w:r>
      <w:r>
        <w:fldChar w:fldCharType="separate"/>
      </w:r>
      <w:r w:rsidR="009733CD">
        <w:rPr>
          <w:noProof/>
        </w:rPr>
        <w:t>4</w:t>
      </w:r>
      <w:r>
        <w:fldChar w:fldCharType="end"/>
      </w:r>
      <w:r w:rsidRPr="00A5667B">
        <w:t>: Economic Sectors</w:t>
      </w:r>
      <w:r w:rsidR="00905FA9" w:rsidRPr="00A5667B">
        <w:t>, MPC, KIM,</w:t>
      </w:r>
      <w:r w:rsidR="009C067A" w:rsidRPr="00A5667B">
        <w:t xml:space="preserve"> and the induced local economic impact</w:t>
      </w:r>
      <w:r w:rsidRPr="00A5667B">
        <w:t xml:space="preserve"> </w:t>
      </w:r>
      <w:r w:rsidR="00D14169" w:rsidRPr="00A5667B">
        <w:t xml:space="preserve">per unit of electrical energy </w:t>
      </w:r>
      <w:r w:rsidRPr="00A5667B">
        <w:t>for La Graciosa</w:t>
      </w:r>
      <w:r w:rsidR="009C067A" w:rsidRPr="00A5667B">
        <w:t>, Spain</w:t>
      </w:r>
    </w:p>
    <w:tbl>
      <w:tblPr>
        <w:tblW w:w="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78"/>
        <w:gridCol w:w="960"/>
        <w:gridCol w:w="960"/>
        <w:gridCol w:w="960"/>
      </w:tblGrid>
      <w:tr w:rsidR="00920C23" w:rsidRPr="00A5667B" w14:paraId="3FA28868" w14:textId="1D5DD562" w:rsidTr="00030825">
        <w:trPr>
          <w:trHeight w:val="290"/>
        </w:trPr>
        <w:tc>
          <w:tcPr>
            <w:tcW w:w="2122" w:type="dxa"/>
            <w:shd w:val="clear" w:color="000000" w:fill="92D050"/>
            <w:noWrap/>
            <w:vAlign w:val="bottom"/>
            <w:hideMark/>
          </w:tcPr>
          <w:p w14:paraId="62E0AE59" w14:textId="77777777" w:rsidR="00920C23" w:rsidRPr="00C04237" w:rsidRDefault="00920C23" w:rsidP="00920C23">
            <w:pPr>
              <w:spacing w:after="0" w:line="240" w:lineRule="auto"/>
              <w:rPr>
                <w:rFonts w:ascii="Calibri" w:eastAsia="Times New Roman" w:hAnsi="Calibri" w:cs="Calibri"/>
                <w:b/>
                <w:bCs/>
                <w:color w:val="FFFFFF"/>
                <w:lang w:eastAsia="en-GB"/>
              </w:rPr>
            </w:pPr>
            <w:r w:rsidRPr="00C04237">
              <w:rPr>
                <w:rFonts w:ascii="Calibri" w:eastAsia="Times New Roman" w:hAnsi="Calibri" w:cs="Calibri"/>
                <w:b/>
                <w:bCs/>
                <w:color w:val="FFFFFF"/>
                <w:lang w:eastAsia="en-GB"/>
              </w:rPr>
              <w:t>Economic Sectors</w:t>
            </w:r>
          </w:p>
        </w:tc>
        <w:tc>
          <w:tcPr>
            <w:tcW w:w="878" w:type="dxa"/>
            <w:shd w:val="clear" w:color="000000" w:fill="92D050"/>
            <w:noWrap/>
            <w:vAlign w:val="bottom"/>
            <w:hideMark/>
          </w:tcPr>
          <w:p w14:paraId="608D657F" w14:textId="77777777" w:rsidR="00920C23" w:rsidRPr="00C04237" w:rsidRDefault="00920C23" w:rsidP="00920C23">
            <w:pPr>
              <w:spacing w:after="0" w:line="240" w:lineRule="auto"/>
              <w:jc w:val="center"/>
              <w:rPr>
                <w:rFonts w:ascii="Calibri" w:eastAsia="Times New Roman" w:hAnsi="Calibri" w:cs="Calibri"/>
                <w:b/>
                <w:bCs/>
                <w:color w:val="FFFFFF"/>
                <w:lang w:eastAsia="en-GB"/>
              </w:rPr>
            </w:pPr>
            <w:r w:rsidRPr="00C04237">
              <w:rPr>
                <w:rFonts w:ascii="Calibri" w:eastAsia="Times New Roman" w:hAnsi="Calibri" w:cs="Calibri"/>
                <w:b/>
                <w:bCs/>
                <w:color w:val="FFFFFF"/>
                <w:lang w:eastAsia="en-GB"/>
              </w:rPr>
              <w:t>MPC</w:t>
            </w:r>
          </w:p>
        </w:tc>
        <w:tc>
          <w:tcPr>
            <w:tcW w:w="960" w:type="dxa"/>
            <w:shd w:val="clear" w:color="000000" w:fill="92D050"/>
            <w:noWrap/>
            <w:vAlign w:val="bottom"/>
            <w:hideMark/>
          </w:tcPr>
          <w:p w14:paraId="2B7B98D2" w14:textId="77777777" w:rsidR="00920C23" w:rsidRPr="00C04237" w:rsidRDefault="00920C23" w:rsidP="00920C23">
            <w:pPr>
              <w:spacing w:after="0" w:line="240" w:lineRule="auto"/>
              <w:jc w:val="center"/>
              <w:rPr>
                <w:rFonts w:ascii="Calibri" w:eastAsia="Times New Roman" w:hAnsi="Calibri" w:cs="Calibri"/>
                <w:b/>
                <w:bCs/>
                <w:color w:val="FFFFFF"/>
                <w:lang w:eastAsia="en-GB"/>
              </w:rPr>
            </w:pPr>
            <w:r w:rsidRPr="00C04237">
              <w:rPr>
                <w:rFonts w:ascii="Calibri" w:eastAsia="Times New Roman" w:hAnsi="Calibri" w:cs="Calibri"/>
                <w:b/>
                <w:bCs/>
                <w:color w:val="FFFFFF"/>
                <w:lang w:eastAsia="en-GB"/>
              </w:rPr>
              <w:t>KIM</w:t>
            </w:r>
          </w:p>
        </w:tc>
        <w:tc>
          <w:tcPr>
            <w:tcW w:w="960" w:type="dxa"/>
            <w:shd w:val="clear" w:color="000000" w:fill="92D050"/>
            <w:vAlign w:val="bottom"/>
          </w:tcPr>
          <w:p w14:paraId="6C05343A" w14:textId="13C153A6" w:rsidR="00920C23" w:rsidRPr="00C04237" w:rsidRDefault="00920C23" w:rsidP="00920C23">
            <w:pPr>
              <w:spacing w:after="0" w:line="240" w:lineRule="auto"/>
              <w:jc w:val="center"/>
              <w:rPr>
                <w:rFonts w:ascii="Calibri" w:eastAsia="Times New Roman" w:hAnsi="Calibri" w:cs="Calibri"/>
                <w:b/>
                <w:bCs/>
                <w:color w:val="FFFFFF"/>
                <w:lang w:eastAsia="en-GB"/>
              </w:rPr>
            </w:pPr>
            <w:r w:rsidRPr="00C04237">
              <w:rPr>
                <w:rFonts w:ascii="Calibri" w:eastAsia="Times New Roman" w:hAnsi="Calibri" w:cs="Calibri"/>
                <w:b/>
                <w:bCs/>
                <w:color w:val="FFFFFF"/>
                <w:lang w:eastAsia="en-GB"/>
              </w:rPr>
              <w:t>SEI</w:t>
            </w:r>
          </w:p>
        </w:tc>
        <w:tc>
          <w:tcPr>
            <w:tcW w:w="960" w:type="dxa"/>
            <w:shd w:val="clear" w:color="000000" w:fill="92D050"/>
            <w:vAlign w:val="bottom"/>
          </w:tcPr>
          <w:p w14:paraId="1EB17E1F" w14:textId="7AB2C3FE" w:rsidR="00920C23" w:rsidRPr="00C04237" w:rsidRDefault="00920C23" w:rsidP="00920C23">
            <w:pPr>
              <w:spacing w:after="0" w:line="240" w:lineRule="auto"/>
              <w:jc w:val="center"/>
              <w:rPr>
                <w:rFonts w:ascii="Calibri" w:eastAsia="Times New Roman" w:hAnsi="Calibri" w:cs="Calibri"/>
                <w:b/>
                <w:bCs/>
                <w:color w:val="FFFFFF"/>
                <w:lang w:eastAsia="en-GB"/>
              </w:rPr>
            </w:pPr>
            <w:r w:rsidRPr="00C04237">
              <w:rPr>
                <w:rFonts w:ascii="Calibri" w:eastAsia="Times New Roman" w:hAnsi="Calibri" w:cs="Calibri"/>
                <w:b/>
                <w:bCs/>
                <w:color w:val="FFFFFF"/>
                <w:lang w:eastAsia="en-GB"/>
              </w:rPr>
              <w:t>SEI (F)</w:t>
            </w:r>
          </w:p>
        </w:tc>
      </w:tr>
      <w:tr w:rsidR="00920C23" w:rsidRPr="00A5667B" w14:paraId="4DC70127" w14:textId="4673AFFD" w:rsidTr="00030825">
        <w:trPr>
          <w:trHeight w:val="290"/>
        </w:trPr>
        <w:tc>
          <w:tcPr>
            <w:tcW w:w="2122" w:type="dxa"/>
            <w:shd w:val="clear" w:color="auto" w:fill="auto"/>
            <w:noWrap/>
            <w:vAlign w:val="bottom"/>
            <w:hideMark/>
          </w:tcPr>
          <w:p w14:paraId="5957C8A2"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Tourism</w:t>
            </w:r>
          </w:p>
        </w:tc>
        <w:tc>
          <w:tcPr>
            <w:tcW w:w="878" w:type="dxa"/>
            <w:shd w:val="clear" w:color="auto" w:fill="auto"/>
            <w:noWrap/>
            <w:vAlign w:val="bottom"/>
            <w:hideMark/>
          </w:tcPr>
          <w:p w14:paraId="17B8DA4D"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0.45</w:t>
            </w:r>
          </w:p>
        </w:tc>
        <w:tc>
          <w:tcPr>
            <w:tcW w:w="960" w:type="dxa"/>
            <w:shd w:val="clear" w:color="auto" w:fill="auto"/>
            <w:noWrap/>
            <w:vAlign w:val="bottom"/>
            <w:hideMark/>
          </w:tcPr>
          <w:p w14:paraId="299B8195"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1.82</w:t>
            </w:r>
          </w:p>
        </w:tc>
        <w:tc>
          <w:tcPr>
            <w:tcW w:w="960" w:type="dxa"/>
            <w:vAlign w:val="bottom"/>
          </w:tcPr>
          <w:p w14:paraId="2CB95E5D" w14:textId="3715EC6C"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0.26</w:t>
            </w:r>
          </w:p>
        </w:tc>
        <w:tc>
          <w:tcPr>
            <w:tcW w:w="960" w:type="dxa"/>
            <w:vAlign w:val="bottom"/>
          </w:tcPr>
          <w:p w14:paraId="5E65DB18" w14:textId="5F1BBC88"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0.14</w:t>
            </w:r>
          </w:p>
        </w:tc>
      </w:tr>
      <w:tr w:rsidR="00920C23" w:rsidRPr="00A5667B" w14:paraId="6BEFD5E7" w14:textId="4D3270D7" w:rsidTr="00030825">
        <w:trPr>
          <w:trHeight w:val="290"/>
        </w:trPr>
        <w:tc>
          <w:tcPr>
            <w:tcW w:w="2122" w:type="dxa"/>
            <w:shd w:val="clear" w:color="auto" w:fill="auto"/>
            <w:noWrap/>
            <w:vAlign w:val="bottom"/>
            <w:hideMark/>
          </w:tcPr>
          <w:p w14:paraId="66840EB5"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Fishing</w:t>
            </w:r>
          </w:p>
        </w:tc>
        <w:tc>
          <w:tcPr>
            <w:tcW w:w="878" w:type="dxa"/>
            <w:shd w:val="clear" w:color="auto" w:fill="auto"/>
            <w:noWrap/>
            <w:vAlign w:val="bottom"/>
            <w:hideMark/>
          </w:tcPr>
          <w:p w14:paraId="733511EA"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0.14</w:t>
            </w:r>
          </w:p>
        </w:tc>
        <w:tc>
          <w:tcPr>
            <w:tcW w:w="960" w:type="dxa"/>
            <w:shd w:val="clear" w:color="auto" w:fill="auto"/>
            <w:noWrap/>
            <w:vAlign w:val="bottom"/>
            <w:hideMark/>
          </w:tcPr>
          <w:p w14:paraId="55FD27E1"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1.16</w:t>
            </w:r>
          </w:p>
        </w:tc>
        <w:tc>
          <w:tcPr>
            <w:tcW w:w="960" w:type="dxa"/>
            <w:vAlign w:val="bottom"/>
          </w:tcPr>
          <w:p w14:paraId="16C97B76" w14:textId="461C8A51"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0.17</w:t>
            </w:r>
          </w:p>
        </w:tc>
        <w:tc>
          <w:tcPr>
            <w:tcW w:w="960" w:type="dxa"/>
            <w:vAlign w:val="bottom"/>
          </w:tcPr>
          <w:p w14:paraId="4A92122B" w14:textId="4FF32841"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0.09</w:t>
            </w:r>
          </w:p>
        </w:tc>
      </w:tr>
      <w:tr w:rsidR="00920C23" w:rsidRPr="00A5667B" w14:paraId="30CC0A1E" w14:textId="1301825E" w:rsidTr="00030825">
        <w:trPr>
          <w:trHeight w:val="290"/>
        </w:trPr>
        <w:tc>
          <w:tcPr>
            <w:tcW w:w="2122" w:type="dxa"/>
            <w:shd w:val="clear" w:color="auto" w:fill="auto"/>
            <w:noWrap/>
            <w:vAlign w:val="bottom"/>
            <w:hideMark/>
          </w:tcPr>
          <w:p w14:paraId="6AEDDFB9"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Food processing</w:t>
            </w:r>
          </w:p>
        </w:tc>
        <w:tc>
          <w:tcPr>
            <w:tcW w:w="878" w:type="dxa"/>
            <w:shd w:val="clear" w:color="auto" w:fill="auto"/>
            <w:noWrap/>
            <w:vAlign w:val="bottom"/>
            <w:hideMark/>
          </w:tcPr>
          <w:p w14:paraId="42ACB01F"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w:t>
            </w:r>
          </w:p>
        </w:tc>
        <w:tc>
          <w:tcPr>
            <w:tcW w:w="960" w:type="dxa"/>
            <w:shd w:val="clear" w:color="auto" w:fill="auto"/>
            <w:noWrap/>
            <w:vAlign w:val="bottom"/>
            <w:hideMark/>
          </w:tcPr>
          <w:p w14:paraId="75ED6F19"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1.11</w:t>
            </w:r>
          </w:p>
        </w:tc>
        <w:tc>
          <w:tcPr>
            <w:tcW w:w="960" w:type="dxa"/>
            <w:vAlign w:val="bottom"/>
          </w:tcPr>
          <w:p w14:paraId="1F00AFC4" w14:textId="3E5C35DB"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0.16</w:t>
            </w:r>
          </w:p>
        </w:tc>
        <w:tc>
          <w:tcPr>
            <w:tcW w:w="960" w:type="dxa"/>
            <w:vAlign w:val="bottom"/>
          </w:tcPr>
          <w:p w14:paraId="7863C48C" w14:textId="728AF024"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0.08</w:t>
            </w:r>
          </w:p>
        </w:tc>
      </w:tr>
      <w:tr w:rsidR="00920C23" w:rsidRPr="00A5667B" w14:paraId="0C07888F" w14:textId="7568DC96" w:rsidTr="00030825">
        <w:trPr>
          <w:trHeight w:val="290"/>
        </w:trPr>
        <w:tc>
          <w:tcPr>
            <w:tcW w:w="2122" w:type="dxa"/>
            <w:shd w:val="clear" w:color="auto" w:fill="auto"/>
            <w:noWrap/>
            <w:vAlign w:val="bottom"/>
            <w:hideMark/>
          </w:tcPr>
          <w:p w14:paraId="1EACFA71"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Services</w:t>
            </w:r>
          </w:p>
        </w:tc>
        <w:tc>
          <w:tcPr>
            <w:tcW w:w="878" w:type="dxa"/>
            <w:shd w:val="clear" w:color="auto" w:fill="auto"/>
            <w:noWrap/>
            <w:vAlign w:val="bottom"/>
            <w:hideMark/>
          </w:tcPr>
          <w:p w14:paraId="6D1076D9"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0.21</w:t>
            </w:r>
          </w:p>
        </w:tc>
        <w:tc>
          <w:tcPr>
            <w:tcW w:w="960" w:type="dxa"/>
            <w:shd w:val="clear" w:color="auto" w:fill="auto"/>
            <w:noWrap/>
            <w:vAlign w:val="bottom"/>
            <w:hideMark/>
          </w:tcPr>
          <w:p w14:paraId="2BAC4CB5"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1.27</w:t>
            </w:r>
          </w:p>
        </w:tc>
        <w:tc>
          <w:tcPr>
            <w:tcW w:w="960" w:type="dxa"/>
            <w:vAlign w:val="bottom"/>
          </w:tcPr>
          <w:p w14:paraId="69878398" w14:textId="572B9042"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0.18</w:t>
            </w:r>
          </w:p>
        </w:tc>
        <w:tc>
          <w:tcPr>
            <w:tcW w:w="960" w:type="dxa"/>
            <w:vAlign w:val="bottom"/>
          </w:tcPr>
          <w:p w14:paraId="0ED03B48" w14:textId="3D4A257E"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0.10</w:t>
            </w:r>
          </w:p>
        </w:tc>
      </w:tr>
      <w:tr w:rsidR="00920C23" w:rsidRPr="00A5667B" w14:paraId="3D633597" w14:textId="77F05788" w:rsidTr="00030825">
        <w:trPr>
          <w:trHeight w:val="290"/>
        </w:trPr>
        <w:tc>
          <w:tcPr>
            <w:tcW w:w="2122" w:type="dxa"/>
            <w:shd w:val="clear" w:color="auto" w:fill="auto"/>
            <w:noWrap/>
            <w:vAlign w:val="bottom"/>
            <w:hideMark/>
          </w:tcPr>
          <w:p w14:paraId="180E9065"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Health &amp; Social Work</w:t>
            </w:r>
          </w:p>
        </w:tc>
        <w:tc>
          <w:tcPr>
            <w:tcW w:w="878" w:type="dxa"/>
            <w:shd w:val="clear" w:color="auto" w:fill="auto"/>
            <w:noWrap/>
            <w:vAlign w:val="bottom"/>
            <w:hideMark/>
          </w:tcPr>
          <w:p w14:paraId="01C6403F"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0.04</w:t>
            </w:r>
          </w:p>
        </w:tc>
        <w:tc>
          <w:tcPr>
            <w:tcW w:w="960" w:type="dxa"/>
            <w:shd w:val="clear" w:color="auto" w:fill="auto"/>
            <w:noWrap/>
            <w:vAlign w:val="bottom"/>
            <w:hideMark/>
          </w:tcPr>
          <w:p w14:paraId="2D9B644A"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1.04</w:t>
            </w:r>
          </w:p>
        </w:tc>
        <w:tc>
          <w:tcPr>
            <w:tcW w:w="960" w:type="dxa"/>
            <w:vAlign w:val="bottom"/>
          </w:tcPr>
          <w:p w14:paraId="54B86CF3" w14:textId="608D33BB"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0.15</w:t>
            </w:r>
          </w:p>
        </w:tc>
        <w:tc>
          <w:tcPr>
            <w:tcW w:w="960" w:type="dxa"/>
            <w:vAlign w:val="bottom"/>
          </w:tcPr>
          <w:p w14:paraId="4238849D" w14:textId="2406686C"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0.08</w:t>
            </w:r>
          </w:p>
        </w:tc>
      </w:tr>
      <w:tr w:rsidR="00920C23" w:rsidRPr="00A5667B" w14:paraId="34401672" w14:textId="6C32C587" w:rsidTr="00030825">
        <w:trPr>
          <w:trHeight w:val="290"/>
        </w:trPr>
        <w:tc>
          <w:tcPr>
            <w:tcW w:w="2122" w:type="dxa"/>
            <w:shd w:val="clear" w:color="auto" w:fill="auto"/>
            <w:noWrap/>
            <w:vAlign w:val="bottom"/>
            <w:hideMark/>
          </w:tcPr>
          <w:p w14:paraId="220BB002"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Education</w:t>
            </w:r>
          </w:p>
        </w:tc>
        <w:tc>
          <w:tcPr>
            <w:tcW w:w="878" w:type="dxa"/>
            <w:shd w:val="clear" w:color="auto" w:fill="auto"/>
            <w:noWrap/>
            <w:vAlign w:val="bottom"/>
            <w:hideMark/>
          </w:tcPr>
          <w:p w14:paraId="356C0183"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0.03</w:t>
            </w:r>
          </w:p>
        </w:tc>
        <w:tc>
          <w:tcPr>
            <w:tcW w:w="960" w:type="dxa"/>
            <w:shd w:val="clear" w:color="auto" w:fill="auto"/>
            <w:noWrap/>
            <w:vAlign w:val="bottom"/>
            <w:hideMark/>
          </w:tcPr>
          <w:p w14:paraId="0B82CEB1"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1.03</w:t>
            </w:r>
          </w:p>
        </w:tc>
        <w:tc>
          <w:tcPr>
            <w:tcW w:w="960" w:type="dxa"/>
            <w:vAlign w:val="bottom"/>
          </w:tcPr>
          <w:p w14:paraId="0FAA1BDF" w14:textId="24E0C8C2"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0.15</w:t>
            </w:r>
          </w:p>
        </w:tc>
        <w:tc>
          <w:tcPr>
            <w:tcW w:w="960" w:type="dxa"/>
            <w:vAlign w:val="bottom"/>
          </w:tcPr>
          <w:p w14:paraId="0BFBF85B" w14:textId="5E8285EE"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0.08</w:t>
            </w:r>
          </w:p>
        </w:tc>
      </w:tr>
      <w:tr w:rsidR="00920C23" w:rsidRPr="00A5667B" w14:paraId="61452100" w14:textId="4C8F1D5C" w:rsidTr="00030825">
        <w:trPr>
          <w:trHeight w:val="290"/>
        </w:trPr>
        <w:tc>
          <w:tcPr>
            <w:tcW w:w="2122" w:type="dxa"/>
            <w:shd w:val="clear" w:color="auto" w:fill="auto"/>
            <w:noWrap/>
            <w:vAlign w:val="bottom"/>
            <w:hideMark/>
          </w:tcPr>
          <w:p w14:paraId="19A9EB75" w14:textId="77777777" w:rsidR="00920C23" w:rsidRPr="00C04237" w:rsidRDefault="00920C23" w:rsidP="00920C23">
            <w:pPr>
              <w:spacing w:after="0" w:line="240" w:lineRule="auto"/>
              <w:rPr>
                <w:rFonts w:ascii="Calibri" w:eastAsia="Times New Roman" w:hAnsi="Calibri" w:cs="Calibri"/>
                <w:color w:val="000000"/>
                <w:lang w:eastAsia="en-GB"/>
              </w:rPr>
            </w:pPr>
            <w:r w:rsidRPr="00C04237">
              <w:rPr>
                <w:rFonts w:ascii="Calibri" w:eastAsia="Times New Roman" w:hAnsi="Calibri" w:cs="Calibri"/>
                <w:color w:val="000000"/>
                <w:lang w:eastAsia="en-GB"/>
              </w:rPr>
              <w:t>Arts &amp; Crafts</w:t>
            </w:r>
          </w:p>
        </w:tc>
        <w:tc>
          <w:tcPr>
            <w:tcW w:w="878" w:type="dxa"/>
            <w:shd w:val="clear" w:color="auto" w:fill="auto"/>
            <w:noWrap/>
            <w:vAlign w:val="bottom"/>
            <w:hideMark/>
          </w:tcPr>
          <w:p w14:paraId="26BAAB64"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0.02</w:t>
            </w:r>
          </w:p>
        </w:tc>
        <w:tc>
          <w:tcPr>
            <w:tcW w:w="960" w:type="dxa"/>
            <w:shd w:val="clear" w:color="auto" w:fill="auto"/>
            <w:noWrap/>
            <w:vAlign w:val="bottom"/>
            <w:hideMark/>
          </w:tcPr>
          <w:p w14:paraId="624DE488" w14:textId="77777777"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1.02</w:t>
            </w:r>
          </w:p>
        </w:tc>
        <w:tc>
          <w:tcPr>
            <w:tcW w:w="960" w:type="dxa"/>
            <w:vAlign w:val="bottom"/>
          </w:tcPr>
          <w:p w14:paraId="541C472A" w14:textId="5058D1ED"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0.15</w:t>
            </w:r>
          </w:p>
        </w:tc>
        <w:tc>
          <w:tcPr>
            <w:tcW w:w="960" w:type="dxa"/>
            <w:vAlign w:val="bottom"/>
          </w:tcPr>
          <w:p w14:paraId="5BE2F471" w14:textId="7A7A6276" w:rsidR="00920C23" w:rsidRPr="00C04237" w:rsidRDefault="00920C23" w:rsidP="00920C23">
            <w:pPr>
              <w:spacing w:after="0" w:line="240" w:lineRule="auto"/>
              <w:jc w:val="center"/>
              <w:rPr>
                <w:rFonts w:ascii="Calibri" w:eastAsia="Times New Roman" w:hAnsi="Calibri" w:cs="Calibri"/>
                <w:color w:val="000000"/>
                <w:lang w:eastAsia="en-GB"/>
              </w:rPr>
            </w:pPr>
            <w:r w:rsidRPr="00C04237">
              <w:rPr>
                <w:rFonts w:ascii="Calibri" w:eastAsia="Times New Roman" w:hAnsi="Calibri" w:cs="Calibri"/>
                <w:color w:val="000000"/>
                <w:lang w:eastAsia="en-GB"/>
              </w:rPr>
              <w:t>0.08</w:t>
            </w:r>
          </w:p>
        </w:tc>
      </w:tr>
    </w:tbl>
    <w:p w14:paraId="235018A9" w14:textId="74A9940A" w:rsidR="002A2EFA" w:rsidRPr="00A5667B" w:rsidRDefault="009C067A" w:rsidP="008B543C">
      <w:pPr>
        <w:spacing w:line="360" w:lineRule="auto"/>
        <w:jc w:val="both"/>
        <w:rPr>
          <w:rFonts w:ascii="Arial" w:hAnsi="Arial" w:cs="Arial"/>
          <w:sz w:val="20"/>
          <w:szCs w:val="20"/>
        </w:rPr>
      </w:pPr>
      <w:r w:rsidRPr="003B36D3">
        <w:rPr>
          <w:rFonts w:ascii="Arial" w:hAnsi="Arial" w:cs="Arial"/>
          <w:sz w:val="18"/>
          <w:szCs w:val="18"/>
        </w:rPr>
        <w:t xml:space="preserve">Note: MPC is </w:t>
      </w:r>
      <w:r w:rsidR="00F962AB" w:rsidRPr="003B36D3">
        <w:rPr>
          <w:rFonts w:ascii="Arial" w:hAnsi="Arial" w:cs="Arial"/>
          <w:sz w:val="18"/>
          <w:szCs w:val="18"/>
        </w:rPr>
        <w:t>the marginal propensity to consume</w:t>
      </w:r>
      <w:r w:rsidRPr="003B36D3">
        <w:rPr>
          <w:rFonts w:ascii="Arial" w:hAnsi="Arial" w:cs="Arial"/>
          <w:sz w:val="18"/>
          <w:szCs w:val="18"/>
        </w:rPr>
        <w:t xml:space="preserve">; KIM is </w:t>
      </w:r>
      <w:r w:rsidR="00F962AB" w:rsidRPr="003B36D3">
        <w:rPr>
          <w:rFonts w:ascii="Arial" w:hAnsi="Arial" w:cs="Arial"/>
          <w:sz w:val="18"/>
          <w:szCs w:val="18"/>
        </w:rPr>
        <w:t>Keynesian income multiplier</w:t>
      </w:r>
      <w:r w:rsidRPr="003B36D3">
        <w:rPr>
          <w:rFonts w:ascii="Arial" w:hAnsi="Arial" w:cs="Arial"/>
          <w:sz w:val="18"/>
          <w:szCs w:val="18"/>
        </w:rPr>
        <w:t xml:space="preserve">; SEI is </w:t>
      </w:r>
      <w:r w:rsidR="00A50B09" w:rsidRPr="003B36D3">
        <w:rPr>
          <w:rFonts w:ascii="Arial" w:hAnsi="Arial" w:cs="Arial"/>
          <w:sz w:val="18"/>
          <w:szCs w:val="18"/>
        </w:rPr>
        <w:t>sustainable energy infrastructure</w:t>
      </w:r>
      <w:r w:rsidRPr="003B36D3">
        <w:rPr>
          <w:rFonts w:ascii="Arial" w:hAnsi="Arial" w:cs="Arial"/>
          <w:sz w:val="18"/>
          <w:szCs w:val="18"/>
        </w:rPr>
        <w:t xml:space="preserve">; and </w:t>
      </w:r>
      <w:r w:rsidR="00A50B09" w:rsidRPr="003B36D3">
        <w:rPr>
          <w:rFonts w:ascii="Arial" w:hAnsi="Arial" w:cs="Arial"/>
          <w:sz w:val="18"/>
          <w:szCs w:val="18"/>
        </w:rPr>
        <w:t>F is female</w:t>
      </w:r>
      <w:r w:rsidRPr="00A5667B">
        <w:rPr>
          <w:rFonts w:ascii="Arial" w:hAnsi="Arial" w:cs="Arial"/>
          <w:sz w:val="20"/>
          <w:szCs w:val="20"/>
        </w:rPr>
        <w:t>.</w:t>
      </w:r>
    </w:p>
    <w:p w14:paraId="0BF8D587" w14:textId="04A207FA" w:rsidR="005D72B0" w:rsidRPr="00A5667B" w:rsidRDefault="002A2EFA" w:rsidP="005D72B0">
      <w:pPr>
        <w:spacing w:line="360" w:lineRule="auto"/>
        <w:jc w:val="both"/>
        <w:rPr>
          <w:rFonts w:ascii="Arial" w:hAnsi="Arial" w:cs="Arial"/>
          <w:sz w:val="24"/>
          <w:szCs w:val="24"/>
        </w:rPr>
      </w:pPr>
      <w:r w:rsidRPr="00A5667B">
        <w:rPr>
          <w:rFonts w:ascii="Arial" w:hAnsi="Arial" w:cs="Arial"/>
          <w:sz w:val="24"/>
          <w:szCs w:val="24"/>
        </w:rPr>
        <w:t xml:space="preserve">Using </w:t>
      </w:r>
      <w:r w:rsidR="00DD335F" w:rsidRPr="00A5667B">
        <w:rPr>
          <w:rFonts w:ascii="Arial" w:hAnsi="Arial" w:cs="Arial"/>
          <w:sz w:val="24"/>
          <w:szCs w:val="24"/>
        </w:rPr>
        <w:t>E</w:t>
      </w:r>
      <w:r w:rsidRPr="00A5667B">
        <w:rPr>
          <w:rFonts w:ascii="Arial" w:hAnsi="Arial" w:cs="Arial"/>
          <w:sz w:val="24"/>
          <w:szCs w:val="24"/>
        </w:rPr>
        <w:t>quations (</w:t>
      </w:r>
      <w:r w:rsidR="00D6393B">
        <w:rPr>
          <w:rFonts w:ascii="Arial" w:hAnsi="Arial" w:cs="Arial"/>
          <w:sz w:val="24"/>
          <w:szCs w:val="24"/>
        </w:rPr>
        <w:t>5</w:t>
      </w:r>
      <w:r w:rsidRPr="00A5667B">
        <w:rPr>
          <w:rFonts w:ascii="Arial" w:hAnsi="Arial" w:cs="Arial"/>
          <w:sz w:val="24"/>
          <w:szCs w:val="24"/>
        </w:rPr>
        <w:t>) and (</w:t>
      </w:r>
      <w:r w:rsidR="00D6393B">
        <w:rPr>
          <w:rFonts w:ascii="Arial" w:hAnsi="Arial" w:cs="Arial"/>
          <w:sz w:val="24"/>
          <w:szCs w:val="24"/>
        </w:rPr>
        <w:t>6</w:t>
      </w:r>
      <w:r w:rsidRPr="00A5667B">
        <w:rPr>
          <w:rFonts w:ascii="Arial" w:hAnsi="Arial" w:cs="Arial"/>
          <w:sz w:val="24"/>
          <w:szCs w:val="24"/>
        </w:rPr>
        <w:t>)</w:t>
      </w:r>
      <w:r w:rsidR="00B54635" w:rsidRPr="00A5667B">
        <w:rPr>
          <w:rFonts w:ascii="Arial" w:hAnsi="Arial" w:cs="Arial"/>
          <w:sz w:val="24"/>
          <w:szCs w:val="24"/>
        </w:rPr>
        <w:t>,</w:t>
      </w:r>
      <w:r w:rsidRPr="00A5667B">
        <w:rPr>
          <w:rFonts w:ascii="Arial" w:hAnsi="Arial" w:cs="Arial"/>
          <w:sz w:val="24"/>
          <w:szCs w:val="24"/>
        </w:rPr>
        <w:t xml:space="preserve"> the induced local economic impact per unit of energy due to the new autonomous renewable energy infrastructure (SEI) and the impact on female waged employment were calculated. </w:t>
      </w:r>
      <w:r w:rsidR="009C067A" w:rsidRPr="00A5667B">
        <w:rPr>
          <w:rFonts w:ascii="Arial" w:hAnsi="Arial" w:cs="Arial"/>
          <w:sz w:val="24"/>
          <w:szCs w:val="24"/>
        </w:rPr>
        <w:t xml:space="preserve">The </w:t>
      </w:r>
      <w:r w:rsidR="005D72B0" w:rsidRPr="00A5667B">
        <w:rPr>
          <w:rFonts w:ascii="Arial" w:hAnsi="Arial" w:cs="Arial"/>
          <w:sz w:val="24"/>
          <w:szCs w:val="24"/>
        </w:rPr>
        <w:t xml:space="preserve">ICT scale-up factor </w:t>
      </w:r>
      <w:proofErr w:type="gramStart"/>
      <w:r w:rsidR="005D72B0" w:rsidRPr="00A5667B">
        <w:rPr>
          <w:rFonts w:ascii="Arial" w:hAnsi="Arial" w:cs="Arial"/>
          <w:sz w:val="24"/>
          <w:szCs w:val="24"/>
        </w:rPr>
        <w:t xml:space="preserve">was considered </w:t>
      </w:r>
      <w:r w:rsidR="00781DFD" w:rsidRPr="00A5667B">
        <w:rPr>
          <w:rFonts w:ascii="Arial" w:hAnsi="Arial" w:cs="Arial"/>
          <w:sz w:val="24"/>
          <w:szCs w:val="24"/>
        </w:rPr>
        <w:t>to be</w:t>
      </w:r>
      <w:proofErr w:type="gramEnd"/>
      <w:r w:rsidR="00781DFD" w:rsidRPr="00A5667B">
        <w:rPr>
          <w:rFonts w:ascii="Arial" w:hAnsi="Arial" w:cs="Arial"/>
          <w:sz w:val="24"/>
          <w:szCs w:val="24"/>
        </w:rPr>
        <w:t xml:space="preserve"> </w:t>
      </w:r>
      <w:r w:rsidR="005D72B0" w:rsidRPr="00A5667B">
        <w:rPr>
          <w:rFonts w:ascii="Arial" w:hAnsi="Arial" w:cs="Arial"/>
          <w:sz w:val="24"/>
          <w:szCs w:val="24"/>
        </w:rPr>
        <w:t>1.2</w:t>
      </w:r>
      <w:r w:rsidR="00781DFD" w:rsidRPr="00A5667B">
        <w:rPr>
          <w:rFonts w:ascii="Arial" w:hAnsi="Arial" w:cs="Arial"/>
          <w:sz w:val="24"/>
          <w:szCs w:val="24"/>
        </w:rPr>
        <w:t>,</w:t>
      </w:r>
      <w:r w:rsidR="005D72B0" w:rsidRPr="00A5667B">
        <w:rPr>
          <w:rFonts w:ascii="Arial" w:hAnsi="Arial" w:cs="Arial"/>
          <w:sz w:val="24"/>
          <w:szCs w:val="24"/>
        </w:rPr>
        <w:t xml:space="preserve"> and </w:t>
      </w:r>
      <w:r w:rsidR="00781DFD" w:rsidRPr="00A5667B">
        <w:rPr>
          <w:rFonts w:ascii="Arial" w:hAnsi="Arial" w:cs="Arial"/>
          <w:sz w:val="24"/>
          <w:szCs w:val="24"/>
        </w:rPr>
        <w:t xml:space="preserve">the </w:t>
      </w:r>
      <w:r w:rsidR="005D72B0" w:rsidRPr="00A5667B">
        <w:rPr>
          <w:rFonts w:ascii="Arial" w:hAnsi="Arial" w:cs="Arial"/>
          <w:sz w:val="24"/>
          <w:szCs w:val="24"/>
        </w:rPr>
        <w:t xml:space="preserve">GRLI was taken from Table 2. As seen </w:t>
      </w:r>
      <w:r w:rsidR="00781DFD" w:rsidRPr="00A5667B">
        <w:rPr>
          <w:rFonts w:ascii="Arial" w:hAnsi="Arial" w:cs="Arial"/>
          <w:sz w:val="24"/>
          <w:szCs w:val="24"/>
        </w:rPr>
        <w:t xml:space="preserve">in </w:t>
      </w:r>
      <w:r w:rsidR="005D72B0" w:rsidRPr="00A5667B">
        <w:rPr>
          <w:rFonts w:ascii="Arial" w:hAnsi="Arial" w:cs="Arial"/>
          <w:sz w:val="24"/>
          <w:szCs w:val="24"/>
        </w:rPr>
        <w:t xml:space="preserve">Table </w:t>
      </w:r>
      <w:r w:rsidR="001A27B0" w:rsidRPr="00A5667B">
        <w:rPr>
          <w:rFonts w:ascii="Arial" w:hAnsi="Arial" w:cs="Arial"/>
          <w:sz w:val="24"/>
          <w:szCs w:val="24"/>
        </w:rPr>
        <w:t>1</w:t>
      </w:r>
      <w:r w:rsidR="005D72B0" w:rsidRPr="00A5667B">
        <w:rPr>
          <w:rFonts w:ascii="Arial" w:hAnsi="Arial" w:cs="Arial"/>
          <w:sz w:val="24"/>
          <w:szCs w:val="24"/>
        </w:rPr>
        <w:t>, the LCOE for the RES scenario selected was €0.12</w:t>
      </w:r>
      <w:r w:rsidR="001F29A1" w:rsidRPr="00A5667B">
        <w:rPr>
          <w:rFonts w:ascii="Arial" w:hAnsi="Arial" w:cs="Arial"/>
          <w:sz w:val="24"/>
          <w:szCs w:val="24"/>
        </w:rPr>
        <w:t>/kWh</w:t>
      </w:r>
      <w:r w:rsidR="005D72B0" w:rsidRPr="00A5667B">
        <w:rPr>
          <w:rFonts w:ascii="Arial" w:hAnsi="Arial" w:cs="Arial"/>
          <w:sz w:val="24"/>
          <w:szCs w:val="24"/>
        </w:rPr>
        <w:t xml:space="preserve">. Table </w:t>
      </w:r>
      <w:r w:rsidR="009C067A" w:rsidRPr="00A5667B">
        <w:rPr>
          <w:rFonts w:ascii="Arial" w:hAnsi="Arial" w:cs="Arial"/>
          <w:sz w:val="24"/>
          <w:szCs w:val="24"/>
        </w:rPr>
        <w:t>4</w:t>
      </w:r>
      <w:r w:rsidR="005D72B0" w:rsidRPr="00A5667B">
        <w:rPr>
          <w:rFonts w:ascii="Arial" w:hAnsi="Arial" w:cs="Arial"/>
          <w:sz w:val="24"/>
          <w:szCs w:val="24"/>
        </w:rPr>
        <w:t xml:space="preserve"> </w:t>
      </w:r>
      <w:r w:rsidR="00D14169" w:rsidRPr="00A5667B">
        <w:rPr>
          <w:rFonts w:ascii="Arial" w:hAnsi="Arial" w:cs="Arial"/>
          <w:sz w:val="24"/>
          <w:szCs w:val="24"/>
        </w:rPr>
        <w:t>also</w:t>
      </w:r>
      <w:r w:rsidR="005D72B0" w:rsidRPr="00A5667B">
        <w:rPr>
          <w:rFonts w:ascii="Arial" w:hAnsi="Arial" w:cs="Arial"/>
          <w:sz w:val="24"/>
          <w:szCs w:val="24"/>
        </w:rPr>
        <w:t xml:space="preserve"> shows the induced local economic impact per unit of energy for La Graciosa. Column </w:t>
      </w:r>
      <w:r w:rsidR="009C067A" w:rsidRPr="00A5667B">
        <w:rPr>
          <w:rFonts w:ascii="Arial" w:hAnsi="Arial" w:cs="Arial"/>
          <w:sz w:val="24"/>
          <w:szCs w:val="24"/>
        </w:rPr>
        <w:t>4</w:t>
      </w:r>
      <w:r w:rsidR="005D72B0" w:rsidRPr="00A5667B">
        <w:rPr>
          <w:rFonts w:ascii="Arial" w:hAnsi="Arial" w:cs="Arial"/>
          <w:sz w:val="24"/>
          <w:szCs w:val="24"/>
        </w:rPr>
        <w:t xml:space="preserve"> shows the impact on male waged employment and column </w:t>
      </w:r>
      <w:r w:rsidR="009C067A" w:rsidRPr="00A5667B">
        <w:rPr>
          <w:rFonts w:ascii="Arial" w:hAnsi="Arial" w:cs="Arial"/>
          <w:sz w:val="24"/>
          <w:szCs w:val="24"/>
        </w:rPr>
        <w:t>5</w:t>
      </w:r>
      <w:r w:rsidR="005D72B0" w:rsidRPr="00A5667B">
        <w:rPr>
          <w:rFonts w:ascii="Arial" w:hAnsi="Arial" w:cs="Arial"/>
          <w:sz w:val="24"/>
          <w:szCs w:val="24"/>
        </w:rPr>
        <w:t xml:space="preserve"> on female waged employment. </w:t>
      </w:r>
    </w:p>
    <w:p w14:paraId="511A7640" w14:textId="411F65C2" w:rsidR="006C163B" w:rsidRPr="00A5667B" w:rsidRDefault="00A34D1E" w:rsidP="006C163B">
      <w:pPr>
        <w:spacing w:line="360" w:lineRule="auto"/>
        <w:jc w:val="both"/>
        <w:rPr>
          <w:rFonts w:ascii="Arial" w:hAnsi="Arial" w:cs="Arial"/>
          <w:sz w:val="24"/>
          <w:szCs w:val="24"/>
        </w:rPr>
      </w:pPr>
      <w:r w:rsidRPr="00A5667B">
        <w:rPr>
          <w:rFonts w:ascii="Arial" w:hAnsi="Arial" w:cs="Arial"/>
          <w:sz w:val="24"/>
          <w:szCs w:val="24"/>
        </w:rPr>
        <w:t xml:space="preserve">The profits from one unit of electrical energy are more than its unit cost </w:t>
      </w:r>
      <w:r>
        <w:rPr>
          <w:rFonts w:ascii="Arial" w:hAnsi="Arial" w:cs="Arial"/>
          <w:sz w:val="24"/>
          <w:szCs w:val="24"/>
        </w:rPr>
        <w:t>(</w:t>
      </w:r>
      <w:r w:rsidRPr="00A5667B">
        <w:rPr>
          <w:rFonts w:ascii="Arial" w:hAnsi="Arial" w:cs="Arial"/>
          <w:sz w:val="24"/>
          <w:szCs w:val="24"/>
        </w:rPr>
        <w:t>LCOE of €0.1</w:t>
      </w:r>
      <w:r>
        <w:rPr>
          <w:rFonts w:ascii="Arial" w:hAnsi="Arial" w:cs="Arial"/>
          <w:sz w:val="24"/>
          <w:szCs w:val="24"/>
        </w:rPr>
        <w:t>2</w:t>
      </w:r>
      <w:r w:rsidRPr="00A5667B">
        <w:rPr>
          <w:rFonts w:ascii="Arial" w:hAnsi="Arial" w:cs="Arial"/>
          <w:sz w:val="24"/>
          <w:szCs w:val="24"/>
        </w:rPr>
        <w:t>/kWh</w:t>
      </w:r>
      <w:r>
        <w:rPr>
          <w:rFonts w:ascii="Arial" w:hAnsi="Arial" w:cs="Arial"/>
          <w:sz w:val="24"/>
          <w:szCs w:val="24"/>
        </w:rPr>
        <w:t>)</w:t>
      </w:r>
      <w:r w:rsidRPr="00A5667B">
        <w:rPr>
          <w:rFonts w:ascii="Arial" w:hAnsi="Arial" w:cs="Arial"/>
          <w:sz w:val="24"/>
          <w:szCs w:val="24"/>
        </w:rPr>
        <w:t xml:space="preserve"> for all sectors in male waged employment</w:t>
      </w:r>
      <w:r>
        <w:rPr>
          <w:rFonts w:ascii="Arial" w:hAnsi="Arial" w:cs="Arial"/>
          <w:sz w:val="24"/>
          <w:szCs w:val="24"/>
        </w:rPr>
        <w:t xml:space="preserve"> (SEI)</w:t>
      </w:r>
      <w:r w:rsidR="006C163B" w:rsidRPr="00A5667B">
        <w:rPr>
          <w:rFonts w:ascii="Arial" w:hAnsi="Arial" w:cs="Arial"/>
          <w:sz w:val="24"/>
          <w:szCs w:val="24"/>
        </w:rPr>
        <w:t xml:space="preserve">. Meanwhile, tourism </w:t>
      </w:r>
      <w:r w:rsidR="00D21C17" w:rsidRPr="00A5667B">
        <w:rPr>
          <w:rFonts w:ascii="Arial" w:hAnsi="Arial" w:cs="Arial"/>
          <w:sz w:val="24"/>
          <w:szCs w:val="24"/>
        </w:rPr>
        <w:t xml:space="preserve">is the only </w:t>
      </w:r>
      <w:r w:rsidR="006C163B" w:rsidRPr="00A5667B">
        <w:rPr>
          <w:rFonts w:ascii="Arial" w:hAnsi="Arial" w:cs="Arial"/>
          <w:sz w:val="24"/>
          <w:szCs w:val="24"/>
        </w:rPr>
        <w:t>sector</w:t>
      </w:r>
      <w:r w:rsidR="00D21C17" w:rsidRPr="00A5667B">
        <w:rPr>
          <w:rFonts w:ascii="Arial" w:hAnsi="Arial" w:cs="Arial"/>
          <w:sz w:val="24"/>
          <w:szCs w:val="24"/>
        </w:rPr>
        <w:t xml:space="preserve"> in which</w:t>
      </w:r>
      <w:r w:rsidR="006C163B" w:rsidRPr="00A5667B">
        <w:rPr>
          <w:rFonts w:ascii="Arial" w:hAnsi="Arial" w:cs="Arial"/>
          <w:sz w:val="24"/>
          <w:szCs w:val="24"/>
        </w:rPr>
        <w:t xml:space="preserve"> the profit from one unit of energy </w:t>
      </w:r>
      <w:r w:rsidR="00D21C17" w:rsidRPr="00A5667B">
        <w:rPr>
          <w:rFonts w:ascii="Arial" w:hAnsi="Arial" w:cs="Arial"/>
          <w:sz w:val="24"/>
          <w:szCs w:val="24"/>
        </w:rPr>
        <w:t>exceeds</w:t>
      </w:r>
      <w:r w:rsidR="006C163B" w:rsidRPr="00A5667B">
        <w:rPr>
          <w:rFonts w:ascii="Arial" w:hAnsi="Arial" w:cs="Arial"/>
          <w:sz w:val="24"/>
          <w:szCs w:val="24"/>
        </w:rPr>
        <w:t xml:space="preserve"> its unit cost in </w:t>
      </w:r>
      <w:r w:rsidR="00D21C17" w:rsidRPr="00A5667B">
        <w:rPr>
          <w:rFonts w:ascii="Arial" w:hAnsi="Arial" w:cs="Arial"/>
          <w:sz w:val="24"/>
          <w:szCs w:val="24"/>
        </w:rPr>
        <w:t xml:space="preserve">terms of </w:t>
      </w:r>
      <w:r w:rsidR="006C163B" w:rsidRPr="00A5667B">
        <w:rPr>
          <w:rFonts w:ascii="Arial" w:hAnsi="Arial" w:cs="Arial"/>
          <w:sz w:val="24"/>
          <w:szCs w:val="24"/>
        </w:rPr>
        <w:t>female waged employment. The data available for GRLI may have skewed some of the results. Municipalities and councils managing the local economy can control the impact potential of re-spend by each economic sector and devise plans for how income from the sales of energy is to be shared to affect growth and improvements in target sectors. Without such action plans, the local economic impact of different sectors will remain the same. Only the size of the economy would increase based on the share of energy income offered to the community.</w:t>
      </w:r>
    </w:p>
    <w:p w14:paraId="1EC6E84A" w14:textId="6CE96840" w:rsidR="001221DD" w:rsidRPr="000514E3" w:rsidRDefault="006D76C0" w:rsidP="0090373A">
      <w:pPr>
        <w:pStyle w:val="Heading2"/>
        <w:numPr>
          <w:ilvl w:val="1"/>
          <w:numId w:val="17"/>
        </w:numPr>
        <w:rPr>
          <w:rFonts w:ascii="Arial" w:hAnsi="Arial" w:cs="Arial"/>
          <w:sz w:val="24"/>
          <w:szCs w:val="24"/>
        </w:rPr>
      </w:pPr>
      <w:r w:rsidRPr="000514E3">
        <w:rPr>
          <w:rFonts w:ascii="Arial" w:hAnsi="Arial" w:cs="Arial"/>
          <w:sz w:val="24"/>
          <w:szCs w:val="24"/>
        </w:rPr>
        <w:t xml:space="preserve"> </w:t>
      </w:r>
      <w:r w:rsidR="0063550E" w:rsidRPr="000514E3">
        <w:rPr>
          <w:rFonts w:ascii="Arial" w:hAnsi="Arial" w:cs="Arial"/>
          <w:sz w:val="24"/>
          <w:szCs w:val="24"/>
        </w:rPr>
        <w:t>Gotland Island</w:t>
      </w:r>
      <w:r w:rsidR="00D14169" w:rsidRPr="000514E3">
        <w:rPr>
          <w:rFonts w:ascii="Arial" w:hAnsi="Arial" w:cs="Arial"/>
          <w:sz w:val="24"/>
          <w:szCs w:val="24"/>
        </w:rPr>
        <w:t>, Sweden</w:t>
      </w:r>
    </w:p>
    <w:p w14:paraId="2B7F9F05" w14:textId="330A2C42" w:rsidR="0063550E" w:rsidRPr="00A5667B" w:rsidRDefault="00E35114" w:rsidP="00CF7852">
      <w:pPr>
        <w:spacing w:line="360" w:lineRule="auto"/>
        <w:jc w:val="both"/>
        <w:rPr>
          <w:rFonts w:ascii="Arial" w:hAnsi="Arial" w:cs="Arial"/>
          <w:sz w:val="24"/>
          <w:szCs w:val="24"/>
        </w:rPr>
      </w:pPr>
      <w:r>
        <w:rPr>
          <w:rFonts w:ascii="Arial" w:hAnsi="Arial" w:cs="Arial"/>
          <w:sz w:val="24"/>
          <w:szCs w:val="24"/>
        </w:rPr>
        <w:t>K</w:t>
      </w:r>
      <w:r w:rsidR="00C61096">
        <w:rPr>
          <w:rFonts w:ascii="Arial" w:hAnsi="Arial" w:cs="Arial"/>
          <w:sz w:val="24"/>
          <w:szCs w:val="24"/>
        </w:rPr>
        <w:t xml:space="preserve">ey </w:t>
      </w:r>
      <w:r>
        <w:rPr>
          <w:rFonts w:ascii="Arial" w:hAnsi="Arial" w:cs="Arial"/>
          <w:sz w:val="24"/>
          <w:szCs w:val="24"/>
        </w:rPr>
        <w:t>characteristics</w:t>
      </w:r>
      <w:r w:rsidR="00C61096">
        <w:rPr>
          <w:rFonts w:ascii="Arial" w:hAnsi="Arial" w:cs="Arial"/>
          <w:sz w:val="24"/>
          <w:szCs w:val="24"/>
        </w:rPr>
        <w:t xml:space="preserve"> </w:t>
      </w:r>
      <w:r w:rsidR="001728D3">
        <w:rPr>
          <w:rFonts w:ascii="Arial" w:hAnsi="Arial" w:cs="Arial"/>
          <w:sz w:val="24"/>
          <w:szCs w:val="24"/>
        </w:rPr>
        <w:t xml:space="preserve">of </w:t>
      </w:r>
      <w:r w:rsidR="00712036" w:rsidRPr="008320C7">
        <w:rPr>
          <w:rFonts w:ascii="Arial" w:hAnsi="Arial" w:cs="Arial"/>
          <w:sz w:val="24"/>
          <w:szCs w:val="24"/>
        </w:rPr>
        <w:t>Gotland is as shown in Table</w:t>
      </w:r>
      <w:r w:rsidR="00B56718" w:rsidRPr="008320C7">
        <w:rPr>
          <w:rFonts w:ascii="Arial" w:hAnsi="Arial" w:cs="Arial"/>
          <w:sz w:val="24"/>
          <w:szCs w:val="24"/>
        </w:rPr>
        <w:t>s</w:t>
      </w:r>
      <w:r w:rsidR="00712036" w:rsidRPr="008320C7">
        <w:rPr>
          <w:rFonts w:ascii="Arial" w:hAnsi="Arial" w:cs="Arial"/>
          <w:sz w:val="24"/>
          <w:szCs w:val="24"/>
        </w:rPr>
        <w:t xml:space="preserve"> </w:t>
      </w:r>
      <w:r w:rsidR="00D256E0">
        <w:rPr>
          <w:rFonts w:ascii="Arial" w:hAnsi="Arial" w:cs="Arial"/>
          <w:sz w:val="24"/>
          <w:szCs w:val="24"/>
        </w:rPr>
        <w:t>1</w:t>
      </w:r>
      <w:r w:rsidR="00B56718" w:rsidRPr="008320C7">
        <w:rPr>
          <w:rFonts w:ascii="Arial" w:hAnsi="Arial" w:cs="Arial"/>
          <w:sz w:val="24"/>
          <w:szCs w:val="24"/>
        </w:rPr>
        <w:t xml:space="preserve"> and 3</w:t>
      </w:r>
      <w:r w:rsidR="00C61096">
        <w:rPr>
          <w:rFonts w:ascii="Arial" w:hAnsi="Arial" w:cs="Arial"/>
          <w:sz w:val="24"/>
          <w:szCs w:val="24"/>
        </w:rPr>
        <w:t xml:space="preserve">. </w:t>
      </w:r>
      <w:r w:rsidR="00FF5B37" w:rsidRPr="008320C7">
        <w:rPr>
          <w:rFonts w:ascii="Arial" w:hAnsi="Arial" w:cs="Arial"/>
          <w:sz w:val="24"/>
          <w:szCs w:val="24"/>
        </w:rPr>
        <w:t>Due to the large</w:t>
      </w:r>
      <w:r w:rsidR="00FF5B37" w:rsidRPr="00A5667B">
        <w:rPr>
          <w:rFonts w:ascii="Arial" w:hAnsi="Arial" w:cs="Arial"/>
          <w:sz w:val="24"/>
          <w:szCs w:val="24"/>
        </w:rPr>
        <w:t xml:space="preserve"> population</w:t>
      </w:r>
      <w:r w:rsidR="00D63011" w:rsidRPr="00A5667B">
        <w:rPr>
          <w:rFonts w:ascii="Arial" w:hAnsi="Arial" w:cs="Arial"/>
          <w:sz w:val="24"/>
          <w:szCs w:val="24"/>
        </w:rPr>
        <w:t xml:space="preserve"> of the </w:t>
      </w:r>
      <w:r w:rsidR="00A67FA4" w:rsidRPr="00A5667B">
        <w:rPr>
          <w:rFonts w:ascii="Arial" w:hAnsi="Arial" w:cs="Arial"/>
          <w:sz w:val="24"/>
          <w:szCs w:val="24"/>
        </w:rPr>
        <w:t>island, there is a possibility of specialist sub-contractor</w:t>
      </w:r>
      <w:r w:rsidR="00C635E5" w:rsidRPr="00A5667B">
        <w:rPr>
          <w:rFonts w:ascii="Arial" w:hAnsi="Arial" w:cs="Arial"/>
          <w:sz w:val="24"/>
          <w:szCs w:val="24"/>
        </w:rPr>
        <w:t>s from within the local economy as plant/site sub-contractors.</w:t>
      </w:r>
      <w:r w:rsidR="008A584E" w:rsidRPr="00A5667B">
        <w:rPr>
          <w:rFonts w:ascii="Arial" w:hAnsi="Arial" w:cs="Arial"/>
          <w:sz w:val="24"/>
          <w:szCs w:val="24"/>
        </w:rPr>
        <w:t xml:space="preserve"> </w:t>
      </w:r>
      <w:r w:rsidR="004F52B3" w:rsidRPr="00A5667B">
        <w:rPr>
          <w:rFonts w:ascii="Arial" w:hAnsi="Arial" w:cs="Arial"/>
          <w:sz w:val="24"/>
          <w:szCs w:val="24"/>
        </w:rPr>
        <w:t>To</w:t>
      </w:r>
      <w:r w:rsidR="00DF40CA" w:rsidRPr="00A5667B">
        <w:rPr>
          <w:rFonts w:ascii="Arial" w:hAnsi="Arial" w:cs="Arial"/>
          <w:sz w:val="24"/>
          <w:szCs w:val="24"/>
        </w:rPr>
        <w:t xml:space="preserve"> create direct and indirect </w:t>
      </w:r>
      <w:r w:rsidR="00DF40CA" w:rsidRPr="00A5667B">
        <w:rPr>
          <w:rFonts w:ascii="Arial" w:hAnsi="Arial" w:cs="Arial"/>
          <w:sz w:val="24"/>
          <w:szCs w:val="24"/>
        </w:rPr>
        <w:lastRenderedPageBreak/>
        <w:t xml:space="preserve">employment opportunities in the construction phase of wind technology, the main machinery must be manufactured outside of the local economy. Due to an increase in population, the local cash flow will temporarily increase, but will only last for the duration of the installation. </w:t>
      </w:r>
      <w:r w:rsidR="00D11DEE" w:rsidRPr="00A5667B">
        <w:rPr>
          <w:rFonts w:ascii="Arial" w:hAnsi="Arial" w:cs="Arial"/>
          <w:sz w:val="24"/>
          <w:szCs w:val="24"/>
        </w:rPr>
        <w:t xml:space="preserve">Prediction of the land </w:t>
      </w:r>
      <w:r w:rsidR="0089253D" w:rsidRPr="00A5667B">
        <w:rPr>
          <w:rFonts w:ascii="Arial" w:hAnsi="Arial" w:cs="Arial"/>
          <w:sz w:val="24"/>
          <w:szCs w:val="24"/>
        </w:rPr>
        <w:t>lease is premature at this point, but community ownership is recommended.</w:t>
      </w:r>
      <w:r w:rsidR="00037586" w:rsidRPr="00A5667B">
        <w:rPr>
          <w:rFonts w:ascii="Arial" w:hAnsi="Arial" w:cs="Arial"/>
          <w:sz w:val="24"/>
          <w:szCs w:val="24"/>
        </w:rPr>
        <w:t xml:space="preserve"> The analysis of the induced effect is </w:t>
      </w:r>
      <w:r w:rsidR="00DD335F" w:rsidRPr="00A5667B">
        <w:rPr>
          <w:rFonts w:ascii="Arial" w:hAnsi="Arial" w:cs="Arial"/>
          <w:sz w:val="24"/>
          <w:szCs w:val="24"/>
        </w:rPr>
        <w:t>conducted,</w:t>
      </w:r>
      <w:r w:rsidR="00037586" w:rsidRPr="00A5667B">
        <w:rPr>
          <w:rFonts w:ascii="Arial" w:hAnsi="Arial" w:cs="Arial"/>
          <w:sz w:val="24"/>
          <w:szCs w:val="24"/>
        </w:rPr>
        <w:t xml:space="preserve"> </w:t>
      </w:r>
      <w:r w:rsidR="00021760" w:rsidRPr="00A5667B">
        <w:rPr>
          <w:rFonts w:ascii="Arial" w:hAnsi="Arial" w:cs="Arial"/>
          <w:sz w:val="24"/>
          <w:szCs w:val="24"/>
        </w:rPr>
        <w:t xml:space="preserve">and the results </w:t>
      </w:r>
      <w:r w:rsidR="00DF40CA" w:rsidRPr="00A5667B">
        <w:rPr>
          <w:rFonts w:ascii="Arial" w:hAnsi="Arial" w:cs="Arial"/>
          <w:sz w:val="24"/>
          <w:szCs w:val="24"/>
        </w:rPr>
        <w:t xml:space="preserve">are </w:t>
      </w:r>
      <w:r w:rsidR="00021760" w:rsidRPr="00A5667B">
        <w:rPr>
          <w:rFonts w:ascii="Arial" w:hAnsi="Arial" w:cs="Arial"/>
          <w:sz w:val="24"/>
          <w:szCs w:val="24"/>
        </w:rPr>
        <w:t xml:space="preserve">summarised in Table </w:t>
      </w:r>
      <w:r w:rsidR="00807F18">
        <w:rPr>
          <w:rFonts w:ascii="Arial" w:hAnsi="Arial" w:cs="Arial"/>
          <w:sz w:val="24"/>
          <w:szCs w:val="24"/>
        </w:rPr>
        <w:t>5</w:t>
      </w:r>
      <w:r w:rsidR="00021760" w:rsidRPr="00A5667B">
        <w:rPr>
          <w:rFonts w:ascii="Arial" w:hAnsi="Arial" w:cs="Arial"/>
          <w:sz w:val="24"/>
          <w:szCs w:val="24"/>
        </w:rPr>
        <w:t>.</w:t>
      </w:r>
    </w:p>
    <w:p w14:paraId="50C135DA" w14:textId="2EDF7C25" w:rsidR="00F5788D" w:rsidRPr="00A5667B" w:rsidRDefault="00F5788D" w:rsidP="00F5788D">
      <w:pPr>
        <w:pStyle w:val="Caption"/>
        <w:keepNext/>
      </w:pPr>
      <w:r w:rsidRPr="00A5667B">
        <w:t>Table</w:t>
      </w:r>
      <w:r w:rsidR="00807F18">
        <w:t xml:space="preserve"> </w:t>
      </w:r>
      <w:r w:rsidR="00950B46">
        <w:t>5</w:t>
      </w:r>
      <w:r w:rsidRPr="00A5667B">
        <w:t>: Economic sectors</w:t>
      </w:r>
      <w:r w:rsidR="00905FA9" w:rsidRPr="00A5667B">
        <w:t>, MPC, KIM,</w:t>
      </w:r>
      <w:r w:rsidR="00D14169" w:rsidRPr="00A5667B">
        <w:t xml:space="preserve"> and the induced local economic impact per unit of electrical energy for</w:t>
      </w:r>
      <w:r w:rsidRPr="00A5667B">
        <w:t xml:space="preserve"> Gotland Island</w:t>
      </w:r>
      <w:r w:rsidR="00D14169" w:rsidRPr="00A5667B">
        <w:t>, Sweden</w:t>
      </w:r>
    </w:p>
    <w:tbl>
      <w:tblPr>
        <w:tblW w:w="6840" w:type="dxa"/>
        <w:tblLook w:val="04A0" w:firstRow="1" w:lastRow="0" w:firstColumn="1" w:lastColumn="0" w:noHBand="0" w:noVBand="1"/>
      </w:tblPr>
      <w:tblGrid>
        <w:gridCol w:w="2040"/>
        <w:gridCol w:w="960"/>
        <w:gridCol w:w="960"/>
        <w:gridCol w:w="960"/>
        <w:gridCol w:w="960"/>
        <w:gridCol w:w="960"/>
      </w:tblGrid>
      <w:tr w:rsidR="009D349A" w:rsidRPr="00A5667B" w14:paraId="079144E9" w14:textId="6B0DE361" w:rsidTr="00D14169">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EDB030" w14:textId="77777777" w:rsidR="009D349A" w:rsidRPr="00A5667B" w:rsidRDefault="009D349A" w:rsidP="009D349A">
            <w:pPr>
              <w:spacing w:after="0" w:line="240" w:lineRule="auto"/>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Economic Sectors</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14:paraId="488D076A" w14:textId="77777777" w:rsidR="009D349A" w:rsidRPr="00A5667B" w:rsidRDefault="009D349A" w:rsidP="009D349A">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MPC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14:paraId="65624F83" w14:textId="77777777" w:rsidR="009D349A" w:rsidRPr="00A5667B" w:rsidRDefault="009D349A" w:rsidP="009D349A">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KIM</w:t>
            </w:r>
          </w:p>
        </w:tc>
        <w:tc>
          <w:tcPr>
            <w:tcW w:w="960" w:type="dxa"/>
            <w:tcBorders>
              <w:top w:val="single" w:sz="4" w:space="0" w:color="auto"/>
              <w:left w:val="nil"/>
              <w:bottom w:val="single" w:sz="4" w:space="0" w:color="auto"/>
              <w:right w:val="single" w:sz="4" w:space="0" w:color="auto"/>
            </w:tcBorders>
            <w:shd w:val="clear" w:color="000000" w:fill="92D050"/>
            <w:vAlign w:val="bottom"/>
          </w:tcPr>
          <w:p w14:paraId="7F61B555" w14:textId="510DBE0D" w:rsidR="009D349A" w:rsidRPr="00A5667B" w:rsidRDefault="009D349A" w:rsidP="009D349A">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SEI</w:t>
            </w:r>
          </w:p>
        </w:tc>
        <w:tc>
          <w:tcPr>
            <w:tcW w:w="960" w:type="dxa"/>
            <w:tcBorders>
              <w:top w:val="single" w:sz="4" w:space="0" w:color="auto"/>
              <w:left w:val="single" w:sz="4" w:space="0" w:color="auto"/>
              <w:bottom w:val="single" w:sz="4" w:space="0" w:color="auto"/>
              <w:right w:val="single" w:sz="4" w:space="0" w:color="auto"/>
            </w:tcBorders>
            <w:shd w:val="clear" w:color="000000" w:fill="92D050"/>
            <w:vAlign w:val="bottom"/>
          </w:tcPr>
          <w:p w14:paraId="627681FA" w14:textId="1740D14A" w:rsidR="009D349A" w:rsidRPr="00A5667B" w:rsidRDefault="009D349A" w:rsidP="009D349A">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GRLI</w:t>
            </w:r>
          </w:p>
        </w:tc>
        <w:tc>
          <w:tcPr>
            <w:tcW w:w="960" w:type="dxa"/>
            <w:tcBorders>
              <w:top w:val="single" w:sz="4" w:space="0" w:color="auto"/>
              <w:left w:val="nil"/>
              <w:bottom w:val="single" w:sz="4" w:space="0" w:color="auto"/>
              <w:right w:val="single" w:sz="4" w:space="0" w:color="auto"/>
            </w:tcBorders>
            <w:shd w:val="clear" w:color="000000" w:fill="92D050"/>
            <w:vAlign w:val="bottom"/>
          </w:tcPr>
          <w:p w14:paraId="776536A6" w14:textId="2CA9D22F" w:rsidR="009D349A" w:rsidRPr="00A5667B" w:rsidRDefault="009D349A" w:rsidP="009D349A">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SEI (F)</w:t>
            </w:r>
          </w:p>
        </w:tc>
      </w:tr>
      <w:tr w:rsidR="009D349A" w:rsidRPr="00A5667B" w14:paraId="50C8BB25" w14:textId="32552A71"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B0D5CD5"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Agriculture</w:t>
            </w:r>
          </w:p>
        </w:tc>
        <w:tc>
          <w:tcPr>
            <w:tcW w:w="960" w:type="dxa"/>
            <w:tcBorders>
              <w:top w:val="nil"/>
              <w:left w:val="nil"/>
              <w:bottom w:val="single" w:sz="4" w:space="0" w:color="auto"/>
              <w:right w:val="single" w:sz="4" w:space="0" w:color="auto"/>
            </w:tcBorders>
            <w:shd w:val="clear" w:color="auto" w:fill="auto"/>
            <w:noWrap/>
            <w:vAlign w:val="bottom"/>
            <w:hideMark/>
          </w:tcPr>
          <w:p w14:paraId="7AAF4E70"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0.24</w:t>
            </w:r>
          </w:p>
        </w:tc>
        <w:tc>
          <w:tcPr>
            <w:tcW w:w="960" w:type="dxa"/>
            <w:tcBorders>
              <w:top w:val="nil"/>
              <w:left w:val="nil"/>
              <w:bottom w:val="single" w:sz="4" w:space="0" w:color="auto"/>
              <w:right w:val="single" w:sz="4" w:space="0" w:color="auto"/>
            </w:tcBorders>
            <w:shd w:val="clear" w:color="auto" w:fill="auto"/>
            <w:noWrap/>
            <w:vAlign w:val="bottom"/>
            <w:hideMark/>
          </w:tcPr>
          <w:p w14:paraId="326110A8"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1.31</w:t>
            </w:r>
          </w:p>
        </w:tc>
        <w:tc>
          <w:tcPr>
            <w:tcW w:w="960" w:type="dxa"/>
            <w:tcBorders>
              <w:top w:val="single" w:sz="4" w:space="0" w:color="auto"/>
              <w:left w:val="nil"/>
              <w:bottom w:val="single" w:sz="4" w:space="0" w:color="auto"/>
              <w:right w:val="single" w:sz="4" w:space="0" w:color="auto"/>
            </w:tcBorders>
            <w:vAlign w:val="bottom"/>
          </w:tcPr>
          <w:p w14:paraId="5613CE98" w14:textId="09F127C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0.19</w:t>
            </w:r>
          </w:p>
        </w:tc>
        <w:tc>
          <w:tcPr>
            <w:tcW w:w="960" w:type="dxa"/>
            <w:tcBorders>
              <w:top w:val="single" w:sz="4" w:space="0" w:color="auto"/>
              <w:left w:val="single" w:sz="4" w:space="0" w:color="auto"/>
              <w:bottom w:val="single" w:sz="4" w:space="0" w:color="auto"/>
              <w:right w:val="single" w:sz="4" w:space="0" w:color="auto"/>
            </w:tcBorders>
            <w:vAlign w:val="bottom"/>
          </w:tcPr>
          <w:p w14:paraId="50E97FFA" w14:textId="039084F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0.28</w:t>
            </w:r>
          </w:p>
        </w:tc>
        <w:tc>
          <w:tcPr>
            <w:tcW w:w="960" w:type="dxa"/>
            <w:tcBorders>
              <w:top w:val="nil"/>
              <w:left w:val="nil"/>
              <w:bottom w:val="single" w:sz="4" w:space="0" w:color="auto"/>
              <w:right w:val="single" w:sz="4" w:space="0" w:color="auto"/>
            </w:tcBorders>
            <w:vAlign w:val="bottom"/>
          </w:tcPr>
          <w:p w14:paraId="28DF6832" w14:textId="5A49D8F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0.05</w:t>
            </w:r>
          </w:p>
        </w:tc>
      </w:tr>
      <w:tr w:rsidR="009D349A" w:rsidRPr="00A5667B" w14:paraId="01A82D3B" w14:textId="1A2F0E69"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FC06A89"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Tourism</w:t>
            </w:r>
          </w:p>
        </w:tc>
        <w:tc>
          <w:tcPr>
            <w:tcW w:w="960" w:type="dxa"/>
            <w:tcBorders>
              <w:top w:val="nil"/>
              <w:left w:val="nil"/>
              <w:bottom w:val="single" w:sz="4" w:space="0" w:color="auto"/>
              <w:right w:val="single" w:sz="4" w:space="0" w:color="auto"/>
            </w:tcBorders>
            <w:shd w:val="clear" w:color="auto" w:fill="auto"/>
            <w:noWrap/>
            <w:vAlign w:val="bottom"/>
            <w:hideMark/>
          </w:tcPr>
          <w:p w14:paraId="53C3D96B"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0.29</w:t>
            </w:r>
          </w:p>
        </w:tc>
        <w:tc>
          <w:tcPr>
            <w:tcW w:w="960" w:type="dxa"/>
            <w:tcBorders>
              <w:top w:val="nil"/>
              <w:left w:val="nil"/>
              <w:bottom w:val="single" w:sz="4" w:space="0" w:color="auto"/>
              <w:right w:val="single" w:sz="4" w:space="0" w:color="auto"/>
            </w:tcBorders>
            <w:shd w:val="clear" w:color="auto" w:fill="auto"/>
            <w:noWrap/>
            <w:vAlign w:val="bottom"/>
            <w:hideMark/>
          </w:tcPr>
          <w:p w14:paraId="1B78BAEF"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1.41</w:t>
            </w:r>
          </w:p>
        </w:tc>
        <w:tc>
          <w:tcPr>
            <w:tcW w:w="960" w:type="dxa"/>
            <w:tcBorders>
              <w:top w:val="single" w:sz="4" w:space="0" w:color="auto"/>
              <w:left w:val="nil"/>
              <w:bottom w:val="single" w:sz="4" w:space="0" w:color="auto"/>
              <w:right w:val="single" w:sz="4" w:space="0" w:color="auto"/>
            </w:tcBorders>
            <w:vAlign w:val="bottom"/>
          </w:tcPr>
          <w:p w14:paraId="15ABD84C" w14:textId="5E1632E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0.20</w:t>
            </w:r>
          </w:p>
        </w:tc>
        <w:tc>
          <w:tcPr>
            <w:tcW w:w="960" w:type="dxa"/>
            <w:tcBorders>
              <w:top w:val="single" w:sz="4" w:space="0" w:color="auto"/>
              <w:left w:val="single" w:sz="4" w:space="0" w:color="auto"/>
              <w:bottom w:val="single" w:sz="4" w:space="0" w:color="auto"/>
              <w:right w:val="single" w:sz="4" w:space="0" w:color="auto"/>
            </w:tcBorders>
            <w:vAlign w:val="bottom"/>
          </w:tcPr>
          <w:p w14:paraId="7C9596E0" w14:textId="14ABD5AF"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1.11</w:t>
            </w:r>
          </w:p>
        </w:tc>
        <w:tc>
          <w:tcPr>
            <w:tcW w:w="960" w:type="dxa"/>
            <w:tcBorders>
              <w:top w:val="nil"/>
              <w:left w:val="nil"/>
              <w:bottom w:val="single" w:sz="4" w:space="0" w:color="auto"/>
              <w:right w:val="single" w:sz="4" w:space="0" w:color="auto"/>
            </w:tcBorders>
            <w:vAlign w:val="bottom"/>
          </w:tcPr>
          <w:p w14:paraId="11CA0338" w14:textId="1F31678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0.23</w:t>
            </w:r>
          </w:p>
        </w:tc>
      </w:tr>
      <w:tr w:rsidR="009D349A" w:rsidRPr="00A5667B" w14:paraId="31A229A0" w14:textId="6C63091C"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BDBF213"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Construction</w:t>
            </w:r>
          </w:p>
        </w:tc>
        <w:tc>
          <w:tcPr>
            <w:tcW w:w="960" w:type="dxa"/>
            <w:tcBorders>
              <w:top w:val="nil"/>
              <w:left w:val="nil"/>
              <w:bottom w:val="single" w:sz="4" w:space="0" w:color="auto"/>
              <w:right w:val="single" w:sz="4" w:space="0" w:color="auto"/>
            </w:tcBorders>
            <w:shd w:val="clear" w:color="auto" w:fill="auto"/>
            <w:noWrap/>
            <w:vAlign w:val="bottom"/>
            <w:hideMark/>
          </w:tcPr>
          <w:p w14:paraId="2FE27AE0"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0.08</w:t>
            </w:r>
          </w:p>
        </w:tc>
        <w:tc>
          <w:tcPr>
            <w:tcW w:w="960" w:type="dxa"/>
            <w:tcBorders>
              <w:top w:val="nil"/>
              <w:left w:val="nil"/>
              <w:bottom w:val="single" w:sz="4" w:space="0" w:color="auto"/>
              <w:right w:val="single" w:sz="4" w:space="0" w:color="auto"/>
            </w:tcBorders>
            <w:shd w:val="clear" w:color="auto" w:fill="auto"/>
            <w:noWrap/>
            <w:vAlign w:val="bottom"/>
            <w:hideMark/>
          </w:tcPr>
          <w:p w14:paraId="1E90BCA8"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1.09</w:t>
            </w:r>
          </w:p>
        </w:tc>
        <w:tc>
          <w:tcPr>
            <w:tcW w:w="960" w:type="dxa"/>
            <w:tcBorders>
              <w:top w:val="single" w:sz="4" w:space="0" w:color="auto"/>
              <w:left w:val="nil"/>
              <w:bottom w:val="single" w:sz="4" w:space="0" w:color="auto"/>
              <w:right w:val="single" w:sz="4" w:space="0" w:color="auto"/>
            </w:tcBorders>
            <w:vAlign w:val="bottom"/>
          </w:tcPr>
          <w:p w14:paraId="6B0A8BDB" w14:textId="455D6E6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0.16</w:t>
            </w:r>
          </w:p>
        </w:tc>
        <w:tc>
          <w:tcPr>
            <w:tcW w:w="960" w:type="dxa"/>
            <w:tcBorders>
              <w:top w:val="single" w:sz="4" w:space="0" w:color="auto"/>
              <w:left w:val="single" w:sz="4" w:space="0" w:color="auto"/>
              <w:bottom w:val="single" w:sz="4" w:space="0" w:color="auto"/>
              <w:right w:val="single" w:sz="4" w:space="0" w:color="auto"/>
            </w:tcBorders>
            <w:vAlign w:val="bottom"/>
          </w:tcPr>
          <w:p w14:paraId="0EA44BD2" w14:textId="2C6210E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0.08</w:t>
            </w:r>
          </w:p>
        </w:tc>
        <w:tc>
          <w:tcPr>
            <w:tcW w:w="960" w:type="dxa"/>
            <w:tcBorders>
              <w:top w:val="nil"/>
              <w:left w:val="nil"/>
              <w:bottom w:val="single" w:sz="4" w:space="0" w:color="auto"/>
              <w:right w:val="single" w:sz="4" w:space="0" w:color="auto"/>
            </w:tcBorders>
            <w:vAlign w:val="bottom"/>
          </w:tcPr>
          <w:p w14:paraId="4FFD631F" w14:textId="492F6ECB"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0.01</w:t>
            </w:r>
          </w:p>
        </w:tc>
      </w:tr>
      <w:tr w:rsidR="009D349A" w:rsidRPr="00A5667B" w14:paraId="67B28F1F" w14:textId="6BBD5497"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5239DE1"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Mining</w:t>
            </w:r>
          </w:p>
        </w:tc>
        <w:tc>
          <w:tcPr>
            <w:tcW w:w="960" w:type="dxa"/>
            <w:tcBorders>
              <w:top w:val="nil"/>
              <w:left w:val="nil"/>
              <w:bottom w:val="single" w:sz="4" w:space="0" w:color="auto"/>
              <w:right w:val="single" w:sz="4" w:space="0" w:color="auto"/>
            </w:tcBorders>
            <w:shd w:val="clear" w:color="auto" w:fill="auto"/>
            <w:noWrap/>
            <w:vAlign w:val="bottom"/>
            <w:hideMark/>
          </w:tcPr>
          <w:p w14:paraId="326C8C28"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0.03</w:t>
            </w:r>
          </w:p>
        </w:tc>
        <w:tc>
          <w:tcPr>
            <w:tcW w:w="960" w:type="dxa"/>
            <w:tcBorders>
              <w:top w:val="nil"/>
              <w:left w:val="nil"/>
              <w:bottom w:val="single" w:sz="4" w:space="0" w:color="auto"/>
              <w:right w:val="single" w:sz="4" w:space="0" w:color="auto"/>
            </w:tcBorders>
            <w:shd w:val="clear" w:color="auto" w:fill="auto"/>
            <w:noWrap/>
            <w:vAlign w:val="bottom"/>
            <w:hideMark/>
          </w:tcPr>
          <w:p w14:paraId="09499A56"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1.03</w:t>
            </w:r>
          </w:p>
        </w:tc>
        <w:tc>
          <w:tcPr>
            <w:tcW w:w="960" w:type="dxa"/>
            <w:tcBorders>
              <w:top w:val="single" w:sz="4" w:space="0" w:color="auto"/>
              <w:left w:val="nil"/>
              <w:bottom w:val="single" w:sz="4" w:space="0" w:color="auto"/>
              <w:right w:val="single" w:sz="4" w:space="0" w:color="auto"/>
            </w:tcBorders>
            <w:vAlign w:val="bottom"/>
          </w:tcPr>
          <w:p w14:paraId="47CDE3EB" w14:textId="3BBA4BC5"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0.15</w:t>
            </w:r>
          </w:p>
        </w:tc>
        <w:tc>
          <w:tcPr>
            <w:tcW w:w="960" w:type="dxa"/>
            <w:tcBorders>
              <w:top w:val="single" w:sz="4" w:space="0" w:color="auto"/>
              <w:left w:val="single" w:sz="4" w:space="0" w:color="auto"/>
              <w:bottom w:val="single" w:sz="4" w:space="0" w:color="auto"/>
              <w:right w:val="single" w:sz="4" w:space="0" w:color="auto"/>
            </w:tcBorders>
            <w:vAlign w:val="bottom"/>
          </w:tcPr>
          <w:p w14:paraId="40AD7CBF" w14:textId="74F99F3A"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0.27</w:t>
            </w:r>
          </w:p>
        </w:tc>
        <w:tc>
          <w:tcPr>
            <w:tcW w:w="960" w:type="dxa"/>
            <w:tcBorders>
              <w:top w:val="nil"/>
              <w:left w:val="nil"/>
              <w:bottom w:val="single" w:sz="4" w:space="0" w:color="auto"/>
              <w:right w:val="single" w:sz="4" w:space="0" w:color="auto"/>
            </w:tcBorders>
            <w:vAlign w:val="bottom"/>
          </w:tcPr>
          <w:p w14:paraId="5A978513" w14:textId="275E6C0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0.04</w:t>
            </w:r>
          </w:p>
        </w:tc>
      </w:tr>
      <w:tr w:rsidR="009D349A" w:rsidRPr="00A5667B" w14:paraId="50ACAE18" w14:textId="46D758B8"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8299175"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Manufacturing</w:t>
            </w:r>
          </w:p>
        </w:tc>
        <w:tc>
          <w:tcPr>
            <w:tcW w:w="960" w:type="dxa"/>
            <w:tcBorders>
              <w:top w:val="nil"/>
              <w:left w:val="nil"/>
              <w:bottom w:val="single" w:sz="4" w:space="0" w:color="auto"/>
              <w:right w:val="single" w:sz="4" w:space="0" w:color="auto"/>
            </w:tcBorders>
            <w:shd w:val="clear" w:color="auto" w:fill="auto"/>
            <w:noWrap/>
            <w:vAlign w:val="bottom"/>
            <w:hideMark/>
          </w:tcPr>
          <w:p w14:paraId="7DBE1AF4"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0.03</w:t>
            </w:r>
          </w:p>
        </w:tc>
        <w:tc>
          <w:tcPr>
            <w:tcW w:w="960" w:type="dxa"/>
            <w:tcBorders>
              <w:top w:val="nil"/>
              <w:left w:val="nil"/>
              <w:bottom w:val="single" w:sz="4" w:space="0" w:color="auto"/>
              <w:right w:val="single" w:sz="4" w:space="0" w:color="auto"/>
            </w:tcBorders>
            <w:shd w:val="clear" w:color="auto" w:fill="auto"/>
            <w:noWrap/>
            <w:vAlign w:val="bottom"/>
            <w:hideMark/>
          </w:tcPr>
          <w:p w14:paraId="011D0099"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1.03</w:t>
            </w:r>
          </w:p>
        </w:tc>
        <w:tc>
          <w:tcPr>
            <w:tcW w:w="960" w:type="dxa"/>
            <w:tcBorders>
              <w:top w:val="single" w:sz="4" w:space="0" w:color="auto"/>
              <w:left w:val="nil"/>
              <w:bottom w:val="single" w:sz="4" w:space="0" w:color="auto"/>
              <w:right w:val="single" w:sz="4" w:space="0" w:color="auto"/>
            </w:tcBorders>
            <w:vAlign w:val="bottom"/>
          </w:tcPr>
          <w:p w14:paraId="7FE125A1" w14:textId="6C634166"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0.15</w:t>
            </w:r>
          </w:p>
        </w:tc>
        <w:tc>
          <w:tcPr>
            <w:tcW w:w="960" w:type="dxa"/>
            <w:tcBorders>
              <w:top w:val="single" w:sz="4" w:space="0" w:color="auto"/>
              <w:left w:val="single" w:sz="4" w:space="0" w:color="auto"/>
              <w:bottom w:val="single" w:sz="4" w:space="0" w:color="auto"/>
              <w:right w:val="single" w:sz="4" w:space="0" w:color="auto"/>
            </w:tcBorders>
            <w:vAlign w:val="bottom"/>
          </w:tcPr>
          <w:p w14:paraId="7B6D8554" w14:textId="36D0E5B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0.27</w:t>
            </w:r>
          </w:p>
        </w:tc>
        <w:tc>
          <w:tcPr>
            <w:tcW w:w="960" w:type="dxa"/>
            <w:tcBorders>
              <w:top w:val="nil"/>
              <w:left w:val="nil"/>
              <w:bottom w:val="single" w:sz="4" w:space="0" w:color="auto"/>
              <w:right w:val="single" w:sz="4" w:space="0" w:color="auto"/>
            </w:tcBorders>
            <w:vAlign w:val="bottom"/>
          </w:tcPr>
          <w:p w14:paraId="33A0D164" w14:textId="070A248F"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0.04</w:t>
            </w:r>
          </w:p>
        </w:tc>
      </w:tr>
      <w:tr w:rsidR="009D349A" w:rsidRPr="00A5667B" w14:paraId="6CD8806B" w14:textId="397A9B4F"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B9FB7A0"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Health &amp; social Work</w:t>
            </w:r>
          </w:p>
        </w:tc>
        <w:tc>
          <w:tcPr>
            <w:tcW w:w="960" w:type="dxa"/>
            <w:tcBorders>
              <w:top w:val="nil"/>
              <w:left w:val="nil"/>
              <w:bottom w:val="single" w:sz="4" w:space="0" w:color="auto"/>
              <w:right w:val="single" w:sz="4" w:space="0" w:color="auto"/>
            </w:tcBorders>
            <w:shd w:val="clear" w:color="auto" w:fill="auto"/>
            <w:noWrap/>
            <w:vAlign w:val="bottom"/>
            <w:hideMark/>
          </w:tcPr>
          <w:p w14:paraId="09541918"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0.12</w:t>
            </w:r>
          </w:p>
        </w:tc>
        <w:tc>
          <w:tcPr>
            <w:tcW w:w="960" w:type="dxa"/>
            <w:tcBorders>
              <w:top w:val="nil"/>
              <w:left w:val="nil"/>
              <w:bottom w:val="single" w:sz="4" w:space="0" w:color="auto"/>
              <w:right w:val="single" w:sz="4" w:space="0" w:color="auto"/>
            </w:tcBorders>
            <w:shd w:val="clear" w:color="auto" w:fill="auto"/>
            <w:noWrap/>
            <w:vAlign w:val="bottom"/>
            <w:hideMark/>
          </w:tcPr>
          <w:p w14:paraId="7A536862"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1.14</w:t>
            </w:r>
          </w:p>
        </w:tc>
        <w:tc>
          <w:tcPr>
            <w:tcW w:w="960" w:type="dxa"/>
            <w:tcBorders>
              <w:top w:val="single" w:sz="4" w:space="0" w:color="auto"/>
              <w:left w:val="nil"/>
              <w:bottom w:val="single" w:sz="4" w:space="0" w:color="auto"/>
              <w:right w:val="single" w:sz="4" w:space="0" w:color="auto"/>
            </w:tcBorders>
            <w:vAlign w:val="bottom"/>
          </w:tcPr>
          <w:p w14:paraId="4690F0CC" w14:textId="2B292B76"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0.16</w:t>
            </w:r>
          </w:p>
        </w:tc>
        <w:tc>
          <w:tcPr>
            <w:tcW w:w="960" w:type="dxa"/>
            <w:tcBorders>
              <w:top w:val="single" w:sz="4" w:space="0" w:color="auto"/>
              <w:left w:val="single" w:sz="4" w:space="0" w:color="auto"/>
              <w:bottom w:val="single" w:sz="4" w:space="0" w:color="auto"/>
              <w:right w:val="single" w:sz="4" w:space="0" w:color="auto"/>
            </w:tcBorders>
            <w:vAlign w:val="bottom"/>
          </w:tcPr>
          <w:p w14:paraId="41728FA9" w14:textId="6575197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3.82</w:t>
            </w:r>
          </w:p>
        </w:tc>
        <w:tc>
          <w:tcPr>
            <w:tcW w:w="960" w:type="dxa"/>
            <w:tcBorders>
              <w:top w:val="nil"/>
              <w:left w:val="nil"/>
              <w:bottom w:val="single" w:sz="4" w:space="0" w:color="auto"/>
              <w:right w:val="single" w:sz="4" w:space="0" w:color="auto"/>
            </w:tcBorders>
            <w:vAlign w:val="bottom"/>
          </w:tcPr>
          <w:p w14:paraId="62FE2028" w14:textId="585EF4FF"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0.63</w:t>
            </w:r>
          </w:p>
        </w:tc>
      </w:tr>
      <w:tr w:rsidR="009D349A" w:rsidRPr="00A5667B" w14:paraId="3521C99C" w14:textId="69A3EF04"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8C37CC9"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Services</w:t>
            </w:r>
          </w:p>
        </w:tc>
        <w:tc>
          <w:tcPr>
            <w:tcW w:w="960" w:type="dxa"/>
            <w:tcBorders>
              <w:top w:val="nil"/>
              <w:left w:val="nil"/>
              <w:bottom w:val="single" w:sz="4" w:space="0" w:color="auto"/>
              <w:right w:val="single" w:sz="4" w:space="0" w:color="auto"/>
            </w:tcBorders>
            <w:shd w:val="clear" w:color="auto" w:fill="auto"/>
            <w:noWrap/>
            <w:vAlign w:val="bottom"/>
            <w:hideMark/>
          </w:tcPr>
          <w:p w14:paraId="0E9704DD"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0.16</w:t>
            </w:r>
          </w:p>
        </w:tc>
        <w:tc>
          <w:tcPr>
            <w:tcW w:w="960" w:type="dxa"/>
            <w:tcBorders>
              <w:top w:val="nil"/>
              <w:left w:val="nil"/>
              <w:bottom w:val="single" w:sz="4" w:space="0" w:color="auto"/>
              <w:right w:val="single" w:sz="4" w:space="0" w:color="auto"/>
            </w:tcBorders>
            <w:shd w:val="clear" w:color="auto" w:fill="auto"/>
            <w:noWrap/>
            <w:vAlign w:val="bottom"/>
            <w:hideMark/>
          </w:tcPr>
          <w:p w14:paraId="52A23D98"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1.19</w:t>
            </w:r>
          </w:p>
        </w:tc>
        <w:tc>
          <w:tcPr>
            <w:tcW w:w="960" w:type="dxa"/>
            <w:tcBorders>
              <w:top w:val="single" w:sz="4" w:space="0" w:color="auto"/>
              <w:left w:val="nil"/>
              <w:bottom w:val="single" w:sz="4" w:space="0" w:color="auto"/>
              <w:right w:val="single" w:sz="4" w:space="0" w:color="auto"/>
            </w:tcBorders>
            <w:vAlign w:val="bottom"/>
          </w:tcPr>
          <w:p w14:paraId="77A5BE17" w14:textId="4DE9C3C3"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0.17</w:t>
            </w:r>
          </w:p>
        </w:tc>
        <w:tc>
          <w:tcPr>
            <w:tcW w:w="960" w:type="dxa"/>
            <w:tcBorders>
              <w:top w:val="single" w:sz="4" w:space="0" w:color="auto"/>
              <w:left w:val="single" w:sz="4" w:space="0" w:color="auto"/>
              <w:bottom w:val="single" w:sz="4" w:space="0" w:color="auto"/>
              <w:right w:val="single" w:sz="4" w:space="0" w:color="auto"/>
            </w:tcBorders>
            <w:vAlign w:val="bottom"/>
          </w:tcPr>
          <w:p w14:paraId="2C7A6C92" w14:textId="1C07E39D"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0.78</w:t>
            </w:r>
          </w:p>
        </w:tc>
        <w:tc>
          <w:tcPr>
            <w:tcW w:w="960" w:type="dxa"/>
            <w:tcBorders>
              <w:top w:val="nil"/>
              <w:left w:val="nil"/>
              <w:bottom w:val="single" w:sz="4" w:space="0" w:color="auto"/>
              <w:right w:val="single" w:sz="4" w:space="0" w:color="auto"/>
            </w:tcBorders>
            <w:vAlign w:val="bottom"/>
          </w:tcPr>
          <w:p w14:paraId="6FA3EC63" w14:textId="75B3B45B"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0.13</w:t>
            </w:r>
          </w:p>
        </w:tc>
      </w:tr>
      <w:tr w:rsidR="009D349A" w:rsidRPr="00A5667B" w14:paraId="22D421AD" w14:textId="3B63F852"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C4033E5"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Education</w:t>
            </w:r>
          </w:p>
        </w:tc>
        <w:tc>
          <w:tcPr>
            <w:tcW w:w="960" w:type="dxa"/>
            <w:tcBorders>
              <w:top w:val="nil"/>
              <w:left w:val="nil"/>
              <w:bottom w:val="single" w:sz="4" w:space="0" w:color="auto"/>
              <w:right w:val="single" w:sz="4" w:space="0" w:color="auto"/>
            </w:tcBorders>
            <w:shd w:val="clear" w:color="auto" w:fill="auto"/>
            <w:noWrap/>
            <w:vAlign w:val="bottom"/>
            <w:hideMark/>
          </w:tcPr>
          <w:p w14:paraId="7613CA4E"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0.03</w:t>
            </w:r>
          </w:p>
        </w:tc>
        <w:tc>
          <w:tcPr>
            <w:tcW w:w="960" w:type="dxa"/>
            <w:tcBorders>
              <w:top w:val="nil"/>
              <w:left w:val="nil"/>
              <w:bottom w:val="single" w:sz="4" w:space="0" w:color="auto"/>
              <w:right w:val="single" w:sz="4" w:space="0" w:color="auto"/>
            </w:tcBorders>
            <w:shd w:val="clear" w:color="auto" w:fill="auto"/>
            <w:noWrap/>
            <w:vAlign w:val="bottom"/>
            <w:hideMark/>
          </w:tcPr>
          <w:p w14:paraId="704504C0"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1.03</w:t>
            </w:r>
          </w:p>
        </w:tc>
        <w:tc>
          <w:tcPr>
            <w:tcW w:w="960" w:type="dxa"/>
            <w:tcBorders>
              <w:top w:val="single" w:sz="4" w:space="0" w:color="auto"/>
              <w:left w:val="nil"/>
              <w:bottom w:val="single" w:sz="4" w:space="0" w:color="auto"/>
              <w:right w:val="single" w:sz="4" w:space="0" w:color="auto"/>
            </w:tcBorders>
            <w:vAlign w:val="bottom"/>
          </w:tcPr>
          <w:p w14:paraId="533297FD" w14:textId="0A1AFB5A"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0.15</w:t>
            </w:r>
          </w:p>
        </w:tc>
        <w:tc>
          <w:tcPr>
            <w:tcW w:w="960" w:type="dxa"/>
            <w:tcBorders>
              <w:top w:val="single" w:sz="4" w:space="0" w:color="auto"/>
              <w:left w:val="single" w:sz="4" w:space="0" w:color="auto"/>
              <w:bottom w:val="single" w:sz="4" w:space="0" w:color="auto"/>
              <w:right w:val="single" w:sz="4" w:space="0" w:color="auto"/>
            </w:tcBorders>
            <w:vAlign w:val="bottom"/>
          </w:tcPr>
          <w:p w14:paraId="56FDB96C" w14:textId="48295B93"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2.87</w:t>
            </w:r>
          </w:p>
        </w:tc>
        <w:tc>
          <w:tcPr>
            <w:tcW w:w="960" w:type="dxa"/>
            <w:tcBorders>
              <w:top w:val="nil"/>
              <w:left w:val="nil"/>
              <w:bottom w:val="single" w:sz="4" w:space="0" w:color="auto"/>
              <w:right w:val="single" w:sz="4" w:space="0" w:color="auto"/>
            </w:tcBorders>
            <w:vAlign w:val="bottom"/>
          </w:tcPr>
          <w:p w14:paraId="5EBF4F61" w14:textId="75AAF2D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0.43</w:t>
            </w:r>
          </w:p>
        </w:tc>
      </w:tr>
      <w:tr w:rsidR="009D349A" w:rsidRPr="00A5667B" w14:paraId="2B24878D" w14:textId="23AFDC73" w:rsidTr="00D14169">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F1CC14A" w14:textId="77777777" w:rsidR="009D349A" w:rsidRPr="00A5667B" w:rsidRDefault="009D349A" w:rsidP="009D349A">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Fishing</w:t>
            </w:r>
          </w:p>
        </w:tc>
        <w:tc>
          <w:tcPr>
            <w:tcW w:w="960" w:type="dxa"/>
            <w:tcBorders>
              <w:top w:val="nil"/>
              <w:left w:val="nil"/>
              <w:bottom w:val="single" w:sz="4" w:space="0" w:color="auto"/>
              <w:right w:val="single" w:sz="4" w:space="0" w:color="auto"/>
            </w:tcBorders>
            <w:shd w:val="clear" w:color="auto" w:fill="auto"/>
            <w:noWrap/>
            <w:vAlign w:val="bottom"/>
            <w:hideMark/>
          </w:tcPr>
          <w:p w14:paraId="4D300CBF"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0.03</w:t>
            </w:r>
          </w:p>
        </w:tc>
        <w:tc>
          <w:tcPr>
            <w:tcW w:w="960" w:type="dxa"/>
            <w:tcBorders>
              <w:top w:val="nil"/>
              <w:left w:val="nil"/>
              <w:bottom w:val="single" w:sz="4" w:space="0" w:color="auto"/>
              <w:right w:val="single" w:sz="4" w:space="0" w:color="auto"/>
            </w:tcBorders>
            <w:shd w:val="clear" w:color="auto" w:fill="auto"/>
            <w:noWrap/>
            <w:vAlign w:val="bottom"/>
            <w:hideMark/>
          </w:tcPr>
          <w:p w14:paraId="4765E58F" w14:textId="77777777"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1.03</w:t>
            </w:r>
          </w:p>
        </w:tc>
        <w:tc>
          <w:tcPr>
            <w:tcW w:w="960" w:type="dxa"/>
            <w:tcBorders>
              <w:top w:val="single" w:sz="4" w:space="0" w:color="auto"/>
              <w:left w:val="nil"/>
              <w:bottom w:val="single" w:sz="4" w:space="0" w:color="auto"/>
              <w:right w:val="single" w:sz="4" w:space="0" w:color="auto"/>
            </w:tcBorders>
            <w:vAlign w:val="bottom"/>
          </w:tcPr>
          <w:p w14:paraId="1B86DD8A" w14:textId="3A33E7AB"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0.15</w:t>
            </w:r>
          </w:p>
        </w:tc>
        <w:tc>
          <w:tcPr>
            <w:tcW w:w="960" w:type="dxa"/>
            <w:tcBorders>
              <w:top w:val="single" w:sz="4" w:space="0" w:color="auto"/>
              <w:left w:val="single" w:sz="4" w:space="0" w:color="auto"/>
              <w:bottom w:val="single" w:sz="4" w:space="0" w:color="auto"/>
              <w:right w:val="single" w:sz="4" w:space="0" w:color="auto"/>
            </w:tcBorders>
            <w:vAlign w:val="bottom"/>
          </w:tcPr>
          <w:p w14:paraId="1FEDA8D0" w14:textId="744B6DCC"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0.28</w:t>
            </w:r>
          </w:p>
        </w:tc>
        <w:tc>
          <w:tcPr>
            <w:tcW w:w="960" w:type="dxa"/>
            <w:tcBorders>
              <w:top w:val="nil"/>
              <w:left w:val="nil"/>
              <w:bottom w:val="single" w:sz="4" w:space="0" w:color="auto"/>
              <w:right w:val="single" w:sz="4" w:space="0" w:color="auto"/>
            </w:tcBorders>
            <w:vAlign w:val="bottom"/>
          </w:tcPr>
          <w:p w14:paraId="7B71F772" w14:textId="0CC033C8" w:rsidR="009D349A" w:rsidRPr="00A5667B" w:rsidRDefault="009D349A" w:rsidP="009D349A">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0.04</w:t>
            </w:r>
          </w:p>
        </w:tc>
      </w:tr>
    </w:tbl>
    <w:p w14:paraId="21D380BA" w14:textId="569972BE" w:rsidR="00D14169" w:rsidRPr="003B36D3" w:rsidRDefault="00D14169" w:rsidP="00D14169">
      <w:pPr>
        <w:spacing w:line="360" w:lineRule="auto"/>
        <w:jc w:val="both"/>
        <w:rPr>
          <w:rFonts w:ascii="Arial" w:hAnsi="Arial" w:cs="Arial"/>
          <w:sz w:val="18"/>
          <w:szCs w:val="18"/>
        </w:rPr>
      </w:pPr>
      <w:r w:rsidRPr="003B36D3">
        <w:rPr>
          <w:rFonts w:ascii="Arial" w:hAnsi="Arial" w:cs="Arial"/>
          <w:sz w:val="18"/>
          <w:szCs w:val="18"/>
        </w:rPr>
        <w:t xml:space="preserve">Note: MPC is the marginal propensity to consume; KIM is Keynesian income multiplier; SEI is sustainable energy infrastructure; </w:t>
      </w:r>
      <w:r w:rsidR="00257E72" w:rsidRPr="003B36D3">
        <w:rPr>
          <w:rFonts w:ascii="Arial" w:hAnsi="Arial" w:cs="Arial"/>
          <w:sz w:val="18"/>
          <w:szCs w:val="18"/>
        </w:rPr>
        <w:t>GRLI is</w:t>
      </w:r>
      <w:r w:rsidR="00257E72" w:rsidRPr="003B36D3">
        <w:rPr>
          <w:sz w:val="18"/>
          <w:szCs w:val="18"/>
        </w:rPr>
        <w:t xml:space="preserve"> </w:t>
      </w:r>
      <w:r w:rsidR="00257E72" w:rsidRPr="003B36D3">
        <w:rPr>
          <w:rFonts w:ascii="Arial" w:hAnsi="Arial" w:cs="Arial"/>
          <w:sz w:val="18"/>
          <w:szCs w:val="18"/>
        </w:rPr>
        <w:t xml:space="preserve">the Gender Representation F/M in Labour Income; </w:t>
      </w:r>
      <w:r w:rsidRPr="003B36D3">
        <w:rPr>
          <w:rFonts w:ascii="Arial" w:hAnsi="Arial" w:cs="Arial"/>
          <w:sz w:val="18"/>
          <w:szCs w:val="18"/>
        </w:rPr>
        <w:t>and F is female.</w:t>
      </w:r>
    </w:p>
    <w:p w14:paraId="648C180E" w14:textId="5761C015" w:rsidR="00ED2570" w:rsidRPr="00A5667B" w:rsidRDefault="00DF40CA" w:rsidP="00ED2570">
      <w:pPr>
        <w:spacing w:line="360" w:lineRule="auto"/>
        <w:jc w:val="both"/>
        <w:rPr>
          <w:rFonts w:ascii="Arial" w:hAnsi="Arial" w:cs="Arial"/>
          <w:sz w:val="24"/>
          <w:szCs w:val="24"/>
        </w:rPr>
      </w:pPr>
      <w:r w:rsidRPr="00A5667B">
        <w:rPr>
          <w:rFonts w:ascii="Arial" w:hAnsi="Arial" w:cs="Arial"/>
          <w:sz w:val="24"/>
          <w:szCs w:val="24"/>
        </w:rPr>
        <w:t xml:space="preserve">Table </w:t>
      </w:r>
      <w:r w:rsidR="00807F18">
        <w:rPr>
          <w:rFonts w:ascii="Arial" w:hAnsi="Arial" w:cs="Arial"/>
          <w:sz w:val="24"/>
          <w:szCs w:val="24"/>
        </w:rPr>
        <w:t>5</w:t>
      </w:r>
      <w:r w:rsidRPr="00A5667B">
        <w:rPr>
          <w:rFonts w:ascii="Arial" w:hAnsi="Arial" w:cs="Arial"/>
          <w:sz w:val="24"/>
          <w:szCs w:val="24"/>
        </w:rPr>
        <w:t xml:space="preserve"> also demonstrates the induced local economic impact per unit of energy for Gotland. </w:t>
      </w:r>
      <w:r w:rsidR="00ED2570" w:rsidRPr="00A5667B">
        <w:rPr>
          <w:rFonts w:ascii="Arial" w:hAnsi="Arial" w:cs="Arial"/>
          <w:sz w:val="24"/>
          <w:szCs w:val="24"/>
        </w:rPr>
        <w:t xml:space="preserve">The profits from one unit of energy are more than its unit cost </w:t>
      </w:r>
      <w:r w:rsidR="00D36ED3">
        <w:rPr>
          <w:rFonts w:ascii="Arial" w:hAnsi="Arial" w:cs="Arial"/>
          <w:sz w:val="24"/>
          <w:szCs w:val="24"/>
        </w:rPr>
        <w:t>(</w:t>
      </w:r>
      <w:r w:rsidR="00C06D6C">
        <w:rPr>
          <w:rFonts w:ascii="Arial" w:hAnsi="Arial" w:cs="Arial"/>
          <w:sz w:val="24"/>
          <w:szCs w:val="24"/>
        </w:rPr>
        <w:t xml:space="preserve">LCOE 0f </w:t>
      </w:r>
      <w:r w:rsidR="00C06D6C" w:rsidRPr="008320C7">
        <w:rPr>
          <w:rFonts w:ascii="Arial" w:hAnsi="Arial" w:cs="Arial"/>
          <w:sz w:val="24"/>
          <w:szCs w:val="24"/>
        </w:rPr>
        <w:t>€0.12/kWh</w:t>
      </w:r>
      <w:r w:rsidR="00C06D6C">
        <w:rPr>
          <w:rFonts w:ascii="Arial" w:hAnsi="Arial" w:cs="Arial"/>
          <w:sz w:val="24"/>
          <w:szCs w:val="24"/>
        </w:rPr>
        <w:t xml:space="preserve">) </w:t>
      </w:r>
      <w:r w:rsidR="00ED2570" w:rsidRPr="00A5667B">
        <w:rPr>
          <w:rFonts w:ascii="Arial" w:hAnsi="Arial" w:cs="Arial"/>
          <w:sz w:val="24"/>
          <w:szCs w:val="24"/>
        </w:rPr>
        <w:t>for all sectors in male waged employment</w:t>
      </w:r>
      <w:r w:rsidR="00A552DE" w:rsidRPr="00A5667B">
        <w:rPr>
          <w:rFonts w:ascii="Arial" w:hAnsi="Arial" w:cs="Arial"/>
          <w:sz w:val="24"/>
          <w:szCs w:val="24"/>
        </w:rPr>
        <w:t>,</w:t>
      </w:r>
      <w:r w:rsidR="00ED2570" w:rsidRPr="00A5667B">
        <w:rPr>
          <w:rFonts w:ascii="Arial" w:hAnsi="Arial" w:cs="Arial"/>
          <w:sz w:val="24"/>
          <w:szCs w:val="24"/>
        </w:rPr>
        <w:t xml:space="preserve"> the tourism, health &amp; social work, </w:t>
      </w:r>
      <w:r w:rsidR="00C9585A" w:rsidRPr="00A5667B">
        <w:rPr>
          <w:rFonts w:ascii="Arial" w:hAnsi="Arial" w:cs="Arial"/>
          <w:sz w:val="24"/>
          <w:szCs w:val="24"/>
        </w:rPr>
        <w:t>services</w:t>
      </w:r>
      <w:r w:rsidR="00A552DE" w:rsidRPr="00A5667B">
        <w:rPr>
          <w:rFonts w:ascii="Arial" w:hAnsi="Arial" w:cs="Arial"/>
          <w:sz w:val="24"/>
          <w:szCs w:val="24"/>
        </w:rPr>
        <w:t>,</w:t>
      </w:r>
      <w:r w:rsidR="00C9585A" w:rsidRPr="00A5667B">
        <w:rPr>
          <w:rFonts w:ascii="Arial" w:hAnsi="Arial" w:cs="Arial"/>
          <w:sz w:val="24"/>
          <w:szCs w:val="24"/>
        </w:rPr>
        <w:t xml:space="preserve"> </w:t>
      </w:r>
      <w:r w:rsidR="00ED2570" w:rsidRPr="00A5667B">
        <w:rPr>
          <w:rFonts w:ascii="Arial" w:hAnsi="Arial" w:cs="Arial"/>
          <w:sz w:val="24"/>
          <w:szCs w:val="24"/>
        </w:rPr>
        <w:t>and education sect</w:t>
      </w:r>
      <w:r w:rsidR="00C9585A" w:rsidRPr="00A5667B">
        <w:rPr>
          <w:rFonts w:ascii="Arial" w:hAnsi="Arial" w:cs="Arial"/>
          <w:sz w:val="24"/>
          <w:szCs w:val="24"/>
        </w:rPr>
        <w:t>ors</w:t>
      </w:r>
      <w:r w:rsidR="00ED2570" w:rsidRPr="00A5667B">
        <w:rPr>
          <w:rFonts w:ascii="Arial" w:hAnsi="Arial" w:cs="Arial"/>
          <w:sz w:val="24"/>
          <w:szCs w:val="24"/>
        </w:rPr>
        <w:t xml:space="preserve"> in female waged employment. The advantage for Gotland was that sectoral GRLI data was available</w:t>
      </w:r>
      <w:r w:rsidR="00A552DE" w:rsidRPr="00A5667B">
        <w:rPr>
          <w:rFonts w:ascii="Arial" w:hAnsi="Arial" w:cs="Arial"/>
          <w:sz w:val="24"/>
          <w:szCs w:val="24"/>
        </w:rPr>
        <w:t>,</w:t>
      </w:r>
      <w:r w:rsidR="00ED2570" w:rsidRPr="00A5667B">
        <w:rPr>
          <w:rFonts w:ascii="Arial" w:hAnsi="Arial" w:cs="Arial"/>
          <w:sz w:val="24"/>
          <w:szCs w:val="24"/>
        </w:rPr>
        <w:t xml:space="preserve"> unlike other pilot islands.</w:t>
      </w:r>
    </w:p>
    <w:p w14:paraId="742A2671" w14:textId="78D4BBB9" w:rsidR="00473A01" w:rsidRPr="000514E3" w:rsidRDefault="00C15099" w:rsidP="00C15099">
      <w:pPr>
        <w:pStyle w:val="Heading2"/>
        <w:ind w:left="502"/>
        <w:rPr>
          <w:rFonts w:ascii="Arial" w:hAnsi="Arial" w:cs="Arial"/>
          <w:sz w:val="24"/>
          <w:szCs w:val="24"/>
        </w:rPr>
      </w:pPr>
      <w:r w:rsidRPr="000514E3">
        <w:rPr>
          <w:rFonts w:ascii="Arial" w:hAnsi="Arial" w:cs="Arial"/>
          <w:sz w:val="24"/>
          <w:szCs w:val="24"/>
        </w:rPr>
        <w:t>5.3</w:t>
      </w:r>
      <w:r w:rsidR="0099372D" w:rsidRPr="000514E3">
        <w:rPr>
          <w:rFonts w:ascii="Arial" w:hAnsi="Arial" w:cs="Arial"/>
          <w:sz w:val="24"/>
          <w:szCs w:val="24"/>
        </w:rPr>
        <w:t xml:space="preserve"> </w:t>
      </w:r>
      <w:r w:rsidR="004A7AD0" w:rsidRPr="000514E3">
        <w:rPr>
          <w:rFonts w:ascii="Arial" w:hAnsi="Arial" w:cs="Arial"/>
          <w:sz w:val="24"/>
          <w:szCs w:val="24"/>
        </w:rPr>
        <w:t>Sensitiv</w:t>
      </w:r>
      <w:r w:rsidR="00270A07" w:rsidRPr="000514E3">
        <w:rPr>
          <w:rFonts w:ascii="Arial" w:hAnsi="Arial" w:cs="Arial"/>
          <w:sz w:val="24"/>
          <w:szCs w:val="24"/>
        </w:rPr>
        <w:t>ity Analysis of the Impact of ICT Solution Costs.</w:t>
      </w:r>
    </w:p>
    <w:p w14:paraId="4275001D" w14:textId="61919391" w:rsidR="00270A07" w:rsidRPr="00A5667B" w:rsidRDefault="00270A07" w:rsidP="00270A07">
      <w:pPr>
        <w:spacing w:line="360" w:lineRule="auto"/>
        <w:jc w:val="both"/>
        <w:rPr>
          <w:rFonts w:ascii="Arial" w:hAnsi="Arial" w:cs="Arial"/>
          <w:sz w:val="24"/>
          <w:szCs w:val="24"/>
        </w:rPr>
      </w:pPr>
      <w:r w:rsidRPr="00A5667B">
        <w:rPr>
          <w:rFonts w:ascii="Arial" w:hAnsi="Arial" w:cs="Arial"/>
          <w:sz w:val="24"/>
          <w:szCs w:val="24"/>
        </w:rPr>
        <w:t xml:space="preserve">A sensitivity analysis was performed to </w:t>
      </w:r>
      <w:r w:rsidR="00A054EF" w:rsidRPr="00A5667B">
        <w:rPr>
          <w:rFonts w:ascii="Arial" w:hAnsi="Arial" w:cs="Arial"/>
          <w:sz w:val="24"/>
          <w:szCs w:val="24"/>
        </w:rPr>
        <w:t xml:space="preserve">holistically </w:t>
      </w:r>
      <w:r w:rsidRPr="00A5667B">
        <w:rPr>
          <w:rFonts w:ascii="Arial" w:hAnsi="Arial" w:cs="Arial"/>
          <w:sz w:val="24"/>
          <w:szCs w:val="24"/>
        </w:rPr>
        <w:t xml:space="preserve">understand the impact of the ICT costs. As tourism was a sector with high induced socio-economic impact across </w:t>
      </w:r>
      <w:r w:rsidR="001728D3">
        <w:rPr>
          <w:rFonts w:ascii="Arial" w:hAnsi="Arial" w:cs="Arial"/>
          <w:sz w:val="24"/>
          <w:szCs w:val="24"/>
        </w:rPr>
        <w:t xml:space="preserve">both </w:t>
      </w:r>
      <w:r w:rsidRPr="00A5667B">
        <w:rPr>
          <w:rFonts w:ascii="Arial" w:hAnsi="Arial" w:cs="Arial"/>
          <w:sz w:val="24"/>
          <w:szCs w:val="24"/>
        </w:rPr>
        <w:t xml:space="preserve">islands, it was the economic sector selected for use in the analysis. Table </w:t>
      </w:r>
      <w:r w:rsidR="00BB2311">
        <w:rPr>
          <w:rFonts w:ascii="Arial" w:hAnsi="Arial" w:cs="Arial"/>
          <w:sz w:val="24"/>
          <w:szCs w:val="24"/>
        </w:rPr>
        <w:t>6</w:t>
      </w:r>
      <w:r w:rsidR="00764B74" w:rsidRPr="00A5667B">
        <w:rPr>
          <w:rFonts w:ascii="Arial" w:hAnsi="Arial" w:cs="Arial"/>
          <w:sz w:val="24"/>
          <w:szCs w:val="24"/>
        </w:rPr>
        <w:t xml:space="preserve"> presents</w:t>
      </w:r>
      <w:r w:rsidRPr="00A5667B">
        <w:rPr>
          <w:rFonts w:ascii="Arial" w:hAnsi="Arial" w:cs="Arial"/>
          <w:sz w:val="24"/>
          <w:szCs w:val="24"/>
        </w:rPr>
        <w:t xml:space="preserve"> the population, KIM for the tourism sector, the LCOE, the Gender Representation in Labour Income ratio (GRLI)</w:t>
      </w:r>
      <w:r w:rsidR="001F0076" w:rsidRPr="00A5667B">
        <w:rPr>
          <w:rFonts w:ascii="Arial" w:hAnsi="Arial" w:cs="Arial"/>
          <w:sz w:val="24"/>
          <w:szCs w:val="24"/>
        </w:rPr>
        <w:t>,</w:t>
      </w:r>
      <w:r w:rsidRPr="00A5667B">
        <w:rPr>
          <w:rFonts w:ascii="Arial" w:hAnsi="Arial" w:cs="Arial"/>
          <w:sz w:val="24"/>
          <w:szCs w:val="24"/>
        </w:rPr>
        <w:t xml:space="preserve"> and the induced local economic impact per unit of energy due to the new autonomous renewable energy infrastructure on female waged employment (SEI(F)). </w:t>
      </w:r>
      <w:r w:rsidR="002A66FD">
        <w:rPr>
          <w:rFonts w:ascii="Arial" w:hAnsi="Arial" w:cs="Arial"/>
          <w:sz w:val="24"/>
          <w:szCs w:val="24"/>
        </w:rPr>
        <w:t xml:space="preserve">For the </w:t>
      </w:r>
      <w:r w:rsidR="00F81D91">
        <w:rPr>
          <w:rFonts w:ascii="Arial" w:hAnsi="Arial" w:cs="Arial"/>
          <w:sz w:val="24"/>
          <w:szCs w:val="24"/>
        </w:rPr>
        <w:t xml:space="preserve">two islands, </w:t>
      </w:r>
      <w:r w:rsidR="00F547B4">
        <w:rPr>
          <w:rFonts w:ascii="Arial" w:hAnsi="Arial" w:cs="Arial"/>
          <w:sz w:val="24"/>
          <w:szCs w:val="24"/>
        </w:rPr>
        <w:t xml:space="preserve">their </w:t>
      </w:r>
      <w:r w:rsidRPr="00A5667B">
        <w:rPr>
          <w:rFonts w:ascii="Arial" w:hAnsi="Arial" w:cs="Arial"/>
          <w:sz w:val="24"/>
          <w:szCs w:val="24"/>
        </w:rPr>
        <w:t xml:space="preserve">SEI(F) </w:t>
      </w:r>
      <w:r w:rsidR="00F547B4">
        <w:rPr>
          <w:rFonts w:ascii="Arial" w:hAnsi="Arial" w:cs="Arial"/>
          <w:sz w:val="24"/>
          <w:szCs w:val="24"/>
        </w:rPr>
        <w:t>for the different values of ICTS</w:t>
      </w:r>
      <w:r w:rsidR="00A549BD">
        <w:rPr>
          <w:rFonts w:ascii="Arial" w:hAnsi="Arial" w:cs="Arial"/>
          <w:sz w:val="24"/>
          <w:szCs w:val="24"/>
        </w:rPr>
        <w:t xml:space="preserve">F </w:t>
      </w:r>
      <w:r w:rsidRPr="00A5667B">
        <w:rPr>
          <w:rFonts w:ascii="Arial" w:hAnsi="Arial" w:cs="Arial"/>
          <w:sz w:val="24"/>
          <w:szCs w:val="24"/>
        </w:rPr>
        <w:t>is higher than the LCOE</w:t>
      </w:r>
      <w:r w:rsidR="001F0076" w:rsidRPr="00A5667B">
        <w:rPr>
          <w:rFonts w:ascii="Arial" w:hAnsi="Arial" w:cs="Arial"/>
          <w:sz w:val="24"/>
          <w:szCs w:val="24"/>
        </w:rPr>
        <w:t>,</w:t>
      </w:r>
      <w:r w:rsidRPr="00A5667B">
        <w:rPr>
          <w:rFonts w:ascii="Arial" w:hAnsi="Arial" w:cs="Arial"/>
          <w:sz w:val="24"/>
          <w:szCs w:val="24"/>
        </w:rPr>
        <w:t xml:space="preserve"> indicating a profit.</w:t>
      </w:r>
    </w:p>
    <w:p w14:paraId="42CC30B1" w14:textId="30055477" w:rsidR="00270A07" w:rsidRPr="00A5667B" w:rsidRDefault="00270A07" w:rsidP="00270A07">
      <w:pPr>
        <w:spacing w:line="360" w:lineRule="auto"/>
        <w:jc w:val="both"/>
        <w:rPr>
          <w:rFonts w:ascii="Arial" w:hAnsi="Arial" w:cs="Arial"/>
          <w:sz w:val="24"/>
          <w:szCs w:val="24"/>
        </w:rPr>
      </w:pPr>
      <w:r w:rsidRPr="00A5667B">
        <w:rPr>
          <w:rFonts w:ascii="Arial" w:hAnsi="Arial" w:cs="Arial"/>
          <w:sz w:val="24"/>
          <w:szCs w:val="24"/>
        </w:rPr>
        <w:t xml:space="preserve">The value of the ICT scale-up factor will depend on the size of the RES installation, which </w:t>
      </w:r>
      <w:r w:rsidR="00D44CFC">
        <w:rPr>
          <w:rFonts w:ascii="Arial" w:hAnsi="Arial" w:cs="Arial"/>
          <w:sz w:val="24"/>
          <w:szCs w:val="24"/>
        </w:rPr>
        <w:t xml:space="preserve">is </w:t>
      </w:r>
      <w:r w:rsidR="003D1CAE" w:rsidRPr="00A5667B">
        <w:rPr>
          <w:rFonts w:ascii="Arial" w:hAnsi="Arial" w:cs="Arial"/>
          <w:sz w:val="24"/>
          <w:szCs w:val="24"/>
        </w:rPr>
        <w:t>determined by</w:t>
      </w:r>
      <w:r w:rsidRPr="00A5667B">
        <w:rPr>
          <w:rFonts w:ascii="Arial" w:hAnsi="Arial" w:cs="Arial"/>
          <w:sz w:val="24"/>
          <w:szCs w:val="24"/>
        </w:rPr>
        <w:t xml:space="preserve"> the population. Lower populations may face higher ICT scale-</w:t>
      </w:r>
      <w:r w:rsidRPr="00A5667B">
        <w:rPr>
          <w:rFonts w:ascii="Arial" w:hAnsi="Arial" w:cs="Arial"/>
          <w:sz w:val="24"/>
          <w:szCs w:val="24"/>
        </w:rPr>
        <w:lastRenderedPageBreak/>
        <w:t xml:space="preserve">up costs owing to the relatively smaller size of the RES installation. </w:t>
      </w:r>
      <w:r w:rsidR="00BC0264" w:rsidRPr="00A5667B">
        <w:rPr>
          <w:rFonts w:ascii="Arial" w:hAnsi="Arial" w:cs="Arial"/>
          <w:sz w:val="24"/>
          <w:szCs w:val="24"/>
        </w:rPr>
        <w:t xml:space="preserve">While, in theory, a higher ICT scale-up factor can produce higher induced benefits, especially for female waged employment as it increases the per-unit energy costs, this is not necessarily beneficial since the community must bear the negative effects. Therefore, increasing the per-unit energy costs is never beneficial. </w:t>
      </w:r>
      <w:r w:rsidRPr="00A5667B">
        <w:rPr>
          <w:rFonts w:ascii="Arial" w:hAnsi="Arial" w:cs="Arial"/>
          <w:sz w:val="24"/>
          <w:szCs w:val="24"/>
        </w:rPr>
        <w:t>This might be in the form of a lower ownership share of the RES facility for the community or lower reciprocal payments depending on the conditions and agreements between the local community and the electricity utility.</w:t>
      </w:r>
    </w:p>
    <w:p w14:paraId="784F8CB0" w14:textId="19F02521" w:rsidR="00F87136" w:rsidRPr="00A5667B" w:rsidRDefault="00F87136" w:rsidP="00F87136">
      <w:pPr>
        <w:pStyle w:val="Caption"/>
        <w:keepNext/>
      </w:pPr>
      <w:r w:rsidRPr="00A5667B">
        <w:t xml:space="preserve">Table </w:t>
      </w:r>
      <w:r>
        <w:fldChar w:fldCharType="begin"/>
      </w:r>
      <w:r>
        <w:instrText>SEQ Table \* ARABIC</w:instrText>
      </w:r>
      <w:r>
        <w:fldChar w:fldCharType="separate"/>
      </w:r>
      <w:r w:rsidR="009733CD">
        <w:rPr>
          <w:noProof/>
        </w:rPr>
        <w:t>12</w:t>
      </w:r>
      <w:r>
        <w:fldChar w:fldCharType="end"/>
      </w:r>
      <w:r w:rsidRPr="00A5667B">
        <w:t>: Sensitivity analysis of the impact of ICT scale-up factor on the tourism sector</w:t>
      </w:r>
    </w:p>
    <w:tbl>
      <w:tblPr>
        <w:tblW w:w="5141" w:type="pct"/>
        <w:tblLook w:val="0420" w:firstRow="1" w:lastRow="0" w:firstColumn="0" w:lastColumn="0" w:noHBand="0" w:noVBand="1"/>
      </w:tblPr>
      <w:tblGrid>
        <w:gridCol w:w="2512"/>
        <w:gridCol w:w="1296"/>
        <w:gridCol w:w="630"/>
        <w:gridCol w:w="714"/>
        <w:gridCol w:w="658"/>
        <w:gridCol w:w="693"/>
        <w:gridCol w:w="693"/>
        <w:gridCol w:w="692"/>
        <w:gridCol w:w="692"/>
        <w:gridCol w:w="690"/>
      </w:tblGrid>
      <w:tr w:rsidR="00764B74" w:rsidRPr="00A5667B" w14:paraId="7599C7FD" w14:textId="77777777" w:rsidTr="00BB2311">
        <w:trPr>
          <w:trHeight w:val="304"/>
        </w:trPr>
        <w:tc>
          <w:tcPr>
            <w:tcW w:w="1355" w:type="pct"/>
            <w:vMerge w:val="restart"/>
            <w:tcBorders>
              <w:top w:val="single" w:sz="4" w:space="0" w:color="auto"/>
              <w:left w:val="single" w:sz="4" w:space="0" w:color="auto"/>
              <w:right w:val="single" w:sz="4" w:space="0" w:color="auto"/>
            </w:tcBorders>
            <w:shd w:val="clear" w:color="000000" w:fill="92D050"/>
            <w:noWrap/>
            <w:vAlign w:val="center"/>
            <w:hideMark/>
          </w:tcPr>
          <w:p w14:paraId="30666CC1"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Island</w:t>
            </w:r>
          </w:p>
        </w:tc>
        <w:tc>
          <w:tcPr>
            <w:tcW w:w="699" w:type="pct"/>
            <w:vMerge w:val="restart"/>
            <w:tcBorders>
              <w:top w:val="single" w:sz="4" w:space="0" w:color="auto"/>
              <w:left w:val="nil"/>
              <w:right w:val="single" w:sz="4" w:space="0" w:color="auto"/>
            </w:tcBorders>
            <w:shd w:val="clear" w:color="000000" w:fill="92D050"/>
            <w:noWrap/>
            <w:vAlign w:val="center"/>
            <w:hideMark/>
          </w:tcPr>
          <w:p w14:paraId="646701E0"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Population</w:t>
            </w:r>
          </w:p>
        </w:tc>
        <w:tc>
          <w:tcPr>
            <w:tcW w:w="340" w:type="pct"/>
            <w:vMerge w:val="restart"/>
            <w:tcBorders>
              <w:top w:val="single" w:sz="4" w:space="0" w:color="auto"/>
              <w:left w:val="nil"/>
              <w:right w:val="single" w:sz="4" w:space="0" w:color="auto"/>
            </w:tcBorders>
            <w:shd w:val="clear" w:color="000000" w:fill="92D050"/>
            <w:noWrap/>
            <w:vAlign w:val="center"/>
            <w:hideMark/>
          </w:tcPr>
          <w:p w14:paraId="5EBFDF71"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KIM</w:t>
            </w:r>
          </w:p>
        </w:tc>
        <w:tc>
          <w:tcPr>
            <w:tcW w:w="385" w:type="pct"/>
            <w:vMerge w:val="restart"/>
            <w:tcBorders>
              <w:top w:val="single" w:sz="4" w:space="0" w:color="auto"/>
              <w:left w:val="nil"/>
              <w:right w:val="single" w:sz="4" w:space="0" w:color="auto"/>
            </w:tcBorders>
            <w:shd w:val="clear" w:color="000000" w:fill="92D050"/>
            <w:noWrap/>
            <w:vAlign w:val="center"/>
            <w:hideMark/>
          </w:tcPr>
          <w:p w14:paraId="01EBCF91"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LCOE</w:t>
            </w:r>
          </w:p>
        </w:tc>
        <w:tc>
          <w:tcPr>
            <w:tcW w:w="355" w:type="pct"/>
            <w:vMerge w:val="restart"/>
            <w:tcBorders>
              <w:top w:val="single" w:sz="4" w:space="0" w:color="auto"/>
              <w:left w:val="nil"/>
              <w:right w:val="single" w:sz="4" w:space="0" w:color="auto"/>
            </w:tcBorders>
            <w:shd w:val="clear" w:color="000000" w:fill="92D050"/>
            <w:noWrap/>
            <w:vAlign w:val="center"/>
            <w:hideMark/>
          </w:tcPr>
          <w:p w14:paraId="4E86952A"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GRLI</w:t>
            </w:r>
          </w:p>
        </w:tc>
        <w:tc>
          <w:tcPr>
            <w:tcW w:w="1866" w:type="pct"/>
            <w:gridSpan w:val="5"/>
            <w:tcBorders>
              <w:top w:val="single" w:sz="4" w:space="0" w:color="auto"/>
              <w:left w:val="nil"/>
              <w:bottom w:val="single" w:sz="4" w:space="0" w:color="auto"/>
              <w:right w:val="single" w:sz="4" w:space="0" w:color="auto"/>
            </w:tcBorders>
            <w:shd w:val="clear" w:color="000000" w:fill="92D050"/>
            <w:noWrap/>
            <w:vAlign w:val="center"/>
            <w:hideMark/>
          </w:tcPr>
          <w:p w14:paraId="1C153B89"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SEI (F) for different values of ICTSF</w:t>
            </w:r>
          </w:p>
        </w:tc>
      </w:tr>
      <w:tr w:rsidR="00764B74" w:rsidRPr="00A5667B" w14:paraId="6CF352E2" w14:textId="77777777" w:rsidTr="00BB2311">
        <w:trPr>
          <w:trHeight w:val="304"/>
        </w:trPr>
        <w:tc>
          <w:tcPr>
            <w:tcW w:w="1355" w:type="pct"/>
            <w:vMerge/>
            <w:tcBorders>
              <w:left w:val="single" w:sz="4" w:space="0" w:color="auto"/>
              <w:bottom w:val="single" w:sz="4" w:space="0" w:color="auto"/>
              <w:right w:val="single" w:sz="4" w:space="0" w:color="auto"/>
            </w:tcBorders>
            <w:shd w:val="clear" w:color="000000" w:fill="92D050"/>
            <w:noWrap/>
            <w:vAlign w:val="center"/>
            <w:hideMark/>
          </w:tcPr>
          <w:p w14:paraId="279A3138" w14:textId="76561B72" w:rsidR="00764B74" w:rsidRPr="00A5667B" w:rsidRDefault="00764B74" w:rsidP="00764B74">
            <w:pPr>
              <w:spacing w:after="0" w:line="240" w:lineRule="auto"/>
              <w:rPr>
                <w:rFonts w:ascii="Calibri" w:eastAsia="Times New Roman" w:hAnsi="Calibri" w:cs="Calibri"/>
                <w:b/>
                <w:bCs/>
                <w:color w:val="FFFFFF"/>
                <w:sz w:val="21"/>
                <w:szCs w:val="21"/>
                <w:lang w:eastAsia="en-GB"/>
              </w:rPr>
            </w:pPr>
          </w:p>
        </w:tc>
        <w:tc>
          <w:tcPr>
            <w:tcW w:w="699" w:type="pct"/>
            <w:vMerge/>
            <w:tcBorders>
              <w:left w:val="nil"/>
              <w:bottom w:val="single" w:sz="4" w:space="0" w:color="auto"/>
              <w:right w:val="single" w:sz="4" w:space="0" w:color="auto"/>
            </w:tcBorders>
            <w:shd w:val="clear" w:color="000000" w:fill="92D050"/>
            <w:noWrap/>
            <w:vAlign w:val="center"/>
            <w:hideMark/>
          </w:tcPr>
          <w:p w14:paraId="615EF201" w14:textId="6067D3E8" w:rsidR="00764B74" w:rsidRPr="00A5667B" w:rsidRDefault="00764B74" w:rsidP="00764B74">
            <w:pPr>
              <w:spacing w:after="0" w:line="240" w:lineRule="auto"/>
              <w:rPr>
                <w:rFonts w:ascii="Calibri" w:eastAsia="Times New Roman" w:hAnsi="Calibri" w:cs="Calibri"/>
                <w:b/>
                <w:bCs/>
                <w:color w:val="FFFFFF"/>
                <w:sz w:val="21"/>
                <w:szCs w:val="21"/>
                <w:lang w:eastAsia="en-GB"/>
              </w:rPr>
            </w:pPr>
          </w:p>
        </w:tc>
        <w:tc>
          <w:tcPr>
            <w:tcW w:w="340" w:type="pct"/>
            <w:vMerge/>
            <w:tcBorders>
              <w:left w:val="nil"/>
              <w:bottom w:val="single" w:sz="4" w:space="0" w:color="auto"/>
              <w:right w:val="single" w:sz="4" w:space="0" w:color="auto"/>
            </w:tcBorders>
            <w:shd w:val="clear" w:color="000000" w:fill="92D050"/>
            <w:noWrap/>
            <w:vAlign w:val="center"/>
            <w:hideMark/>
          </w:tcPr>
          <w:p w14:paraId="12770734" w14:textId="0A394FEA"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p>
        </w:tc>
        <w:tc>
          <w:tcPr>
            <w:tcW w:w="385" w:type="pct"/>
            <w:vMerge/>
            <w:tcBorders>
              <w:left w:val="nil"/>
              <w:bottom w:val="single" w:sz="4" w:space="0" w:color="auto"/>
              <w:right w:val="single" w:sz="4" w:space="0" w:color="auto"/>
            </w:tcBorders>
            <w:shd w:val="clear" w:color="000000" w:fill="92D050"/>
            <w:noWrap/>
            <w:vAlign w:val="center"/>
            <w:hideMark/>
          </w:tcPr>
          <w:p w14:paraId="7B5C0C83" w14:textId="53BB754F"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p>
        </w:tc>
        <w:tc>
          <w:tcPr>
            <w:tcW w:w="355" w:type="pct"/>
            <w:vMerge/>
            <w:tcBorders>
              <w:left w:val="nil"/>
              <w:bottom w:val="single" w:sz="4" w:space="0" w:color="auto"/>
              <w:right w:val="single" w:sz="4" w:space="0" w:color="auto"/>
            </w:tcBorders>
            <w:shd w:val="clear" w:color="000000" w:fill="92D050"/>
            <w:noWrap/>
            <w:vAlign w:val="center"/>
            <w:hideMark/>
          </w:tcPr>
          <w:p w14:paraId="1558E764" w14:textId="59904578"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p>
        </w:tc>
        <w:tc>
          <w:tcPr>
            <w:tcW w:w="374" w:type="pct"/>
            <w:tcBorders>
              <w:top w:val="nil"/>
              <w:left w:val="nil"/>
              <w:bottom w:val="single" w:sz="4" w:space="0" w:color="auto"/>
              <w:right w:val="single" w:sz="4" w:space="0" w:color="auto"/>
            </w:tcBorders>
            <w:shd w:val="clear" w:color="000000" w:fill="92D050"/>
            <w:noWrap/>
            <w:vAlign w:val="center"/>
            <w:hideMark/>
          </w:tcPr>
          <w:p w14:paraId="0EB1AD17"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1.1</w:t>
            </w:r>
          </w:p>
        </w:tc>
        <w:tc>
          <w:tcPr>
            <w:tcW w:w="374" w:type="pct"/>
            <w:tcBorders>
              <w:top w:val="nil"/>
              <w:left w:val="nil"/>
              <w:bottom w:val="single" w:sz="4" w:space="0" w:color="auto"/>
              <w:right w:val="single" w:sz="4" w:space="0" w:color="auto"/>
            </w:tcBorders>
            <w:shd w:val="clear" w:color="000000" w:fill="92D050"/>
            <w:noWrap/>
            <w:vAlign w:val="center"/>
            <w:hideMark/>
          </w:tcPr>
          <w:p w14:paraId="514A02F4"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1.2</w:t>
            </w:r>
          </w:p>
        </w:tc>
        <w:tc>
          <w:tcPr>
            <w:tcW w:w="373" w:type="pct"/>
            <w:tcBorders>
              <w:top w:val="nil"/>
              <w:left w:val="nil"/>
              <w:bottom w:val="single" w:sz="4" w:space="0" w:color="auto"/>
              <w:right w:val="single" w:sz="4" w:space="0" w:color="auto"/>
            </w:tcBorders>
            <w:shd w:val="clear" w:color="000000" w:fill="92D050"/>
            <w:noWrap/>
            <w:vAlign w:val="center"/>
            <w:hideMark/>
          </w:tcPr>
          <w:p w14:paraId="1F601BF1"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1.3</w:t>
            </w:r>
          </w:p>
        </w:tc>
        <w:tc>
          <w:tcPr>
            <w:tcW w:w="373" w:type="pct"/>
            <w:tcBorders>
              <w:top w:val="nil"/>
              <w:left w:val="nil"/>
              <w:bottom w:val="single" w:sz="4" w:space="0" w:color="auto"/>
              <w:right w:val="single" w:sz="4" w:space="0" w:color="auto"/>
            </w:tcBorders>
            <w:shd w:val="clear" w:color="000000" w:fill="92D050"/>
            <w:noWrap/>
            <w:vAlign w:val="center"/>
            <w:hideMark/>
          </w:tcPr>
          <w:p w14:paraId="451CA319"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1.4</w:t>
            </w:r>
          </w:p>
        </w:tc>
        <w:tc>
          <w:tcPr>
            <w:tcW w:w="372" w:type="pct"/>
            <w:tcBorders>
              <w:top w:val="nil"/>
              <w:left w:val="nil"/>
              <w:bottom w:val="single" w:sz="4" w:space="0" w:color="auto"/>
              <w:right w:val="single" w:sz="4" w:space="0" w:color="auto"/>
            </w:tcBorders>
            <w:shd w:val="clear" w:color="000000" w:fill="92D050"/>
            <w:noWrap/>
            <w:vAlign w:val="center"/>
            <w:hideMark/>
          </w:tcPr>
          <w:p w14:paraId="76A9D8E9" w14:textId="77777777" w:rsidR="00764B74" w:rsidRPr="00A5667B" w:rsidRDefault="00764B74" w:rsidP="00764B74">
            <w:pPr>
              <w:spacing w:after="0" w:line="240" w:lineRule="auto"/>
              <w:jc w:val="center"/>
              <w:rPr>
                <w:rFonts w:ascii="Calibri" w:eastAsia="Times New Roman" w:hAnsi="Calibri" w:cs="Calibri"/>
                <w:b/>
                <w:bCs/>
                <w:color w:val="FFFFFF"/>
                <w:sz w:val="21"/>
                <w:szCs w:val="21"/>
                <w:lang w:eastAsia="en-GB"/>
              </w:rPr>
            </w:pPr>
            <w:r w:rsidRPr="00A5667B">
              <w:rPr>
                <w:rFonts w:ascii="Calibri" w:eastAsia="Times New Roman" w:hAnsi="Calibri" w:cs="Calibri"/>
                <w:b/>
                <w:bCs/>
                <w:color w:val="FFFFFF"/>
                <w:sz w:val="21"/>
                <w:szCs w:val="21"/>
                <w:lang w:eastAsia="en-GB"/>
              </w:rPr>
              <w:t>1.5</w:t>
            </w:r>
          </w:p>
        </w:tc>
      </w:tr>
      <w:tr w:rsidR="00166224" w:rsidRPr="00A5667B" w14:paraId="779B3D9F" w14:textId="77777777" w:rsidTr="00BB2311">
        <w:trPr>
          <w:trHeight w:val="304"/>
        </w:trPr>
        <w:tc>
          <w:tcPr>
            <w:tcW w:w="1355" w:type="pct"/>
            <w:tcBorders>
              <w:top w:val="nil"/>
              <w:left w:val="single" w:sz="4" w:space="0" w:color="auto"/>
              <w:bottom w:val="single" w:sz="4" w:space="0" w:color="auto"/>
              <w:right w:val="single" w:sz="4" w:space="0" w:color="auto"/>
            </w:tcBorders>
            <w:shd w:val="clear" w:color="auto" w:fill="auto"/>
            <w:noWrap/>
            <w:vAlign w:val="center"/>
            <w:hideMark/>
          </w:tcPr>
          <w:p w14:paraId="4DBFAC33" w14:textId="77777777" w:rsidR="006912BE" w:rsidRPr="00A5667B" w:rsidRDefault="006912BE" w:rsidP="006912BE">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La Graciosa (Spain) </w:t>
            </w:r>
          </w:p>
        </w:tc>
        <w:tc>
          <w:tcPr>
            <w:tcW w:w="699" w:type="pct"/>
            <w:tcBorders>
              <w:top w:val="nil"/>
              <w:left w:val="nil"/>
              <w:bottom w:val="single" w:sz="4" w:space="0" w:color="auto"/>
              <w:right w:val="single" w:sz="4" w:space="0" w:color="auto"/>
            </w:tcBorders>
            <w:shd w:val="clear" w:color="auto" w:fill="auto"/>
            <w:noWrap/>
            <w:vAlign w:val="center"/>
            <w:hideMark/>
          </w:tcPr>
          <w:p w14:paraId="4D3E035B"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734</w:t>
            </w:r>
          </w:p>
        </w:tc>
        <w:tc>
          <w:tcPr>
            <w:tcW w:w="340" w:type="pct"/>
            <w:tcBorders>
              <w:top w:val="nil"/>
              <w:left w:val="nil"/>
              <w:bottom w:val="single" w:sz="4" w:space="0" w:color="auto"/>
              <w:right w:val="single" w:sz="4" w:space="0" w:color="auto"/>
            </w:tcBorders>
            <w:shd w:val="clear" w:color="auto" w:fill="auto"/>
            <w:noWrap/>
            <w:vAlign w:val="center"/>
            <w:hideMark/>
          </w:tcPr>
          <w:p w14:paraId="5F13AA4D"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1.82</w:t>
            </w:r>
          </w:p>
        </w:tc>
        <w:tc>
          <w:tcPr>
            <w:tcW w:w="385" w:type="pct"/>
            <w:tcBorders>
              <w:top w:val="nil"/>
              <w:left w:val="nil"/>
              <w:bottom w:val="single" w:sz="4" w:space="0" w:color="auto"/>
              <w:right w:val="single" w:sz="4" w:space="0" w:color="auto"/>
            </w:tcBorders>
            <w:shd w:val="clear" w:color="auto" w:fill="auto"/>
            <w:noWrap/>
            <w:vAlign w:val="center"/>
            <w:hideMark/>
          </w:tcPr>
          <w:p w14:paraId="10792990"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0.12</w:t>
            </w:r>
          </w:p>
        </w:tc>
        <w:tc>
          <w:tcPr>
            <w:tcW w:w="355" w:type="pct"/>
            <w:tcBorders>
              <w:top w:val="nil"/>
              <w:left w:val="nil"/>
              <w:bottom w:val="single" w:sz="4" w:space="0" w:color="auto"/>
              <w:right w:val="single" w:sz="4" w:space="0" w:color="auto"/>
            </w:tcBorders>
            <w:shd w:val="clear" w:color="auto" w:fill="auto"/>
            <w:noWrap/>
            <w:vAlign w:val="center"/>
            <w:hideMark/>
          </w:tcPr>
          <w:p w14:paraId="133C27C5"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0.53</w:t>
            </w:r>
          </w:p>
        </w:tc>
        <w:tc>
          <w:tcPr>
            <w:tcW w:w="374" w:type="pct"/>
            <w:tcBorders>
              <w:top w:val="nil"/>
              <w:left w:val="nil"/>
              <w:bottom w:val="single" w:sz="4" w:space="0" w:color="auto"/>
              <w:right w:val="single" w:sz="4" w:space="0" w:color="auto"/>
            </w:tcBorders>
            <w:shd w:val="clear" w:color="auto" w:fill="auto"/>
            <w:noWrap/>
            <w:vAlign w:val="center"/>
            <w:hideMark/>
          </w:tcPr>
          <w:p w14:paraId="05CE7BB9"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0.13</w:t>
            </w:r>
          </w:p>
        </w:tc>
        <w:tc>
          <w:tcPr>
            <w:tcW w:w="374" w:type="pct"/>
            <w:tcBorders>
              <w:top w:val="nil"/>
              <w:left w:val="nil"/>
              <w:bottom w:val="single" w:sz="4" w:space="0" w:color="auto"/>
              <w:right w:val="single" w:sz="4" w:space="0" w:color="auto"/>
            </w:tcBorders>
            <w:shd w:val="clear" w:color="auto" w:fill="auto"/>
            <w:noWrap/>
            <w:vAlign w:val="center"/>
            <w:hideMark/>
          </w:tcPr>
          <w:p w14:paraId="5D6D22CD"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0.14</w:t>
            </w:r>
          </w:p>
        </w:tc>
        <w:tc>
          <w:tcPr>
            <w:tcW w:w="373" w:type="pct"/>
            <w:tcBorders>
              <w:top w:val="nil"/>
              <w:left w:val="nil"/>
              <w:bottom w:val="single" w:sz="4" w:space="0" w:color="auto"/>
              <w:right w:val="single" w:sz="4" w:space="0" w:color="auto"/>
            </w:tcBorders>
            <w:shd w:val="clear" w:color="auto" w:fill="auto"/>
            <w:noWrap/>
            <w:vAlign w:val="center"/>
            <w:hideMark/>
          </w:tcPr>
          <w:p w14:paraId="3EDCEDF6"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0.15</w:t>
            </w:r>
          </w:p>
        </w:tc>
        <w:tc>
          <w:tcPr>
            <w:tcW w:w="373" w:type="pct"/>
            <w:tcBorders>
              <w:top w:val="nil"/>
              <w:left w:val="nil"/>
              <w:bottom w:val="single" w:sz="4" w:space="0" w:color="auto"/>
              <w:right w:val="single" w:sz="4" w:space="0" w:color="auto"/>
            </w:tcBorders>
            <w:shd w:val="clear" w:color="auto" w:fill="auto"/>
            <w:noWrap/>
            <w:vAlign w:val="center"/>
            <w:hideMark/>
          </w:tcPr>
          <w:p w14:paraId="3CA1C7E4"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0.16</w:t>
            </w:r>
          </w:p>
        </w:tc>
        <w:tc>
          <w:tcPr>
            <w:tcW w:w="372" w:type="pct"/>
            <w:tcBorders>
              <w:top w:val="nil"/>
              <w:left w:val="nil"/>
              <w:bottom w:val="single" w:sz="4" w:space="0" w:color="auto"/>
              <w:right w:val="single" w:sz="4" w:space="0" w:color="auto"/>
            </w:tcBorders>
            <w:shd w:val="clear" w:color="auto" w:fill="auto"/>
            <w:noWrap/>
            <w:vAlign w:val="center"/>
            <w:hideMark/>
          </w:tcPr>
          <w:p w14:paraId="257E4148"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0.17</w:t>
            </w:r>
          </w:p>
        </w:tc>
      </w:tr>
      <w:tr w:rsidR="00166224" w:rsidRPr="00A5667B" w14:paraId="79A7D803" w14:textId="77777777" w:rsidTr="00BB2311">
        <w:trPr>
          <w:trHeight w:val="304"/>
        </w:trPr>
        <w:tc>
          <w:tcPr>
            <w:tcW w:w="1355" w:type="pct"/>
            <w:tcBorders>
              <w:top w:val="nil"/>
              <w:left w:val="single" w:sz="4" w:space="0" w:color="auto"/>
              <w:bottom w:val="single" w:sz="4" w:space="0" w:color="auto"/>
              <w:right w:val="single" w:sz="4" w:space="0" w:color="auto"/>
            </w:tcBorders>
            <w:shd w:val="clear" w:color="auto" w:fill="auto"/>
            <w:noWrap/>
            <w:vAlign w:val="center"/>
            <w:hideMark/>
          </w:tcPr>
          <w:p w14:paraId="1241AA0C" w14:textId="77777777" w:rsidR="006912BE" w:rsidRPr="00A5667B" w:rsidRDefault="006912BE" w:rsidP="006912BE">
            <w:pPr>
              <w:spacing w:after="0" w:line="240" w:lineRule="auto"/>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Gotland (Sweden) </w:t>
            </w:r>
          </w:p>
        </w:tc>
        <w:tc>
          <w:tcPr>
            <w:tcW w:w="699" w:type="pct"/>
            <w:tcBorders>
              <w:top w:val="nil"/>
              <w:left w:val="nil"/>
              <w:bottom w:val="single" w:sz="4" w:space="0" w:color="auto"/>
              <w:right w:val="single" w:sz="4" w:space="0" w:color="auto"/>
            </w:tcBorders>
            <w:shd w:val="clear" w:color="auto" w:fill="auto"/>
            <w:noWrap/>
            <w:vAlign w:val="center"/>
            <w:hideMark/>
          </w:tcPr>
          <w:p w14:paraId="7C253698"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59,249</w:t>
            </w:r>
          </w:p>
        </w:tc>
        <w:tc>
          <w:tcPr>
            <w:tcW w:w="340" w:type="pct"/>
            <w:tcBorders>
              <w:top w:val="nil"/>
              <w:left w:val="nil"/>
              <w:bottom w:val="single" w:sz="4" w:space="0" w:color="auto"/>
              <w:right w:val="single" w:sz="4" w:space="0" w:color="auto"/>
            </w:tcBorders>
            <w:shd w:val="clear" w:color="auto" w:fill="auto"/>
            <w:noWrap/>
            <w:vAlign w:val="center"/>
            <w:hideMark/>
          </w:tcPr>
          <w:p w14:paraId="3AAC53D0"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1.41</w:t>
            </w:r>
          </w:p>
        </w:tc>
        <w:tc>
          <w:tcPr>
            <w:tcW w:w="385" w:type="pct"/>
            <w:tcBorders>
              <w:top w:val="nil"/>
              <w:left w:val="nil"/>
              <w:bottom w:val="single" w:sz="4" w:space="0" w:color="auto"/>
              <w:right w:val="single" w:sz="4" w:space="0" w:color="auto"/>
            </w:tcBorders>
            <w:shd w:val="clear" w:color="auto" w:fill="auto"/>
            <w:noWrap/>
            <w:vAlign w:val="center"/>
            <w:hideMark/>
          </w:tcPr>
          <w:p w14:paraId="0018304D"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0.12</w:t>
            </w:r>
          </w:p>
        </w:tc>
        <w:tc>
          <w:tcPr>
            <w:tcW w:w="355" w:type="pct"/>
            <w:tcBorders>
              <w:top w:val="nil"/>
              <w:left w:val="nil"/>
              <w:bottom w:val="single" w:sz="4" w:space="0" w:color="auto"/>
              <w:right w:val="single" w:sz="4" w:space="0" w:color="auto"/>
            </w:tcBorders>
            <w:shd w:val="clear" w:color="auto" w:fill="auto"/>
            <w:noWrap/>
            <w:vAlign w:val="center"/>
            <w:hideMark/>
          </w:tcPr>
          <w:p w14:paraId="3B01B65E" w14:textId="77777777" w:rsidR="006912BE" w:rsidRPr="00A5667B" w:rsidRDefault="006912BE" w:rsidP="00313A85">
            <w:pPr>
              <w:spacing w:after="0" w:line="240" w:lineRule="auto"/>
              <w:jc w:val="center"/>
              <w:rPr>
                <w:rFonts w:ascii="Calibri" w:eastAsia="Times New Roman" w:hAnsi="Calibri" w:cs="Calibri"/>
                <w:color w:val="000000"/>
                <w:sz w:val="21"/>
                <w:szCs w:val="21"/>
                <w:lang w:eastAsia="en-GB"/>
              </w:rPr>
            </w:pPr>
            <w:r w:rsidRPr="00A5667B">
              <w:rPr>
                <w:rFonts w:ascii="Calibri" w:eastAsia="Times New Roman" w:hAnsi="Calibri" w:cs="Calibri"/>
                <w:color w:val="000000"/>
                <w:sz w:val="21"/>
                <w:szCs w:val="21"/>
                <w:lang w:eastAsia="en-GB"/>
              </w:rPr>
              <w:t>1.11</w:t>
            </w:r>
          </w:p>
        </w:tc>
        <w:tc>
          <w:tcPr>
            <w:tcW w:w="374" w:type="pct"/>
            <w:tcBorders>
              <w:top w:val="nil"/>
              <w:left w:val="nil"/>
              <w:bottom w:val="single" w:sz="4" w:space="0" w:color="auto"/>
              <w:right w:val="single" w:sz="4" w:space="0" w:color="auto"/>
            </w:tcBorders>
            <w:shd w:val="clear" w:color="auto" w:fill="auto"/>
            <w:noWrap/>
            <w:vAlign w:val="center"/>
            <w:hideMark/>
          </w:tcPr>
          <w:p w14:paraId="4BBDF70F"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0.21</w:t>
            </w:r>
          </w:p>
        </w:tc>
        <w:tc>
          <w:tcPr>
            <w:tcW w:w="374" w:type="pct"/>
            <w:tcBorders>
              <w:top w:val="nil"/>
              <w:left w:val="nil"/>
              <w:bottom w:val="single" w:sz="4" w:space="0" w:color="auto"/>
              <w:right w:val="single" w:sz="4" w:space="0" w:color="auto"/>
            </w:tcBorders>
            <w:shd w:val="clear" w:color="auto" w:fill="auto"/>
            <w:noWrap/>
            <w:vAlign w:val="center"/>
            <w:hideMark/>
          </w:tcPr>
          <w:p w14:paraId="51BBE9CB"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0.23</w:t>
            </w:r>
          </w:p>
        </w:tc>
        <w:tc>
          <w:tcPr>
            <w:tcW w:w="373" w:type="pct"/>
            <w:tcBorders>
              <w:top w:val="nil"/>
              <w:left w:val="nil"/>
              <w:bottom w:val="single" w:sz="4" w:space="0" w:color="auto"/>
              <w:right w:val="single" w:sz="4" w:space="0" w:color="auto"/>
            </w:tcBorders>
            <w:shd w:val="clear" w:color="auto" w:fill="auto"/>
            <w:noWrap/>
            <w:vAlign w:val="center"/>
            <w:hideMark/>
          </w:tcPr>
          <w:p w14:paraId="3104E770"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0.24</w:t>
            </w:r>
          </w:p>
        </w:tc>
        <w:tc>
          <w:tcPr>
            <w:tcW w:w="373" w:type="pct"/>
            <w:tcBorders>
              <w:top w:val="nil"/>
              <w:left w:val="nil"/>
              <w:bottom w:val="single" w:sz="4" w:space="0" w:color="auto"/>
              <w:right w:val="single" w:sz="4" w:space="0" w:color="auto"/>
            </w:tcBorders>
            <w:shd w:val="clear" w:color="auto" w:fill="auto"/>
            <w:noWrap/>
            <w:vAlign w:val="center"/>
            <w:hideMark/>
          </w:tcPr>
          <w:p w14:paraId="242F9399"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0.26</w:t>
            </w:r>
          </w:p>
        </w:tc>
        <w:tc>
          <w:tcPr>
            <w:tcW w:w="372" w:type="pct"/>
            <w:tcBorders>
              <w:top w:val="nil"/>
              <w:left w:val="nil"/>
              <w:bottom w:val="single" w:sz="4" w:space="0" w:color="auto"/>
              <w:right w:val="single" w:sz="4" w:space="0" w:color="auto"/>
            </w:tcBorders>
            <w:shd w:val="clear" w:color="auto" w:fill="auto"/>
            <w:noWrap/>
            <w:vAlign w:val="center"/>
            <w:hideMark/>
          </w:tcPr>
          <w:p w14:paraId="503E1B3D" w14:textId="77777777" w:rsidR="006912BE" w:rsidRPr="007256C8" w:rsidRDefault="006912BE" w:rsidP="00313A85">
            <w:pPr>
              <w:spacing w:after="0" w:line="240" w:lineRule="auto"/>
              <w:jc w:val="center"/>
              <w:rPr>
                <w:rFonts w:ascii="Calibri" w:eastAsia="Times New Roman" w:hAnsi="Calibri" w:cs="Calibri"/>
                <w:sz w:val="21"/>
                <w:szCs w:val="21"/>
                <w:lang w:eastAsia="en-GB"/>
              </w:rPr>
            </w:pPr>
            <w:r w:rsidRPr="007256C8">
              <w:rPr>
                <w:rFonts w:ascii="Calibri" w:eastAsia="Times New Roman" w:hAnsi="Calibri" w:cs="Calibri"/>
                <w:sz w:val="21"/>
                <w:szCs w:val="21"/>
                <w:lang w:eastAsia="en-GB"/>
              </w:rPr>
              <w:t>0.28</w:t>
            </w:r>
          </w:p>
        </w:tc>
      </w:tr>
    </w:tbl>
    <w:p w14:paraId="1571CBBB" w14:textId="324B188B" w:rsidR="00270A07" w:rsidRPr="00A5667B" w:rsidRDefault="00764B74" w:rsidP="00270A07">
      <w:pPr>
        <w:spacing w:line="360" w:lineRule="auto"/>
        <w:jc w:val="both"/>
        <w:rPr>
          <w:rFonts w:ascii="Arial" w:hAnsi="Arial" w:cs="Arial"/>
          <w:sz w:val="24"/>
          <w:szCs w:val="24"/>
        </w:rPr>
      </w:pPr>
      <w:r w:rsidRPr="00806E55">
        <w:rPr>
          <w:rFonts w:ascii="Arial" w:hAnsi="Arial" w:cs="Arial"/>
          <w:sz w:val="18"/>
          <w:szCs w:val="18"/>
        </w:rPr>
        <w:t xml:space="preserve">Note: KIM is Keynesian income multiplier; </w:t>
      </w:r>
      <w:r w:rsidR="00314A8B" w:rsidRPr="00806E55">
        <w:rPr>
          <w:rFonts w:ascii="Arial" w:hAnsi="Arial" w:cs="Arial"/>
          <w:sz w:val="18"/>
          <w:szCs w:val="18"/>
        </w:rPr>
        <w:t xml:space="preserve">LCOE is levelized cost of energy; </w:t>
      </w:r>
      <w:r w:rsidRPr="00806E55">
        <w:rPr>
          <w:rFonts w:ascii="Arial" w:hAnsi="Arial" w:cs="Arial"/>
          <w:sz w:val="18"/>
          <w:szCs w:val="18"/>
        </w:rPr>
        <w:t>GRLI is</w:t>
      </w:r>
      <w:r w:rsidRPr="00806E55">
        <w:rPr>
          <w:sz w:val="18"/>
          <w:szCs w:val="18"/>
        </w:rPr>
        <w:t xml:space="preserve"> </w:t>
      </w:r>
      <w:r w:rsidRPr="00806E55">
        <w:rPr>
          <w:rFonts w:ascii="Arial" w:hAnsi="Arial" w:cs="Arial"/>
          <w:sz w:val="18"/>
          <w:szCs w:val="18"/>
        </w:rPr>
        <w:t>the Gender Representation F/M in Labour Income; SEI is sustainable energy infrastructure; F is female</w:t>
      </w:r>
      <w:r w:rsidR="00BC0264" w:rsidRPr="00806E55">
        <w:rPr>
          <w:rFonts w:ascii="Arial" w:hAnsi="Arial" w:cs="Arial"/>
          <w:sz w:val="18"/>
          <w:szCs w:val="18"/>
        </w:rPr>
        <w:t>; and ICTSF is the ICT scale up factor for the island</w:t>
      </w:r>
      <w:r w:rsidRPr="00A5667B">
        <w:rPr>
          <w:rFonts w:ascii="Arial" w:hAnsi="Arial" w:cs="Arial"/>
          <w:sz w:val="20"/>
          <w:szCs w:val="20"/>
        </w:rPr>
        <w:t>.</w:t>
      </w:r>
    </w:p>
    <w:p w14:paraId="3ECD199E" w14:textId="1F351434" w:rsidR="00E163AE" w:rsidRPr="000514E3" w:rsidRDefault="00514FB3" w:rsidP="00566F23">
      <w:pPr>
        <w:pStyle w:val="Heading1"/>
        <w:numPr>
          <w:ilvl w:val="0"/>
          <w:numId w:val="17"/>
        </w:numPr>
        <w:rPr>
          <w:rFonts w:ascii="Arial" w:hAnsi="Arial" w:cs="Arial"/>
          <w:sz w:val="24"/>
          <w:szCs w:val="24"/>
        </w:rPr>
      </w:pPr>
      <w:r w:rsidRPr="000514E3">
        <w:rPr>
          <w:rFonts w:ascii="Arial" w:hAnsi="Arial" w:cs="Arial"/>
          <w:sz w:val="24"/>
          <w:szCs w:val="24"/>
        </w:rPr>
        <w:t>CONCLUSION</w:t>
      </w:r>
      <w:r w:rsidR="00EC640D" w:rsidRPr="000514E3">
        <w:rPr>
          <w:rFonts w:ascii="Arial" w:hAnsi="Arial" w:cs="Arial"/>
          <w:sz w:val="24"/>
          <w:szCs w:val="24"/>
        </w:rPr>
        <w:t xml:space="preserve"> AND RECOMMENDATIONS</w:t>
      </w:r>
    </w:p>
    <w:p w14:paraId="5EDFD26F" w14:textId="4F2D7256" w:rsidR="00EF5E48" w:rsidRPr="00A502C9" w:rsidRDefault="00EF5E48" w:rsidP="00EF5E48">
      <w:pPr>
        <w:spacing w:line="360" w:lineRule="auto"/>
        <w:jc w:val="both"/>
        <w:rPr>
          <w:rFonts w:ascii="Arial" w:hAnsi="Arial" w:cs="Arial"/>
          <w:sz w:val="24"/>
          <w:szCs w:val="24"/>
        </w:rPr>
      </w:pPr>
      <w:r w:rsidRPr="00A502C9">
        <w:rPr>
          <w:rFonts w:ascii="Arial" w:hAnsi="Arial" w:cs="Arial"/>
          <w:sz w:val="24"/>
          <w:szCs w:val="24"/>
        </w:rPr>
        <w:t xml:space="preserve">This paper has introduced a new approach of assessing the socio-economic impact of self-sustaining energy system projects that are based on hypothetical future scenarios of RES installation. Keynesian Income Multiplier has been used to investigate the induced effects of RES-based system on the economy and the various activities that influence employment as well as income generation on </w:t>
      </w:r>
      <w:r>
        <w:rPr>
          <w:rFonts w:ascii="Arial" w:hAnsi="Arial" w:cs="Arial"/>
          <w:sz w:val="24"/>
          <w:szCs w:val="24"/>
        </w:rPr>
        <w:t xml:space="preserve">two </w:t>
      </w:r>
      <w:r w:rsidRPr="00A502C9">
        <w:rPr>
          <w:rFonts w:ascii="Arial" w:hAnsi="Arial" w:cs="Arial"/>
          <w:sz w:val="24"/>
          <w:szCs w:val="24"/>
        </w:rPr>
        <w:t>geographic islands within the EU’s Horizon 2020 REACT project. The proposed approach involved the use of AHP to capture the sectoral MPC, the selection of RES scenarios based on previous study forecasted values, capturing of effects of capital investments based on LCOE, capturing decarbonisation and 100% energy autonomy</w:t>
      </w:r>
      <w:r>
        <w:rPr>
          <w:rFonts w:ascii="Arial" w:hAnsi="Arial" w:cs="Arial"/>
          <w:sz w:val="24"/>
          <w:szCs w:val="24"/>
        </w:rPr>
        <w:t>,</w:t>
      </w:r>
      <w:r w:rsidRPr="00A502C9">
        <w:rPr>
          <w:rFonts w:ascii="Arial" w:hAnsi="Arial" w:cs="Arial"/>
          <w:sz w:val="24"/>
          <w:szCs w:val="24"/>
        </w:rPr>
        <w:t xml:space="preserve"> and lastly capturing gender income differentials.  It has been shown that </w:t>
      </w:r>
      <w:r>
        <w:rPr>
          <w:rFonts w:ascii="Arial" w:hAnsi="Arial" w:cs="Arial"/>
          <w:sz w:val="24"/>
          <w:szCs w:val="24"/>
        </w:rPr>
        <w:t xml:space="preserve">the </w:t>
      </w:r>
      <w:r w:rsidRPr="00A502C9">
        <w:rPr>
          <w:rFonts w:ascii="Arial" w:hAnsi="Arial" w:cs="Arial"/>
          <w:sz w:val="24"/>
          <w:szCs w:val="24"/>
        </w:rPr>
        <w:t>islands’ main source of income comes from tourism. It is imperative that a holistic approach of RES-based autonomy and decarbonisation with detailed examination of all high-income sectors on each island, including their facilities be developed, to ensure direct benefit from the RE income and that RES development does not affect the sectors adversely. These sector facilities should be prioritized due to their significant economic impact on employment on the islands.</w:t>
      </w:r>
    </w:p>
    <w:p w14:paraId="4B98C9C2" w14:textId="01C7429E" w:rsidR="00EF5E48" w:rsidRPr="00A5667B" w:rsidRDefault="00EF5E48" w:rsidP="00EF5E48">
      <w:pPr>
        <w:spacing w:line="360" w:lineRule="auto"/>
        <w:jc w:val="both"/>
        <w:rPr>
          <w:rFonts w:ascii="Arial" w:hAnsi="Arial" w:cs="Arial"/>
          <w:sz w:val="24"/>
          <w:szCs w:val="24"/>
        </w:rPr>
      </w:pPr>
      <w:r>
        <w:rPr>
          <w:rFonts w:ascii="Arial" w:hAnsi="Arial" w:cs="Arial"/>
          <w:sz w:val="24"/>
          <w:szCs w:val="24"/>
        </w:rPr>
        <w:lastRenderedPageBreak/>
        <w:t xml:space="preserve">A key factor for energy transition is the adoption and encouragement of community energy. This can be expedited by giving incentives to develop renewable energy projects with community ownership and participation. </w:t>
      </w:r>
      <w:r w:rsidRPr="00A502C9">
        <w:rPr>
          <w:rFonts w:ascii="Arial" w:hAnsi="Arial" w:cs="Arial"/>
          <w:sz w:val="24"/>
          <w:szCs w:val="24"/>
        </w:rPr>
        <w:t xml:space="preserve">It is recommended to give community </w:t>
      </w:r>
      <w:r>
        <w:rPr>
          <w:rFonts w:ascii="Arial" w:hAnsi="Arial" w:cs="Arial"/>
          <w:sz w:val="24"/>
          <w:szCs w:val="24"/>
        </w:rPr>
        <w:t xml:space="preserve">the </w:t>
      </w:r>
      <w:r w:rsidRPr="00A502C9">
        <w:rPr>
          <w:rFonts w:ascii="Arial" w:hAnsi="Arial" w:cs="Arial"/>
          <w:sz w:val="24"/>
          <w:szCs w:val="24"/>
        </w:rPr>
        <w:t>ownership of the RES facility as well as support the local workforce with skills development and training to maximise benefits to the local economy</w:t>
      </w:r>
      <w:r>
        <w:rPr>
          <w:rFonts w:ascii="Arial" w:hAnsi="Arial" w:cs="Arial"/>
          <w:sz w:val="24"/>
          <w:szCs w:val="24"/>
        </w:rPr>
        <w:t>. T</w:t>
      </w:r>
      <w:r w:rsidRPr="00A502C9">
        <w:rPr>
          <w:rFonts w:ascii="Arial" w:hAnsi="Arial" w:cs="Arial"/>
          <w:sz w:val="24"/>
          <w:szCs w:val="24"/>
        </w:rPr>
        <w:t xml:space="preserve">his will promote </w:t>
      </w:r>
      <w:r>
        <w:rPr>
          <w:rFonts w:ascii="Arial" w:hAnsi="Arial" w:cs="Arial"/>
          <w:sz w:val="24"/>
          <w:szCs w:val="24"/>
        </w:rPr>
        <w:t xml:space="preserve">public </w:t>
      </w:r>
      <w:r w:rsidRPr="00A502C9">
        <w:rPr>
          <w:rFonts w:ascii="Arial" w:hAnsi="Arial" w:cs="Arial"/>
          <w:sz w:val="24"/>
          <w:szCs w:val="24"/>
        </w:rPr>
        <w:t xml:space="preserve">awareness of sustainable development, </w:t>
      </w:r>
      <w:r>
        <w:rPr>
          <w:rFonts w:ascii="Arial" w:hAnsi="Arial" w:cs="Arial"/>
          <w:sz w:val="24"/>
          <w:szCs w:val="24"/>
        </w:rPr>
        <w:t xml:space="preserve">and </w:t>
      </w:r>
      <w:r w:rsidRPr="00A502C9">
        <w:rPr>
          <w:rFonts w:ascii="Arial" w:hAnsi="Arial" w:cs="Arial"/>
          <w:sz w:val="24"/>
          <w:szCs w:val="24"/>
        </w:rPr>
        <w:t>thereby reduc</w:t>
      </w:r>
      <w:r>
        <w:rPr>
          <w:rFonts w:ascii="Arial" w:hAnsi="Arial" w:cs="Arial"/>
          <w:sz w:val="24"/>
          <w:szCs w:val="24"/>
        </w:rPr>
        <w:t>e</w:t>
      </w:r>
      <w:r w:rsidRPr="00A502C9">
        <w:rPr>
          <w:rFonts w:ascii="Arial" w:hAnsi="Arial" w:cs="Arial"/>
          <w:sz w:val="24"/>
          <w:szCs w:val="24"/>
        </w:rPr>
        <w:t xml:space="preserve"> public resistance to any RE plant prior </w:t>
      </w:r>
      <w:r>
        <w:rPr>
          <w:rFonts w:ascii="Arial" w:hAnsi="Arial" w:cs="Arial"/>
          <w:sz w:val="24"/>
          <w:szCs w:val="24"/>
        </w:rPr>
        <w:t xml:space="preserve">to </w:t>
      </w:r>
      <w:r w:rsidRPr="00A502C9">
        <w:rPr>
          <w:rFonts w:ascii="Arial" w:hAnsi="Arial" w:cs="Arial"/>
          <w:sz w:val="24"/>
          <w:szCs w:val="24"/>
        </w:rPr>
        <w:t>construction</w:t>
      </w:r>
      <w:r w:rsidR="00B87B76">
        <w:rPr>
          <w:rFonts w:ascii="Arial" w:hAnsi="Arial" w:cs="Arial"/>
          <w:sz w:val="24"/>
          <w:szCs w:val="24"/>
        </w:rPr>
        <w:t xml:space="preserve"> [18, 39]</w:t>
      </w:r>
      <w:r w:rsidRPr="002D55C3">
        <w:rPr>
          <w:rFonts w:ascii="Arial" w:eastAsiaTheme="minorHAnsi" w:hAnsi="Arial" w:cs="Arial"/>
          <w:sz w:val="24"/>
          <w:szCs w:val="24"/>
        </w:rPr>
        <w:t>.</w:t>
      </w:r>
      <w:r w:rsidRPr="00A502C9">
        <w:rPr>
          <w:rFonts w:ascii="Arial" w:hAnsi="Arial" w:cs="Arial"/>
          <w:sz w:val="24"/>
          <w:szCs w:val="24"/>
        </w:rPr>
        <w:t xml:space="preserve"> </w:t>
      </w:r>
      <w:r>
        <w:rPr>
          <w:rFonts w:ascii="Arial" w:hAnsi="Arial" w:cs="Arial"/>
          <w:sz w:val="24"/>
          <w:szCs w:val="24"/>
        </w:rPr>
        <w:t xml:space="preserve">Therefore, local community </w:t>
      </w:r>
      <w:r w:rsidRPr="00A5667B">
        <w:rPr>
          <w:rFonts w:ascii="Arial" w:hAnsi="Arial" w:cs="Arial"/>
          <w:sz w:val="24"/>
          <w:szCs w:val="24"/>
        </w:rPr>
        <w:t>ownership should be taken into consideration when assessing a planning application and when considering the economic benefits for a community</w:t>
      </w:r>
      <w:r>
        <w:rPr>
          <w:rFonts w:ascii="Arial" w:hAnsi="Arial" w:cs="Arial"/>
          <w:sz w:val="24"/>
          <w:szCs w:val="24"/>
        </w:rPr>
        <w:t xml:space="preserve">. </w:t>
      </w:r>
      <w:r w:rsidRPr="00A5667B">
        <w:rPr>
          <w:rFonts w:ascii="Arial" w:hAnsi="Arial" w:cs="Arial"/>
          <w:sz w:val="24"/>
          <w:szCs w:val="24"/>
        </w:rPr>
        <w:t>The local community should be held accountable for how funds are spent to achieve the intended outcomes, and these conditions or agreements should be tailored to benefit local projects of the highest priority.</w:t>
      </w:r>
    </w:p>
    <w:p w14:paraId="3F8104B9" w14:textId="77777777" w:rsidR="00EF5E48" w:rsidRPr="00A502C9" w:rsidRDefault="00EF5E48" w:rsidP="00EF5E48">
      <w:pPr>
        <w:spacing w:line="360" w:lineRule="auto"/>
        <w:jc w:val="both"/>
        <w:rPr>
          <w:rFonts w:ascii="Arial" w:hAnsi="Arial" w:cs="Arial"/>
          <w:sz w:val="24"/>
          <w:szCs w:val="24"/>
        </w:rPr>
      </w:pPr>
      <w:r w:rsidRPr="00A502C9">
        <w:rPr>
          <w:rFonts w:ascii="Arial" w:hAnsi="Arial" w:cs="Arial"/>
          <w:sz w:val="24"/>
          <w:szCs w:val="24"/>
        </w:rPr>
        <w:t>The gender aware approach has also shown the importance of closing the gender pay gap and the need to foster gender equity in all economic sectors to have a broader socio-economic benefit.</w:t>
      </w:r>
    </w:p>
    <w:p w14:paraId="539F009A" w14:textId="7422B63E" w:rsidR="00EF5E48" w:rsidRDefault="00EF5E48" w:rsidP="00EF5E48">
      <w:pPr>
        <w:spacing w:line="360" w:lineRule="auto"/>
        <w:jc w:val="both"/>
        <w:rPr>
          <w:rFonts w:ascii="Arial" w:hAnsi="Arial" w:cs="Arial"/>
          <w:sz w:val="24"/>
          <w:szCs w:val="24"/>
        </w:rPr>
      </w:pPr>
      <w:r w:rsidRPr="00A5667B">
        <w:rPr>
          <w:rFonts w:ascii="Arial" w:hAnsi="Arial" w:cs="Arial"/>
          <w:sz w:val="24"/>
          <w:szCs w:val="24"/>
        </w:rPr>
        <w:t>Finally, RES facilities can offer informal education and information via guided tours and other similar activities</w:t>
      </w:r>
      <w:r w:rsidR="000514E3">
        <w:rPr>
          <w:rFonts w:ascii="Arial" w:hAnsi="Arial" w:cs="Arial"/>
          <w:sz w:val="24"/>
          <w:szCs w:val="24"/>
        </w:rPr>
        <w:t xml:space="preserve"> [39]</w:t>
      </w:r>
      <w:r>
        <w:rPr>
          <w:rFonts w:ascii="Arial" w:hAnsi="Arial" w:cs="Arial"/>
          <w:sz w:val="24"/>
          <w:szCs w:val="24"/>
        </w:rPr>
        <w:t xml:space="preserve">. </w:t>
      </w:r>
      <w:r w:rsidRPr="00A5667B">
        <w:rPr>
          <w:rFonts w:ascii="Arial" w:hAnsi="Arial" w:cs="Arial"/>
          <w:sz w:val="24"/>
          <w:szCs w:val="24"/>
        </w:rPr>
        <w:t>Such initiatives can reinforce the local commitment to RES, particularly on small islands. The operators of the facility should be encouraged to produce information packs and websites sharing plant information for the same objective.</w:t>
      </w:r>
    </w:p>
    <w:p w14:paraId="1CCCA4EB" w14:textId="77777777" w:rsidR="00EF5E48" w:rsidRPr="00EF5E48" w:rsidRDefault="00EF5E48" w:rsidP="00EF5E48"/>
    <w:p w14:paraId="5D927256" w14:textId="634E72B0" w:rsidR="00B27F2F" w:rsidRPr="000514E3" w:rsidRDefault="00B27F2F" w:rsidP="00B27F2F">
      <w:pPr>
        <w:pStyle w:val="Heading1"/>
        <w:rPr>
          <w:rFonts w:ascii="Arial" w:hAnsi="Arial" w:cs="Arial"/>
          <w:sz w:val="24"/>
          <w:szCs w:val="24"/>
        </w:rPr>
      </w:pPr>
      <w:r w:rsidRPr="000514E3">
        <w:rPr>
          <w:rFonts w:ascii="Arial" w:hAnsi="Arial" w:cs="Arial"/>
          <w:sz w:val="24"/>
          <w:szCs w:val="24"/>
        </w:rPr>
        <w:t>ACKNOWLEDGMENT</w:t>
      </w:r>
    </w:p>
    <w:p w14:paraId="1A3675B3" w14:textId="6E155607" w:rsidR="00B27F2F" w:rsidRPr="00A5667B" w:rsidRDefault="00B27F2F" w:rsidP="00005546">
      <w:pPr>
        <w:spacing w:line="360" w:lineRule="auto"/>
        <w:jc w:val="both"/>
        <w:rPr>
          <w:rFonts w:ascii="Arial" w:hAnsi="Arial" w:cs="Arial"/>
          <w:sz w:val="24"/>
          <w:szCs w:val="24"/>
        </w:rPr>
      </w:pPr>
      <w:r w:rsidRPr="00B27F2F">
        <w:rPr>
          <w:rFonts w:ascii="Arial" w:hAnsi="Arial" w:cs="Arial"/>
          <w:sz w:val="24"/>
          <w:szCs w:val="24"/>
        </w:rPr>
        <w:t>The research presented in this paper is partly financed by the European Union (Horizon 2020 REACT project, Grant Agreement No.: 824395).</w:t>
      </w:r>
    </w:p>
    <w:p w14:paraId="39ADA67E" w14:textId="06B1585A" w:rsidR="00F07062" w:rsidRPr="000514E3" w:rsidRDefault="003E5A88" w:rsidP="00282DC7">
      <w:pPr>
        <w:pStyle w:val="Heading1"/>
        <w:rPr>
          <w:rFonts w:ascii="Arial" w:hAnsi="Arial" w:cs="Arial"/>
          <w:sz w:val="24"/>
          <w:szCs w:val="24"/>
        </w:rPr>
      </w:pPr>
      <w:r w:rsidRPr="000514E3">
        <w:rPr>
          <w:rFonts w:ascii="Arial" w:hAnsi="Arial" w:cs="Arial"/>
          <w:sz w:val="24"/>
          <w:szCs w:val="24"/>
        </w:rPr>
        <w:t>REFERENCES</w:t>
      </w:r>
    </w:p>
    <w:bookmarkEnd w:id="0"/>
    <w:p w14:paraId="01BB68CB"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Pacheco, A., Monteiro, J., Santos, J., Sequeira, C., &amp; Nunes, J. (2022). Energy transition process and community engagement on geographic islands: The case of </w:t>
      </w:r>
      <w:proofErr w:type="spellStart"/>
      <w:r w:rsidRPr="00C979A1">
        <w:rPr>
          <w:rFonts w:ascii="Arial" w:eastAsiaTheme="minorHAnsi" w:hAnsi="Arial" w:cs="Arial"/>
          <w:sz w:val="24"/>
          <w:szCs w:val="24"/>
        </w:rPr>
        <w:t>Culatra</w:t>
      </w:r>
      <w:proofErr w:type="spellEnd"/>
      <w:r w:rsidRPr="00C979A1">
        <w:rPr>
          <w:rFonts w:ascii="Arial" w:eastAsiaTheme="minorHAnsi" w:hAnsi="Arial" w:cs="Arial"/>
          <w:sz w:val="24"/>
          <w:szCs w:val="24"/>
        </w:rPr>
        <w:t xml:space="preserve"> Island (Ria Formosa, Portugal). </w:t>
      </w:r>
      <w:r w:rsidRPr="00C979A1">
        <w:rPr>
          <w:rFonts w:ascii="Arial" w:eastAsiaTheme="minorHAnsi" w:hAnsi="Arial" w:cs="Arial"/>
          <w:i/>
          <w:iCs/>
          <w:sz w:val="24"/>
          <w:szCs w:val="24"/>
        </w:rPr>
        <w:t>Renewable Energy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184</w:t>
      </w:r>
      <w:r w:rsidRPr="00C979A1">
        <w:rPr>
          <w:rFonts w:ascii="Arial" w:eastAsiaTheme="minorHAnsi" w:hAnsi="Arial" w:cs="Arial"/>
          <w:sz w:val="24"/>
          <w:szCs w:val="24"/>
        </w:rPr>
        <w:t>, 700–711. https://doi.org/</w:t>
      </w:r>
      <w:hyperlink r:id="rId8" w:history="1">
        <w:r w:rsidRPr="00C979A1">
          <w:rPr>
            <w:rFonts w:ascii="Arial" w:eastAsiaTheme="minorHAnsi" w:hAnsi="Arial" w:cs="Arial"/>
            <w:color w:val="0563C1" w:themeColor="hyperlink"/>
            <w:sz w:val="24"/>
            <w:szCs w:val="24"/>
            <w:u w:val="single"/>
          </w:rPr>
          <w:t>10.1016/j.renene.2021.11.115</w:t>
        </w:r>
      </w:hyperlink>
    </w:p>
    <w:p w14:paraId="0DAFE8F3"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Niles, K., &amp; Lloyd, B. (2013). Small Island Developing States (SIDS) &amp; energy aid: Impacts on the energy sector in the Caribbean and Pacific. </w:t>
      </w:r>
      <w:r w:rsidRPr="00C979A1">
        <w:rPr>
          <w:rFonts w:ascii="Arial" w:eastAsiaTheme="minorHAnsi" w:hAnsi="Arial" w:cs="Arial"/>
          <w:i/>
          <w:iCs/>
          <w:sz w:val="24"/>
          <w:szCs w:val="24"/>
        </w:rPr>
        <w:t xml:space="preserve">Energy for </w:t>
      </w:r>
      <w:r w:rsidRPr="00C979A1">
        <w:rPr>
          <w:rFonts w:ascii="Arial" w:eastAsiaTheme="minorHAnsi" w:hAnsi="Arial" w:cs="Arial"/>
          <w:i/>
          <w:iCs/>
          <w:sz w:val="24"/>
          <w:szCs w:val="24"/>
        </w:rPr>
        <w:lastRenderedPageBreak/>
        <w:t>Sustainable Development</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17</w:t>
      </w:r>
      <w:r w:rsidRPr="00C979A1">
        <w:rPr>
          <w:rFonts w:ascii="Arial" w:eastAsiaTheme="minorHAnsi" w:hAnsi="Arial" w:cs="Arial"/>
          <w:sz w:val="24"/>
          <w:szCs w:val="24"/>
        </w:rPr>
        <w:t>(5), 521–530. https://doi.org/</w:t>
      </w:r>
      <w:hyperlink r:id="rId9" w:history="1">
        <w:r w:rsidRPr="00C979A1">
          <w:rPr>
            <w:rFonts w:ascii="Arial" w:eastAsiaTheme="minorHAnsi" w:hAnsi="Arial" w:cs="Arial"/>
            <w:color w:val="0563C1" w:themeColor="hyperlink"/>
            <w:sz w:val="24"/>
            <w:szCs w:val="24"/>
            <w:u w:val="single"/>
          </w:rPr>
          <w:t>10.1016/j.esd.2013.07.004</w:t>
        </w:r>
      </w:hyperlink>
    </w:p>
    <w:p w14:paraId="30886468"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r w:rsidRPr="00C979A1">
        <w:rPr>
          <w:rFonts w:ascii="Arial" w:eastAsiaTheme="minorHAnsi" w:hAnsi="Arial" w:cs="Arial"/>
          <w:sz w:val="24"/>
          <w:szCs w:val="24"/>
        </w:rPr>
        <w:t xml:space="preserve">Jelić, M., </w:t>
      </w:r>
      <w:proofErr w:type="spellStart"/>
      <w:r w:rsidRPr="00C979A1">
        <w:rPr>
          <w:rFonts w:ascii="Arial" w:eastAsiaTheme="minorHAnsi" w:hAnsi="Arial" w:cs="Arial"/>
          <w:sz w:val="24"/>
          <w:szCs w:val="24"/>
        </w:rPr>
        <w:t>Batić</w:t>
      </w:r>
      <w:proofErr w:type="spellEnd"/>
      <w:r w:rsidRPr="00C979A1">
        <w:rPr>
          <w:rFonts w:ascii="Arial" w:eastAsiaTheme="minorHAnsi" w:hAnsi="Arial" w:cs="Arial"/>
          <w:sz w:val="24"/>
          <w:szCs w:val="24"/>
        </w:rPr>
        <w:t xml:space="preserve">, M., Tomašević, N., Barney, A., </w:t>
      </w:r>
      <w:proofErr w:type="spellStart"/>
      <w:r w:rsidRPr="00C979A1">
        <w:rPr>
          <w:rFonts w:ascii="Arial" w:eastAsiaTheme="minorHAnsi" w:hAnsi="Arial" w:cs="Arial"/>
          <w:sz w:val="24"/>
          <w:szCs w:val="24"/>
        </w:rPr>
        <w:t>Polatidis</w:t>
      </w:r>
      <w:proofErr w:type="spellEnd"/>
      <w:r w:rsidRPr="00C979A1">
        <w:rPr>
          <w:rFonts w:ascii="Arial" w:eastAsiaTheme="minorHAnsi" w:hAnsi="Arial" w:cs="Arial"/>
          <w:sz w:val="24"/>
          <w:szCs w:val="24"/>
        </w:rPr>
        <w:t>, H., Crosbie, T., ... &amp; Pillai, G. (2020). Towards self-sustainable island grids through optimal utilization of renewable energy potential and community engagement. </w:t>
      </w:r>
      <w:r w:rsidRPr="00C979A1">
        <w:rPr>
          <w:rFonts w:ascii="Arial" w:eastAsiaTheme="minorHAnsi" w:hAnsi="Arial" w:cs="Arial"/>
          <w:i/>
          <w:iCs/>
          <w:sz w:val="24"/>
          <w:szCs w:val="24"/>
        </w:rPr>
        <w:t>Energies</w:t>
      </w:r>
      <w:r w:rsidRPr="00C979A1">
        <w:rPr>
          <w:rFonts w:ascii="Arial" w:eastAsiaTheme="minorHAnsi" w:hAnsi="Arial" w:cs="Arial"/>
          <w:sz w:val="24"/>
          <w:szCs w:val="24"/>
        </w:rPr>
        <w:t>, </w:t>
      </w:r>
      <w:r w:rsidRPr="00C979A1">
        <w:rPr>
          <w:rFonts w:ascii="Arial" w:eastAsiaTheme="minorHAnsi" w:hAnsi="Arial" w:cs="Arial"/>
          <w:i/>
          <w:iCs/>
          <w:sz w:val="24"/>
          <w:szCs w:val="24"/>
        </w:rPr>
        <w:t>13</w:t>
      </w:r>
      <w:r w:rsidRPr="00C979A1">
        <w:rPr>
          <w:rFonts w:ascii="Arial" w:eastAsiaTheme="minorHAnsi" w:hAnsi="Arial" w:cs="Arial"/>
          <w:sz w:val="24"/>
          <w:szCs w:val="24"/>
        </w:rPr>
        <w:t>(13), 3386</w:t>
      </w:r>
    </w:p>
    <w:p w14:paraId="7B80C81D"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Petrakopoulou</w:t>
      </w:r>
      <w:proofErr w:type="spellEnd"/>
      <w:r w:rsidRPr="00C979A1">
        <w:rPr>
          <w:rFonts w:ascii="Arial" w:eastAsiaTheme="minorHAnsi" w:hAnsi="Arial" w:cs="Arial"/>
          <w:sz w:val="24"/>
          <w:szCs w:val="24"/>
        </w:rPr>
        <w:t xml:space="preserve">, F. (2017) ‘The social perspective on the renewal energy autonomy of geographical isolated communities: Evidence from a Mediterranean island’, </w:t>
      </w:r>
      <w:r w:rsidRPr="00C979A1">
        <w:rPr>
          <w:rFonts w:ascii="Arial" w:eastAsiaTheme="minorHAnsi" w:hAnsi="Arial" w:cs="Arial"/>
          <w:i/>
          <w:iCs/>
          <w:sz w:val="24"/>
          <w:szCs w:val="24"/>
        </w:rPr>
        <w:t>Sustainability (Basel, Switzerland)</w:t>
      </w:r>
      <w:r w:rsidRPr="00C979A1">
        <w:rPr>
          <w:rFonts w:ascii="Arial" w:eastAsiaTheme="minorHAnsi" w:hAnsi="Arial" w:cs="Arial"/>
          <w:sz w:val="24"/>
          <w:szCs w:val="24"/>
        </w:rPr>
        <w:t>, 9(3), pp. 327</w:t>
      </w:r>
    </w:p>
    <w:p w14:paraId="1689F4AD"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Nassar, I. A., Hossam, K., &amp; Abdella, M. M. (2019). Economic and environmental benefits of increasing the renewable energy sources in the power system. </w:t>
      </w:r>
      <w:r w:rsidRPr="00C979A1">
        <w:rPr>
          <w:rFonts w:ascii="Arial" w:eastAsiaTheme="minorHAnsi" w:hAnsi="Arial" w:cs="Arial"/>
          <w:i/>
          <w:iCs/>
          <w:sz w:val="24"/>
          <w:szCs w:val="24"/>
        </w:rPr>
        <w:t>Energy Reports</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5</w:t>
      </w:r>
      <w:r w:rsidRPr="00C979A1">
        <w:rPr>
          <w:rFonts w:ascii="Arial" w:eastAsiaTheme="minorHAnsi" w:hAnsi="Arial" w:cs="Arial"/>
          <w:sz w:val="24"/>
          <w:szCs w:val="24"/>
        </w:rPr>
        <w:t>, 1082–1088. https://doi.org/</w:t>
      </w:r>
      <w:hyperlink r:id="rId10" w:history="1">
        <w:r w:rsidRPr="00C979A1">
          <w:rPr>
            <w:rFonts w:ascii="Arial" w:eastAsiaTheme="minorHAnsi" w:hAnsi="Arial" w:cs="Arial"/>
            <w:color w:val="0563C1" w:themeColor="hyperlink"/>
            <w:sz w:val="24"/>
            <w:szCs w:val="24"/>
            <w:u w:val="single"/>
          </w:rPr>
          <w:t>10.1016/j.egyr.2019.08.006</w:t>
        </w:r>
      </w:hyperlink>
    </w:p>
    <w:p w14:paraId="457C594E" w14:textId="77777777" w:rsidR="00C979A1" w:rsidRPr="00B65C6C" w:rsidRDefault="00C979A1" w:rsidP="00C979A1">
      <w:pPr>
        <w:numPr>
          <w:ilvl w:val="0"/>
          <w:numId w:val="19"/>
        </w:numPr>
        <w:spacing w:line="360" w:lineRule="auto"/>
        <w:contextualSpacing/>
        <w:rPr>
          <w:rFonts w:ascii="Arial" w:eastAsiaTheme="minorHAnsi" w:hAnsi="Arial" w:cs="Arial"/>
          <w:sz w:val="24"/>
          <w:szCs w:val="24"/>
          <w:u w:val="single"/>
        </w:rPr>
      </w:pPr>
      <w:r w:rsidRPr="00C979A1">
        <w:rPr>
          <w:rFonts w:ascii="Arial" w:eastAsiaTheme="minorHAnsi" w:hAnsi="Arial" w:cs="Arial"/>
          <w:sz w:val="24"/>
          <w:szCs w:val="24"/>
        </w:rPr>
        <w:t xml:space="preserve">Zafeiratou, E., &amp; Spataru, C. (2018). Sustainable island power system – Scenario analysis for Crete under the energy trilemma index.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41</w:t>
      </w:r>
      <w:r w:rsidRPr="00C979A1">
        <w:rPr>
          <w:rFonts w:ascii="Arial" w:eastAsiaTheme="minorHAnsi" w:hAnsi="Arial" w:cs="Arial"/>
          <w:sz w:val="24"/>
          <w:szCs w:val="24"/>
        </w:rPr>
        <w:t>, 378–391. https://doi.org/</w:t>
      </w:r>
      <w:hyperlink r:id="rId11" w:history="1">
        <w:r w:rsidRPr="00C979A1">
          <w:rPr>
            <w:rFonts w:ascii="Arial" w:eastAsiaTheme="minorHAnsi" w:hAnsi="Arial" w:cs="Arial"/>
            <w:color w:val="0563C1" w:themeColor="hyperlink"/>
            <w:sz w:val="24"/>
            <w:szCs w:val="24"/>
            <w:u w:val="single"/>
          </w:rPr>
          <w:t>10.1016/j.scs.2018.05.054</w:t>
        </w:r>
      </w:hyperlink>
    </w:p>
    <w:p w14:paraId="79362073" w14:textId="7FB5B74E" w:rsidR="00B65C6C" w:rsidRPr="00B65C6C" w:rsidRDefault="00B65C6C" w:rsidP="00C979A1">
      <w:pPr>
        <w:numPr>
          <w:ilvl w:val="0"/>
          <w:numId w:val="19"/>
        </w:numPr>
        <w:spacing w:line="360" w:lineRule="auto"/>
        <w:contextualSpacing/>
        <w:rPr>
          <w:rFonts w:ascii="Arial" w:eastAsiaTheme="minorHAnsi" w:hAnsi="Arial" w:cs="Arial"/>
          <w:sz w:val="24"/>
          <w:szCs w:val="24"/>
        </w:rPr>
      </w:pPr>
      <w:proofErr w:type="spellStart"/>
      <w:r w:rsidRPr="00B65C6C">
        <w:rPr>
          <w:rFonts w:ascii="Arial" w:eastAsiaTheme="minorHAnsi" w:hAnsi="Arial" w:cs="Arial"/>
          <w:sz w:val="24"/>
          <w:szCs w:val="24"/>
        </w:rPr>
        <w:t>Marczinkowski</w:t>
      </w:r>
      <w:proofErr w:type="spellEnd"/>
      <w:r w:rsidRPr="00B65C6C">
        <w:rPr>
          <w:rFonts w:ascii="Arial" w:eastAsiaTheme="minorHAnsi" w:hAnsi="Arial" w:cs="Arial"/>
          <w:sz w:val="24"/>
          <w:szCs w:val="24"/>
        </w:rPr>
        <w:t>, H. M. (2022). Rethinking islands and their models in sustainable energy planning: How inclusive local perspectives improve energy planning globally. </w:t>
      </w:r>
      <w:r w:rsidRPr="00B65C6C">
        <w:rPr>
          <w:rFonts w:ascii="Arial" w:eastAsiaTheme="minorHAnsi" w:hAnsi="Arial" w:cs="Arial"/>
          <w:i/>
          <w:iCs/>
          <w:sz w:val="24"/>
          <w:szCs w:val="24"/>
        </w:rPr>
        <w:t>International Journal of Sustainable Energy Planning and Management</w:t>
      </w:r>
      <w:r w:rsidRPr="00B65C6C">
        <w:rPr>
          <w:rFonts w:ascii="Arial" w:eastAsiaTheme="minorHAnsi" w:hAnsi="Arial" w:cs="Arial"/>
          <w:sz w:val="24"/>
          <w:szCs w:val="24"/>
        </w:rPr>
        <w:t>, </w:t>
      </w:r>
      <w:r w:rsidRPr="00B65C6C">
        <w:rPr>
          <w:rFonts w:ascii="Arial" w:eastAsiaTheme="minorHAnsi" w:hAnsi="Arial" w:cs="Arial"/>
          <w:i/>
          <w:iCs/>
          <w:sz w:val="24"/>
          <w:szCs w:val="24"/>
        </w:rPr>
        <w:t>33</w:t>
      </w:r>
      <w:r w:rsidRPr="00B65C6C">
        <w:rPr>
          <w:rFonts w:ascii="Arial" w:eastAsiaTheme="minorHAnsi" w:hAnsi="Arial" w:cs="Arial"/>
          <w:sz w:val="24"/>
          <w:szCs w:val="24"/>
        </w:rPr>
        <w:t>, 7-18.</w:t>
      </w:r>
    </w:p>
    <w:p w14:paraId="4E7AD19D"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bookmarkStart w:id="5" w:name="_Hlk111558361"/>
      <w:proofErr w:type="spellStart"/>
      <w:r w:rsidRPr="00C979A1">
        <w:rPr>
          <w:rFonts w:ascii="Arial" w:eastAsiaTheme="minorHAnsi" w:hAnsi="Arial" w:cs="Arial"/>
          <w:sz w:val="24"/>
          <w:szCs w:val="24"/>
        </w:rPr>
        <w:t>Abolhosseini</w:t>
      </w:r>
      <w:proofErr w:type="spellEnd"/>
      <w:r w:rsidRPr="00C979A1">
        <w:rPr>
          <w:rFonts w:ascii="Arial" w:eastAsiaTheme="minorHAnsi" w:hAnsi="Arial" w:cs="Arial"/>
          <w:sz w:val="24"/>
          <w:szCs w:val="24"/>
        </w:rPr>
        <w:t xml:space="preserve">, S., &amp; Heshmati, A. (2014). </w:t>
      </w:r>
      <w:bookmarkEnd w:id="5"/>
      <w:r w:rsidRPr="00C979A1">
        <w:rPr>
          <w:rFonts w:ascii="Arial" w:eastAsiaTheme="minorHAnsi" w:hAnsi="Arial" w:cs="Arial"/>
          <w:sz w:val="24"/>
          <w:szCs w:val="24"/>
        </w:rPr>
        <w:t>The main support mechanisms to finance renewable energy development. </w:t>
      </w:r>
      <w:r w:rsidRPr="00C979A1">
        <w:rPr>
          <w:rFonts w:ascii="Arial" w:eastAsiaTheme="minorHAnsi" w:hAnsi="Arial" w:cs="Arial"/>
          <w:i/>
          <w:iCs/>
          <w:sz w:val="24"/>
          <w:szCs w:val="24"/>
        </w:rPr>
        <w:t>Renewable and Sustainable Energy Reviews</w:t>
      </w:r>
      <w:r w:rsidRPr="00C979A1">
        <w:rPr>
          <w:rFonts w:ascii="Arial" w:eastAsiaTheme="minorHAnsi" w:hAnsi="Arial" w:cs="Arial"/>
          <w:sz w:val="24"/>
          <w:szCs w:val="24"/>
        </w:rPr>
        <w:t>, </w:t>
      </w:r>
      <w:r w:rsidRPr="00C979A1">
        <w:rPr>
          <w:rFonts w:ascii="Arial" w:eastAsiaTheme="minorHAnsi" w:hAnsi="Arial" w:cs="Arial"/>
          <w:i/>
          <w:iCs/>
          <w:sz w:val="24"/>
          <w:szCs w:val="24"/>
        </w:rPr>
        <w:t>40</w:t>
      </w:r>
      <w:r w:rsidRPr="00C979A1">
        <w:rPr>
          <w:rFonts w:ascii="Arial" w:eastAsiaTheme="minorHAnsi" w:hAnsi="Arial" w:cs="Arial"/>
          <w:sz w:val="24"/>
          <w:szCs w:val="24"/>
        </w:rPr>
        <w:t>, 876-885.</w:t>
      </w:r>
    </w:p>
    <w:p w14:paraId="58C84A6D"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Bigerna</w:t>
      </w:r>
      <w:proofErr w:type="spellEnd"/>
      <w:r w:rsidRPr="00C979A1">
        <w:rPr>
          <w:rFonts w:ascii="Arial" w:eastAsiaTheme="minorHAnsi" w:hAnsi="Arial" w:cs="Arial"/>
          <w:sz w:val="24"/>
          <w:szCs w:val="24"/>
        </w:rPr>
        <w:t xml:space="preserve">, S., </w:t>
      </w:r>
      <w:proofErr w:type="spellStart"/>
      <w:r w:rsidRPr="00C979A1">
        <w:rPr>
          <w:rFonts w:ascii="Arial" w:eastAsiaTheme="minorHAnsi" w:hAnsi="Arial" w:cs="Arial"/>
          <w:sz w:val="24"/>
          <w:szCs w:val="24"/>
        </w:rPr>
        <w:t>Bollino</w:t>
      </w:r>
      <w:proofErr w:type="spellEnd"/>
      <w:r w:rsidRPr="00C979A1">
        <w:rPr>
          <w:rFonts w:ascii="Arial" w:eastAsiaTheme="minorHAnsi" w:hAnsi="Arial" w:cs="Arial"/>
          <w:sz w:val="24"/>
          <w:szCs w:val="24"/>
        </w:rPr>
        <w:t>, C. A., &amp; Micheli, S. (2016). Socio-economic acceptability for smart grid development–a comprehensive review. </w:t>
      </w:r>
      <w:r w:rsidRPr="00C979A1">
        <w:rPr>
          <w:rFonts w:ascii="Arial" w:eastAsiaTheme="minorHAnsi" w:hAnsi="Arial" w:cs="Arial"/>
          <w:i/>
          <w:iCs/>
          <w:sz w:val="24"/>
          <w:szCs w:val="24"/>
        </w:rPr>
        <w:t>Journal of Cleaner Production</w:t>
      </w:r>
      <w:r w:rsidRPr="00C979A1">
        <w:rPr>
          <w:rFonts w:ascii="Arial" w:eastAsiaTheme="minorHAnsi" w:hAnsi="Arial" w:cs="Arial"/>
          <w:sz w:val="24"/>
          <w:szCs w:val="24"/>
        </w:rPr>
        <w:t>, </w:t>
      </w:r>
      <w:r w:rsidRPr="00C979A1">
        <w:rPr>
          <w:rFonts w:ascii="Arial" w:eastAsiaTheme="minorHAnsi" w:hAnsi="Arial" w:cs="Arial"/>
          <w:i/>
          <w:iCs/>
          <w:sz w:val="24"/>
          <w:szCs w:val="24"/>
        </w:rPr>
        <w:t>131</w:t>
      </w:r>
      <w:r w:rsidRPr="00C979A1">
        <w:rPr>
          <w:rFonts w:ascii="Arial" w:eastAsiaTheme="minorHAnsi" w:hAnsi="Arial" w:cs="Arial"/>
          <w:sz w:val="24"/>
          <w:szCs w:val="24"/>
        </w:rPr>
        <w:t>, 399-409.</w:t>
      </w:r>
    </w:p>
    <w:p w14:paraId="16DC2200"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943C55">
        <w:rPr>
          <w:rFonts w:ascii="Arial" w:eastAsiaTheme="minorHAnsi" w:hAnsi="Arial" w:cs="Arial"/>
          <w:sz w:val="24"/>
          <w:szCs w:val="24"/>
          <w:lang w:val="da-DK"/>
        </w:rPr>
        <w:t xml:space="preserve">Al-Marri, W., Al-Habaibeh, A., &amp; Watkins, M. (2018). </w:t>
      </w:r>
      <w:r w:rsidRPr="00C979A1">
        <w:rPr>
          <w:rFonts w:ascii="Arial" w:eastAsiaTheme="minorHAnsi" w:hAnsi="Arial" w:cs="Arial"/>
          <w:sz w:val="24"/>
          <w:szCs w:val="24"/>
        </w:rPr>
        <w:t>An investigation into domestic energy consumption behaviour and public awareness of renewable energy in Qatar.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w:t>
      </w:r>
      <w:r w:rsidRPr="00C979A1">
        <w:rPr>
          <w:rFonts w:ascii="Arial" w:eastAsiaTheme="minorHAnsi" w:hAnsi="Arial" w:cs="Arial"/>
          <w:i/>
          <w:iCs/>
          <w:sz w:val="24"/>
          <w:szCs w:val="24"/>
        </w:rPr>
        <w:t>41</w:t>
      </w:r>
      <w:r w:rsidRPr="00C979A1">
        <w:rPr>
          <w:rFonts w:ascii="Arial" w:eastAsiaTheme="minorHAnsi" w:hAnsi="Arial" w:cs="Arial"/>
          <w:sz w:val="24"/>
          <w:szCs w:val="24"/>
        </w:rPr>
        <w:t>, 639-646.</w:t>
      </w:r>
    </w:p>
    <w:p w14:paraId="16110AC8"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Cruz, C., Palomar, E., Bravo, I., &amp; Aleixandre, M. (2021). Behavioural patterns in aggregated demand response developments for communities targeting renewables.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72</w:t>
      </w:r>
      <w:r w:rsidRPr="00C979A1">
        <w:rPr>
          <w:rFonts w:ascii="Arial" w:eastAsiaTheme="minorHAnsi" w:hAnsi="Arial" w:cs="Arial"/>
          <w:sz w:val="24"/>
          <w:szCs w:val="24"/>
        </w:rPr>
        <w:t>, 103001. https://doi.org/</w:t>
      </w:r>
      <w:hyperlink r:id="rId12" w:history="1">
        <w:r w:rsidRPr="00C979A1">
          <w:rPr>
            <w:rFonts w:ascii="Arial" w:eastAsiaTheme="minorHAnsi" w:hAnsi="Arial" w:cs="Arial"/>
            <w:color w:val="0563C1" w:themeColor="hyperlink"/>
            <w:sz w:val="24"/>
            <w:szCs w:val="24"/>
            <w:u w:val="single"/>
          </w:rPr>
          <w:t>10.1016/j.scs.2021.103001</w:t>
        </w:r>
      </w:hyperlink>
    </w:p>
    <w:p w14:paraId="26D757A6"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lastRenderedPageBreak/>
        <w:t>Novianto</w:t>
      </w:r>
      <w:proofErr w:type="spellEnd"/>
      <w:r w:rsidRPr="00C979A1">
        <w:rPr>
          <w:rFonts w:ascii="Arial" w:eastAsiaTheme="minorHAnsi" w:hAnsi="Arial" w:cs="Arial"/>
          <w:sz w:val="24"/>
          <w:szCs w:val="24"/>
        </w:rPr>
        <w:t xml:space="preserve">, D., </w:t>
      </w:r>
      <w:proofErr w:type="spellStart"/>
      <w:r w:rsidRPr="00C979A1">
        <w:rPr>
          <w:rFonts w:ascii="Arial" w:eastAsiaTheme="minorHAnsi" w:hAnsi="Arial" w:cs="Arial"/>
          <w:sz w:val="24"/>
          <w:szCs w:val="24"/>
        </w:rPr>
        <w:t>Koerniawan</w:t>
      </w:r>
      <w:proofErr w:type="spellEnd"/>
      <w:r w:rsidRPr="00C979A1">
        <w:rPr>
          <w:rFonts w:ascii="Arial" w:eastAsiaTheme="minorHAnsi" w:hAnsi="Arial" w:cs="Arial"/>
          <w:sz w:val="24"/>
          <w:szCs w:val="24"/>
        </w:rPr>
        <w:t xml:space="preserve">, M. D., </w:t>
      </w:r>
      <w:proofErr w:type="spellStart"/>
      <w:r w:rsidRPr="00C979A1">
        <w:rPr>
          <w:rFonts w:ascii="Arial" w:eastAsiaTheme="minorHAnsi" w:hAnsi="Arial" w:cs="Arial"/>
          <w:sz w:val="24"/>
          <w:szCs w:val="24"/>
        </w:rPr>
        <w:t>Munawir</w:t>
      </w:r>
      <w:proofErr w:type="spellEnd"/>
      <w:r w:rsidRPr="00C979A1">
        <w:rPr>
          <w:rFonts w:ascii="Arial" w:eastAsiaTheme="minorHAnsi" w:hAnsi="Arial" w:cs="Arial"/>
          <w:sz w:val="24"/>
          <w:szCs w:val="24"/>
        </w:rPr>
        <w:t xml:space="preserve">, M., &amp; </w:t>
      </w:r>
      <w:proofErr w:type="spellStart"/>
      <w:r w:rsidRPr="00C979A1">
        <w:rPr>
          <w:rFonts w:ascii="Arial" w:eastAsiaTheme="minorHAnsi" w:hAnsi="Arial" w:cs="Arial"/>
          <w:sz w:val="24"/>
          <w:szCs w:val="24"/>
        </w:rPr>
        <w:t>Sekartaji</w:t>
      </w:r>
      <w:proofErr w:type="spellEnd"/>
      <w:r w:rsidRPr="00C979A1">
        <w:rPr>
          <w:rFonts w:ascii="Arial" w:eastAsiaTheme="minorHAnsi" w:hAnsi="Arial" w:cs="Arial"/>
          <w:sz w:val="24"/>
          <w:szCs w:val="24"/>
        </w:rPr>
        <w:t xml:space="preserve">, D. (2022). Impact of lifestyle changes on home energy consumption during pandemic COVID-19 in Indonesia.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83</w:t>
      </w:r>
      <w:r w:rsidRPr="00C979A1">
        <w:rPr>
          <w:rFonts w:ascii="Arial" w:eastAsiaTheme="minorHAnsi" w:hAnsi="Arial" w:cs="Arial"/>
          <w:sz w:val="24"/>
          <w:szCs w:val="24"/>
        </w:rPr>
        <w:t>, 103930. https://doi.org/</w:t>
      </w:r>
      <w:hyperlink r:id="rId13" w:history="1">
        <w:r w:rsidRPr="00C979A1">
          <w:rPr>
            <w:rFonts w:ascii="Arial" w:eastAsiaTheme="minorHAnsi" w:hAnsi="Arial" w:cs="Arial"/>
            <w:color w:val="0563C1" w:themeColor="hyperlink"/>
            <w:sz w:val="24"/>
            <w:szCs w:val="24"/>
            <w:u w:val="single"/>
          </w:rPr>
          <w:t>10.1016/j.scs.2022.103930</w:t>
        </w:r>
      </w:hyperlink>
    </w:p>
    <w:p w14:paraId="2E4A4F9A"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Sastresa</w:t>
      </w:r>
      <w:proofErr w:type="spellEnd"/>
      <w:r w:rsidRPr="00C979A1">
        <w:rPr>
          <w:rFonts w:ascii="Arial" w:eastAsiaTheme="minorHAnsi" w:hAnsi="Arial" w:cs="Arial"/>
          <w:sz w:val="24"/>
          <w:szCs w:val="24"/>
        </w:rPr>
        <w:t xml:space="preserve">, E.L., </w:t>
      </w:r>
      <w:proofErr w:type="spellStart"/>
      <w:r w:rsidRPr="00C979A1">
        <w:rPr>
          <w:rFonts w:ascii="Arial" w:eastAsiaTheme="minorHAnsi" w:hAnsi="Arial" w:cs="Arial"/>
          <w:sz w:val="24"/>
          <w:szCs w:val="24"/>
        </w:rPr>
        <w:t>Usón</w:t>
      </w:r>
      <w:proofErr w:type="spellEnd"/>
      <w:r w:rsidRPr="00C979A1">
        <w:rPr>
          <w:rFonts w:ascii="Arial" w:eastAsiaTheme="minorHAnsi" w:hAnsi="Arial" w:cs="Arial"/>
          <w:sz w:val="24"/>
          <w:szCs w:val="24"/>
        </w:rPr>
        <w:t xml:space="preserve">, A.A., </w:t>
      </w:r>
      <w:proofErr w:type="spellStart"/>
      <w:r w:rsidRPr="00C979A1">
        <w:rPr>
          <w:rFonts w:ascii="Arial" w:eastAsiaTheme="minorHAnsi" w:hAnsi="Arial" w:cs="Arial"/>
          <w:sz w:val="24"/>
          <w:szCs w:val="24"/>
        </w:rPr>
        <w:t>Bribián</w:t>
      </w:r>
      <w:proofErr w:type="spellEnd"/>
      <w:r w:rsidRPr="00C979A1">
        <w:rPr>
          <w:rFonts w:ascii="Arial" w:eastAsiaTheme="minorHAnsi" w:hAnsi="Arial" w:cs="Arial"/>
          <w:sz w:val="24"/>
          <w:szCs w:val="24"/>
        </w:rPr>
        <w:t xml:space="preserve">, I.Z. and </w:t>
      </w:r>
      <w:proofErr w:type="spellStart"/>
      <w:r w:rsidRPr="00C979A1">
        <w:rPr>
          <w:rFonts w:ascii="Arial" w:eastAsiaTheme="minorHAnsi" w:hAnsi="Arial" w:cs="Arial"/>
          <w:sz w:val="24"/>
          <w:szCs w:val="24"/>
        </w:rPr>
        <w:t>Scarpellini</w:t>
      </w:r>
      <w:proofErr w:type="spellEnd"/>
      <w:r w:rsidRPr="00C979A1">
        <w:rPr>
          <w:rFonts w:ascii="Arial" w:eastAsiaTheme="minorHAnsi" w:hAnsi="Arial" w:cs="Arial"/>
          <w:sz w:val="24"/>
          <w:szCs w:val="24"/>
        </w:rPr>
        <w:t>, S., 2010. Local impact of renewables on employment: Assessment methodology and case study. </w:t>
      </w:r>
      <w:r w:rsidRPr="00C979A1">
        <w:rPr>
          <w:rFonts w:ascii="Arial" w:eastAsiaTheme="minorHAnsi" w:hAnsi="Arial" w:cs="Arial"/>
          <w:i/>
          <w:iCs/>
          <w:sz w:val="24"/>
          <w:szCs w:val="24"/>
        </w:rPr>
        <w:t>Renewable and sustainable energy reviews</w:t>
      </w:r>
      <w:r w:rsidRPr="00C979A1">
        <w:rPr>
          <w:rFonts w:ascii="Arial" w:eastAsiaTheme="minorHAnsi" w:hAnsi="Arial" w:cs="Arial"/>
          <w:sz w:val="24"/>
          <w:szCs w:val="24"/>
        </w:rPr>
        <w:t>, </w:t>
      </w:r>
      <w:r w:rsidRPr="00C979A1">
        <w:rPr>
          <w:rFonts w:ascii="Arial" w:eastAsiaTheme="minorHAnsi" w:hAnsi="Arial" w:cs="Arial"/>
          <w:i/>
          <w:iCs/>
          <w:sz w:val="24"/>
          <w:szCs w:val="24"/>
        </w:rPr>
        <w:t>14</w:t>
      </w:r>
      <w:r w:rsidRPr="00C979A1">
        <w:rPr>
          <w:rFonts w:ascii="Arial" w:eastAsiaTheme="minorHAnsi" w:hAnsi="Arial" w:cs="Arial"/>
          <w:sz w:val="24"/>
          <w:szCs w:val="24"/>
        </w:rPr>
        <w:t>(2), pp.679-690.</w:t>
      </w:r>
    </w:p>
    <w:p w14:paraId="73DC87AE"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r w:rsidRPr="00C979A1">
        <w:rPr>
          <w:rFonts w:ascii="Arial" w:eastAsiaTheme="minorHAnsi" w:hAnsi="Arial" w:cs="Arial"/>
          <w:sz w:val="24"/>
          <w:szCs w:val="24"/>
        </w:rPr>
        <w:t xml:space="preserve">Padrón, I., Avila, D., Marichal, G. N., &amp; Rodríguez, J. A. (2019). Assessment of Hybrid Renewable Energy Systems to supplied energy to Autonomous Desalination Systems in two islands of the Canary Archipelago. </w:t>
      </w:r>
      <w:r w:rsidRPr="00C979A1">
        <w:rPr>
          <w:rFonts w:ascii="Arial" w:eastAsiaTheme="minorHAnsi" w:hAnsi="Arial" w:cs="Arial"/>
          <w:i/>
          <w:iCs/>
          <w:sz w:val="24"/>
          <w:szCs w:val="24"/>
        </w:rPr>
        <w:t>Renewable and Sustainable Energy Reviews</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101</w:t>
      </w:r>
      <w:r w:rsidRPr="00C979A1">
        <w:rPr>
          <w:rFonts w:ascii="Arial" w:eastAsiaTheme="minorHAnsi" w:hAnsi="Arial" w:cs="Arial"/>
          <w:sz w:val="24"/>
          <w:szCs w:val="24"/>
        </w:rPr>
        <w:t>, 221–230. https://doi.org/</w:t>
      </w:r>
      <w:hyperlink r:id="rId14" w:history="1">
        <w:r w:rsidRPr="00C979A1">
          <w:rPr>
            <w:rFonts w:ascii="Arial" w:eastAsiaTheme="minorHAnsi" w:hAnsi="Arial" w:cs="Arial"/>
            <w:color w:val="0563C1" w:themeColor="hyperlink"/>
            <w:sz w:val="24"/>
            <w:szCs w:val="24"/>
            <w:u w:val="single"/>
          </w:rPr>
          <w:t>10.1016/j.rser.2018.11.009</w:t>
        </w:r>
      </w:hyperlink>
    </w:p>
    <w:p w14:paraId="6E4E1C03"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Pimentel Da Silva, G.D., Magrini, A. and Branco, D.A.C., 2020. A multicriteria proposal for large-scale solar photovoltaic impact assessment. </w:t>
      </w:r>
      <w:r w:rsidRPr="00C979A1">
        <w:rPr>
          <w:rFonts w:ascii="Arial" w:eastAsiaTheme="minorHAnsi" w:hAnsi="Arial" w:cs="Arial"/>
          <w:i/>
          <w:iCs/>
          <w:sz w:val="24"/>
          <w:szCs w:val="24"/>
        </w:rPr>
        <w:t>Impact Assessment and Project Appraisal</w:t>
      </w:r>
      <w:r w:rsidRPr="00C979A1">
        <w:rPr>
          <w:rFonts w:ascii="Arial" w:eastAsiaTheme="minorHAnsi" w:hAnsi="Arial" w:cs="Arial"/>
          <w:sz w:val="24"/>
          <w:szCs w:val="24"/>
        </w:rPr>
        <w:t>, </w:t>
      </w:r>
      <w:r w:rsidRPr="00C979A1">
        <w:rPr>
          <w:rFonts w:ascii="Arial" w:eastAsiaTheme="minorHAnsi" w:hAnsi="Arial" w:cs="Arial"/>
          <w:i/>
          <w:iCs/>
          <w:sz w:val="24"/>
          <w:szCs w:val="24"/>
        </w:rPr>
        <w:t>38</w:t>
      </w:r>
      <w:r w:rsidRPr="00C979A1">
        <w:rPr>
          <w:rFonts w:ascii="Arial" w:eastAsiaTheme="minorHAnsi" w:hAnsi="Arial" w:cs="Arial"/>
          <w:sz w:val="24"/>
          <w:szCs w:val="24"/>
        </w:rPr>
        <w:t>(1), pp.3-15.</w:t>
      </w:r>
    </w:p>
    <w:p w14:paraId="45959E65"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943C55">
        <w:rPr>
          <w:rFonts w:ascii="Arial" w:eastAsiaTheme="minorHAnsi" w:hAnsi="Arial" w:cs="Arial"/>
          <w:sz w:val="24"/>
          <w:szCs w:val="24"/>
          <w:lang w:val="da-DK"/>
        </w:rPr>
        <w:t xml:space="preserve">Van Der Waal, E.C., 2020. </w:t>
      </w:r>
      <w:r w:rsidRPr="00C979A1">
        <w:rPr>
          <w:rFonts w:ascii="Arial" w:eastAsiaTheme="minorHAnsi" w:hAnsi="Arial" w:cs="Arial"/>
          <w:sz w:val="24"/>
          <w:szCs w:val="24"/>
        </w:rPr>
        <w:t>Local impact of community renewable energy: A case study of an Orcadian community-led wind scheme. </w:t>
      </w:r>
      <w:r w:rsidRPr="00C979A1">
        <w:rPr>
          <w:rFonts w:ascii="Arial" w:eastAsiaTheme="minorHAnsi" w:hAnsi="Arial" w:cs="Arial"/>
          <w:i/>
          <w:iCs/>
          <w:sz w:val="24"/>
          <w:szCs w:val="24"/>
        </w:rPr>
        <w:t>Energy Policy</w:t>
      </w:r>
      <w:r w:rsidRPr="00C979A1">
        <w:rPr>
          <w:rFonts w:ascii="Arial" w:eastAsiaTheme="minorHAnsi" w:hAnsi="Arial" w:cs="Arial"/>
          <w:sz w:val="24"/>
          <w:szCs w:val="24"/>
        </w:rPr>
        <w:t>, </w:t>
      </w:r>
      <w:r w:rsidRPr="00C979A1">
        <w:rPr>
          <w:rFonts w:ascii="Arial" w:eastAsiaTheme="minorHAnsi" w:hAnsi="Arial" w:cs="Arial"/>
          <w:i/>
          <w:iCs/>
          <w:sz w:val="24"/>
          <w:szCs w:val="24"/>
        </w:rPr>
        <w:t>138</w:t>
      </w:r>
      <w:r w:rsidRPr="00C979A1">
        <w:rPr>
          <w:rFonts w:ascii="Arial" w:eastAsiaTheme="minorHAnsi" w:hAnsi="Arial" w:cs="Arial"/>
          <w:sz w:val="24"/>
          <w:szCs w:val="24"/>
        </w:rPr>
        <w:t>, p.111193</w:t>
      </w:r>
    </w:p>
    <w:p w14:paraId="17EA538C"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Epstein, M.J. &amp; </w:t>
      </w:r>
      <w:proofErr w:type="spellStart"/>
      <w:r w:rsidRPr="00C979A1">
        <w:rPr>
          <w:rFonts w:ascii="Arial" w:eastAsiaTheme="minorHAnsi" w:hAnsi="Arial" w:cs="Arial"/>
          <w:sz w:val="24"/>
          <w:szCs w:val="24"/>
        </w:rPr>
        <w:t>Buhovac</w:t>
      </w:r>
      <w:proofErr w:type="spellEnd"/>
      <w:r w:rsidRPr="00C979A1">
        <w:rPr>
          <w:rFonts w:ascii="Arial" w:eastAsiaTheme="minorHAnsi" w:hAnsi="Arial" w:cs="Arial"/>
          <w:sz w:val="24"/>
          <w:szCs w:val="24"/>
        </w:rPr>
        <w:t>, A.R. 2017, </w:t>
      </w:r>
      <w:r w:rsidRPr="00C979A1">
        <w:rPr>
          <w:rFonts w:ascii="Arial" w:eastAsiaTheme="minorHAnsi" w:hAnsi="Arial" w:cs="Arial"/>
          <w:i/>
          <w:iCs/>
          <w:sz w:val="24"/>
          <w:szCs w:val="24"/>
        </w:rPr>
        <w:t>Making Sustainability Work: Best Practices in Managing and Measuring Corporate Social, Environmental and Economic Impacts, </w:t>
      </w:r>
      <w:r w:rsidRPr="00C979A1">
        <w:rPr>
          <w:rFonts w:ascii="Arial" w:eastAsiaTheme="minorHAnsi" w:hAnsi="Arial" w:cs="Arial"/>
          <w:sz w:val="24"/>
          <w:szCs w:val="24"/>
        </w:rPr>
        <w:t>Taylor and Francis</w:t>
      </w:r>
    </w:p>
    <w:p w14:paraId="2C0F9786"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ADAS. (2003). </w:t>
      </w:r>
      <w:r w:rsidRPr="00C979A1">
        <w:rPr>
          <w:rFonts w:ascii="Arial" w:eastAsiaTheme="minorHAnsi" w:hAnsi="Arial" w:cs="Arial"/>
          <w:i/>
          <w:iCs/>
          <w:sz w:val="24"/>
          <w:szCs w:val="24"/>
        </w:rPr>
        <w:t>Renewable Energy and Its Impact on Rural Development and Sustainability in the UK</w:t>
      </w:r>
    </w:p>
    <w:p w14:paraId="6D34BFB3"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Breitschopf</w:t>
      </w:r>
      <w:proofErr w:type="spellEnd"/>
      <w:r w:rsidRPr="00C979A1">
        <w:rPr>
          <w:rFonts w:ascii="Arial" w:eastAsiaTheme="minorHAnsi" w:hAnsi="Arial" w:cs="Arial"/>
          <w:sz w:val="24"/>
          <w:szCs w:val="24"/>
        </w:rPr>
        <w:t xml:space="preserve">, B., Nathani, C., &amp; Resch, G. (2012). </w:t>
      </w:r>
      <w:r w:rsidRPr="00C979A1">
        <w:rPr>
          <w:rFonts w:ascii="Arial" w:eastAsiaTheme="minorHAnsi" w:hAnsi="Arial" w:cs="Arial"/>
          <w:i/>
          <w:iCs/>
          <w:sz w:val="24"/>
          <w:szCs w:val="24"/>
        </w:rPr>
        <w:t>Methodological guidelines for estimating the employment impacts of using renewable energies for electricity generation</w:t>
      </w:r>
      <w:r w:rsidRPr="00C979A1">
        <w:rPr>
          <w:rFonts w:ascii="Arial" w:eastAsiaTheme="minorHAnsi" w:hAnsi="Arial" w:cs="Arial"/>
          <w:sz w:val="24"/>
          <w:szCs w:val="24"/>
        </w:rPr>
        <w:t>. Fraunhofer ISI.</w:t>
      </w:r>
    </w:p>
    <w:p w14:paraId="1BAB35EF" w14:textId="77777777" w:rsidR="00C979A1" w:rsidRPr="00C979A1" w:rsidRDefault="00B66679"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Foley, L. (2018). </w:t>
      </w:r>
      <w:r w:rsidRPr="00C979A1">
        <w:rPr>
          <w:rFonts w:ascii="Arial" w:eastAsiaTheme="minorHAnsi" w:hAnsi="Arial" w:cs="Arial"/>
          <w:i/>
          <w:iCs/>
          <w:sz w:val="24"/>
          <w:szCs w:val="24"/>
        </w:rPr>
        <w:t>Transmission Reinforcement between the Western Isles and the Scottish Mainland: Cost Benefit Analysis Study</w:t>
      </w:r>
      <w:r w:rsidRPr="00C979A1">
        <w:rPr>
          <w:rFonts w:ascii="Arial" w:eastAsiaTheme="minorHAnsi" w:hAnsi="Arial" w:cs="Arial"/>
          <w:sz w:val="24"/>
          <w:szCs w:val="24"/>
        </w:rPr>
        <w:t>. GHD</w:t>
      </w:r>
    </w:p>
    <w:p w14:paraId="1240C7B3" w14:textId="77777777" w:rsidR="00C979A1" w:rsidRPr="00C979A1" w:rsidRDefault="00B66679"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Therivel</w:t>
      </w:r>
      <w:proofErr w:type="spellEnd"/>
      <w:r w:rsidRPr="00C979A1">
        <w:rPr>
          <w:rFonts w:ascii="Arial" w:eastAsiaTheme="minorHAnsi" w:hAnsi="Arial" w:cs="Arial"/>
          <w:sz w:val="24"/>
          <w:szCs w:val="24"/>
        </w:rPr>
        <w:t xml:space="preserve">, R., &amp; Wood, G. (2017). </w:t>
      </w:r>
      <w:r w:rsidRPr="00C979A1">
        <w:rPr>
          <w:rFonts w:ascii="Arial" w:eastAsiaTheme="minorHAnsi" w:hAnsi="Arial" w:cs="Arial"/>
          <w:i/>
          <w:iCs/>
          <w:sz w:val="24"/>
          <w:szCs w:val="24"/>
        </w:rPr>
        <w:t>Methods of environmental and social impact assessment</w:t>
      </w:r>
      <w:r w:rsidRPr="00C979A1">
        <w:rPr>
          <w:rFonts w:ascii="Arial" w:eastAsiaTheme="minorHAnsi" w:hAnsi="Arial" w:cs="Arial"/>
          <w:sz w:val="24"/>
          <w:szCs w:val="24"/>
        </w:rPr>
        <w:t>. Taylor &amp; Francis</w:t>
      </w:r>
    </w:p>
    <w:p w14:paraId="5A39E881"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Schreiner, L., &amp; Madlener, R. (2021). A pathway to green growth? Macroeconomic impacts of power grid infrastructure investments in Germany. </w:t>
      </w:r>
      <w:r w:rsidRPr="00C979A1">
        <w:rPr>
          <w:rFonts w:ascii="Arial" w:eastAsiaTheme="minorHAnsi" w:hAnsi="Arial" w:cs="Arial"/>
          <w:i/>
          <w:iCs/>
          <w:sz w:val="24"/>
          <w:szCs w:val="24"/>
        </w:rPr>
        <w:t>Energy Policy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156</w:t>
      </w:r>
      <w:r w:rsidRPr="00C979A1">
        <w:rPr>
          <w:rFonts w:ascii="Arial" w:eastAsiaTheme="minorHAnsi" w:hAnsi="Arial" w:cs="Arial"/>
          <w:sz w:val="24"/>
          <w:szCs w:val="24"/>
        </w:rPr>
        <w:t>, 112289. https://doi.org/</w:t>
      </w:r>
      <w:hyperlink r:id="rId15" w:history="1">
        <w:r w:rsidRPr="00C979A1">
          <w:rPr>
            <w:rFonts w:ascii="Arial" w:eastAsiaTheme="minorHAnsi" w:hAnsi="Arial" w:cs="Arial"/>
            <w:color w:val="0563C1" w:themeColor="hyperlink"/>
            <w:sz w:val="24"/>
            <w:szCs w:val="24"/>
            <w:u w:val="single"/>
          </w:rPr>
          <w:t>10.1016/j.enpol.2021.112289</w:t>
        </w:r>
      </w:hyperlink>
    </w:p>
    <w:p w14:paraId="7A998BD4" w14:textId="77777777" w:rsidR="00C979A1" w:rsidRPr="00C979A1" w:rsidRDefault="00B66679"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lastRenderedPageBreak/>
        <w:t xml:space="preserve">Sacks, J. (2002). </w:t>
      </w:r>
      <w:r w:rsidRPr="00C979A1">
        <w:rPr>
          <w:rFonts w:ascii="Arial" w:eastAsiaTheme="minorHAnsi" w:hAnsi="Arial" w:cs="Arial"/>
          <w:i/>
          <w:iCs/>
          <w:sz w:val="24"/>
          <w:szCs w:val="24"/>
        </w:rPr>
        <w:t>The Money Trail: Measuring your impact on the local economy using LM3</w:t>
      </w:r>
      <w:r w:rsidRPr="00C979A1">
        <w:rPr>
          <w:rFonts w:ascii="Arial" w:eastAsiaTheme="minorHAnsi" w:hAnsi="Arial" w:cs="Arial"/>
          <w:sz w:val="24"/>
          <w:szCs w:val="24"/>
        </w:rPr>
        <w:t>. New Economics Foundation</w:t>
      </w:r>
    </w:p>
    <w:p w14:paraId="6F964497" w14:textId="77777777" w:rsidR="00C979A1" w:rsidRPr="00C979A1" w:rsidRDefault="00B66679"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Barney, A., </w:t>
      </w:r>
      <w:proofErr w:type="spellStart"/>
      <w:r w:rsidRPr="00C979A1">
        <w:rPr>
          <w:rFonts w:ascii="Arial" w:eastAsiaTheme="minorHAnsi" w:hAnsi="Arial" w:cs="Arial"/>
          <w:sz w:val="24"/>
          <w:szCs w:val="24"/>
        </w:rPr>
        <w:t>Polatidis</w:t>
      </w:r>
      <w:proofErr w:type="spellEnd"/>
      <w:r w:rsidRPr="00C979A1">
        <w:rPr>
          <w:rFonts w:ascii="Arial" w:eastAsiaTheme="minorHAnsi" w:hAnsi="Arial" w:cs="Arial"/>
          <w:sz w:val="24"/>
          <w:szCs w:val="24"/>
        </w:rPr>
        <w:t>, H., Jelić, M., Tomašević, N., Pillai, G., &amp; Haralambopoulos, D. (2021). Transition towards decarbonisation for islands: Development of an integrated energy planning platform and application. </w:t>
      </w:r>
      <w:r w:rsidRPr="00C979A1">
        <w:rPr>
          <w:rFonts w:ascii="Arial" w:eastAsiaTheme="minorHAnsi" w:hAnsi="Arial" w:cs="Arial"/>
          <w:i/>
          <w:iCs/>
          <w:sz w:val="24"/>
          <w:szCs w:val="24"/>
        </w:rPr>
        <w:t>Sustainable Energy Technologies and Assessments</w:t>
      </w:r>
      <w:r w:rsidRPr="00C979A1">
        <w:rPr>
          <w:rFonts w:ascii="Arial" w:eastAsiaTheme="minorHAnsi" w:hAnsi="Arial" w:cs="Arial"/>
          <w:sz w:val="24"/>
          <w:szCs w:val="24"/>
        </w:rPr>
        <w:t>, </w:t>
      </w:r>
      <w:r w:rsidRPr="00C979A1">
        <w:rPr>
          <w:rFonts w:ascii="Arial" w:eastAsiaTheme="minorHAnsi" w:hAnsi="Arial" w:cs="Arial"/>
          <w:i/>
          <w:iCs/>
          <w:sz w:val="24"/>
          <w:szCs w:val="24"/>
        </w:rPr>
        <w:t>47</w:t>
      </w:r>
      <w:r w:rsidRPr="00C979A1">
        <w:rPr>
          <w:rFonts w:ascii="Arial" w:eastAsiaTheme="minorHAnsi" w:hAnsi="Arial" w:cs="Arial"/>
          <w:sz w:val="24"/>
          <w:szCs w:val="24"/>
        </w:rPr>
        <w:t>, 101501</w:t>
      </w:r>
    </w:p>
    <w:p w14:paraId="72D2495E"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Ameen, R. F. M., &amp; </w:t>
      </w:r>
      <w:proofErr w:type="spellStart"/>
      <w:r w:rsidRPr="00C979A1">
        <w:rPr>
          <w:rFonts w:ascii="Arial" w:eastAsiaTheme="minorHAnsi" w:hAnsi="Arial" w:cs="Arial"/>
          <w:sz w:val="24"/>
          <w:szCs w:val="24"/>
        </w:rPr>
        <w:t>Mourshed</w:t>
      </w:r>
      <w:proofErr w:type="spellEnd"/>
      <w:r w:rsidRPr="00C979A1">
        <w:rPr>
          <w:rFonts w:ascii="Arial" w:eastAsiaTheme="minorHAnsi" w:hAnsi="Arial" w:cs="Arial"/>
          <w:sz w:val="24"/>
          <w:szCs w:val="24"/>
        </w:rPr>
        <w:t xml:space="preserve">, M. (2019). Urban sustainability assessment framework development: The ranking and weighting of sustainability indicators using analytic hierarchy process.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44</w:t>
      </w:r>
      <w:r w:rsidRPr="00C979A1">
        <w:rPr>
          <w:rFonts w:ascii="Arial" w:eastAsiaTheme="minorHAnsi" w:hAnsi="Arial" w:cs="Arial"/>
          <w:sz w:val="24"/>
          <w:szCs w:val="24"/>
        </w:rPr>
        <w:t>, 356–366. https://doi.org/</w:t>
      </w:r>
      <w:hyperlink r:id="rId16" w:history="1">
        <w:r w:rsidRPr="00C979A1">
          <w:rPr>
            <w:rFonts w:ascii="Arial" w:eastAsiaTheme="minorHAnsi" w:hAnsi="Arial" w:cs="Arial"/>
            <w:color w:val="0563C1" w:themeColor="hyperlink"/>
            <w:sz w:val="24"/>
            <w:szCs w:val="24"/>
            <w:u w:val="single"/>
          </w:rPr>
          <w:t>10.1016/j.scs.2018.10.020</w:t>
        </w:r>
      </w:hyperlink>
    </w:p>
    <w:p w14:paraId="08558660"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Saaty, T. (1980). The analytic hierarchy process: Planning, priority setting, resource allocation, McGraw-Hill, New York.</w:t>
      </w:r>
    </w:p>
    <w:p w14:paraId="5410C1A7"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proofErr w:type="spellStart"/>
      <w:r w:rsidRPr="00C979A1">
        <w:rPr>
          <w:rFonts w:ascii="Arial" w:eastAsiaTheme="minorHAnsi" w:hAnsi="Arial" w:cs="Arial"/>
          <w:sz w:val="24"/>
          <w:szCs w:val="24"/>
        </w:rPr>
        <w:t>Awad</w:t>
      </w:r>
      <w:proofErr w:type="spellEnd"/>
      <w:r w:rsidRPr="00C979A1">
        <w:rPr>
          <w:rFonts w:ascii="Arial" w:eastAsiaTheme="minorHAnsi" w:hAnsi="Arial" w:cs="Arial"/>
          <w:sz w:val="24"/>
          <w:szCs w:val="24"/>
        </w:rPr>
        <w:t xml:space="preserve">, J., &amp; Jung, C. (2021). Extracting the Planning Elements for Sustainable Urban Regeneration in Dubai with AHP (Analytic Hierarchy Process).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76</w:t>
      </w:r>
      <w:r w:rsidRPr="00C979A1">
        <w:rPr>
          <w:rFonts w:ascii="Arial" w:eastAsiaTheme="minorHAnsi" w:hAnsi="Arial" w:cs="Arial"/>
          <w:sz w:val="24"/>
          <w:szCs w:val="24"/>
        </w:rPr>
        <w:t>, 103496. https://doi.org/</w:t>
      </w:r>
      <w:hyperlink r:id="rId17" w:history="1">
        <w:r w:rsidRPr="00C979A1">
          <w:rPr>
            <w:rFonts w:ascii="Arial" w:eastAsiaTheme="minorHAnsi" w:hAnsi="Arial" w:cs="Arial"/>
            <w:color w:val="0563C1" w:themeColor="hyperlink"/>
            <w:sz w:val="24"/>
            <w:szCs w:val="24"/>
            <w:u w:val="single"/>
          </w:rPr>
          <w:t>10.1016/j.scs.2021.103496</w:t>
        </w:r>
      </w:hyperlink>
    </w:p>
    <w:p w14:paraId="21E20706"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Barney, A., </w:t>
      </w:r>
      <w:proofErr w:type="spellStart"/>
      <w:r w:rsidRPr="00C979A1">
        <w:rPr>
          <w:rFonts w:ascii="Arial" w:eastAsiaTheme="minorHAnsi" w:hAnsi="Arial" w:cs="Arial"/>
          <w:sz w:val="24"/>
          <w:szCs w:val="24"/>
        </w:rPr>
        <w:t>Polatidis</w:t>
      </w:r>
      <w:proofErr w:type="spellEnd"/>
      <w:r w:rsidRPr="00C979A1">
        <w:rPr>
          <w:rFonts w:ascii="Arial" w:eastAsiaTheme="minorHAnsi" w:hAnsi="Arial" w:cs="Arial"/>
          <w:sz w:val="24"/>
          <w:szCs w:val="24"/>
        </w:rPr>
        <w:t>, H., &amp; Haralambopoulos, D. (2022). Decarbonisation of islands: A multi-criteria decision analysis platform and application. </w:t>
      </w:r>
      <w:r w:rsidRPr="00C979A1">
        <w:rPr>
          <w:rFonts w:ascii="Arial" w:eastAsiaTheme="minorHAnsi" w:hAnsi="Arial" w:cs="Arial"/>
          <w:i/>
          <w:iCs/>
          <w:sz w:val="24"/>
          <w:szCs w:val="24"/>
        </w:rPr>
        <w:t>Sustainable Energy Technologies and Assessments</w:t>
      </w:r>
      <w:r w:rsidRPr="00C979A1">
        <w:rPr>
          <w:rFonts w:ascii="Arial" w:eastAsiaTheme="minorHAnsi" w:hAnsi="Arial" w:cs="Arial"/>
          <w:sz w:val="24"/>
          <w:szCs w:val="24"/>
        </w:rPr>
        <w:t>, </w:t>
      </w:r>
      <w:r w:rsidRPr="00C979A1">
        <w:rPr>
          <w:rFonts w:ascii="Arial" w:eastAsiaTheme="minorHAnsi" w:hAnsi="Arial" w:cs="Arial"/>
          <w:i/>
          <w:iCs/>
          <w:sz w:val="24"/>
          <w:szCs w:val="24"/>
        </w:rPr>
        <w:t>52</w:t>
      </w:r>
      <w:r w:rsidRPr="00C979A1">
        <w:rPr>
          <w:rFonts w:ascii="Arial" w:eastAsiaTheme="minorHAnsi" w:hAnsi="Arial" w:cs="Arial"/>
          <w:sz w:val="24"/>
          <w:szCs w:val="24"/>
        </w:rPr>
        <w:t>, 102115.</w:t>
      </w:r>
    </w:p>
    <w:p w14:paraId="77344579"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r w:rsidRPr="00943C55">
        <w:rPr>
          <w:rFonts w:ascii="Arial" w:eastAsiaTheme="minorHAnsi" w:hAnsi="Arial" w:cs="Arial"/>
          <w:sz w:val="24"/>
          <w:szCs w:val="24"/>
          <w:lang w:val="da-DK"/>
        </w:rPr>
        <w:t xml:space="preserve">Duman, A. C., &amp; Güler, Ö. (2018). </w:t>
      </w:r>
      <w:r w:rsidRPr="00C979A1">
        <w:rPr>
          <w:rFonts w:ascii="Arial" w:eastAsiaTheme="minorHAnsi" w:hAnsi="Arial" w:cs="Arial"/>
          <w:sz w:val="24"/>
          <w:szCs w:val="24"/>
        </w:rPr>
        <w:t xml:space="preserve">Techno-economic analysis of off-grid PV/wind/fuel cell hybrid system combinations with a comparison of regularly and seasonally occupied households. </w:t>
      </w:r>
      <w:r w:rsidRPr="00C979A1">
        <w:rPr>
          <w:rFonts w:ascii="Arial" w:eastAsiaTheme="minorHAnsi" w:hAnsi="Arial" w:cs="Arial"/>
          <w:i/>
          <w:iCs/>
          <w:sz w:val="24"/>
          <w:szCs w:val="24"/>
        </w:rPr>
        <w:t>Sustainable Cities and Society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42</w:t>
      </w:r>
      <w:r w:rsidRPr="00C979A1">
        <w:rPr>
          <w:rFonts w:ascii="Arial" w:eastAsiaTheme="minorHAnsi" w:hAnsi="Arial" w:cs="Arial"/>
          <w:sz w:val="24"/>
          <w:szCs w:val="24"/>
        </w:rPr>
        <w:t>, 107–126. https://doi.org/</w:t>
      </w:r>
      <w:hyperlink r:id="rId18" w:history="1">
        <w:r w:rsidRPr="00C979A1">
          <w:rPr>
            <w:rFonts w:ascii="Arial" w:eastAsiaTheme="minorHAnsi" w:hAnsi="Arial" w:cs="Arial"/>
            <w:color w:val="0563C1" w:themeColor="hyperlink"/>
            <w:sz w:val="24"/>
            <w:szCs w:val="24"/>
            <w:u w:val="single"/>
          </w:rPr>
          <w:t>10.1016/j.scs.2018.06.029</w:t>
        </w:r>
      </w:hyperlink>
    </w:p>
    <w:p w14:paraId="2B5A1A0F"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proofErr w:type="spellStart"/>
      <w:r w:rsidRPr="00C979A1">
        <w:rPr>
          <w:rFonts w:ascii="Arial" w:eastAsiaTheme="minorHAnsi" w:hAnsi="Arial" w:cs="Arial"/>
          <w:sz w:val="24"/>
          <w:szCs w:val="24"/>
        </w:rPr>
        <w:t>Breyer</w:t>
      </w:r>
      <w:proofErr w:type="spellEnd"/>
      <w:r w:rsidRPr="00C979A1">
        <w:rPr>
          <w:rFonts w:ascii="Arial" w:eastAsiaTheme="minorHAnsi" w:hAnsi="Arial" w:cs="Arial"/>
          <w:sz w:val="24"/>
          <w:szCs w:val="24"/>
        </w:rPr>
        <w:t xml:space="preserve">, C., &amp; Gerlach, A. (2012). Global overview on grid-parity. </w:t>
      </w:r>
      <w:r w:rsidRPr="00C979A1">
        <w:rPr>
          <w:rFonts w:ascii="Arial" w:eastAsiaTheme="minorHAnsi" w:hAnsi="Arial" w:cs="Arial"/>
          <w:i/>
          <w:iCs/>
          <w:sz w:val="24"/>
          <w:szCs w:val="24"/>
        </w:rPr>
        <w:t>Progress in Photovoltaics: Research and Applications</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21</w:t>
      </w:r>
      <w:r w:rsidRPr="00C979A1">
        <w:rPr>
          <w:rFonts w:ascii="Arial" w:eastAsiaTheme="minorHAnsi" w:hAnsi="Arial" w:cs="Arial"/>
          <w:sz w:val="24"/>
          <w:szCs w:val="24"/>
        </w:rPr>
        <w:t>(1), 121–136. https://doi.org/</w:t>
      </w:r>
      <w:hyperlink r:id="rId19" w:history="1">
        <w:r w:rsidRPr="00C979A1">
          <w:rPr>
            <w:rFonts w:ascii="Arial" w:eastAsiaTheme="minorHAnsi" w:hAnsi="Arial" w:cs="Arial"/>
            <w:color w:val="0563C1" w:themeColor="hyperlink"/>
            <w:sz w:val="24"/>
            <w:szCs w:val="24"/>
            <w:u w:val="single"/>
          </w:rPr>
          <w:t>10.1002/pip.1254</w:t>
        </w:r>
      </w:hyperlink>
    </w:p>
    <w:p w14:paraId="3AA688E4"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Kost</w:t>
      </w:r>
      <w:proofErr w:type="spellEnd"/>
      <w:r w:rsidRPr="00C979A1">
        <w:rPr>
          <w:rFonts w:ascii="Arial" w:eastAsiaTheme="minorHAnsi" w:hAnsi="Arial" w:cs="Arial"/>
          <w:sz w:val="24"/>
          <w:szCs w:val="24"/>
        </w:rPr>
        <w:t xml:space="preserve">, C., </w:t>
      </w:r>
      <w:proofErr w:type="spellStart"/>
      <w:r w:rsidRPr="00C979A1">
        <w:rPr>
          <w:rFonts w:ascii="Arial" w:eastAsiaTheme="minorHAnsi" w:hAnsi="Arial" w:cs="Arial"/>
          <w:sz w:val="24"/>
          <w:szCs w:val="24"/>
        </w:rPr>
        <w:t>Shammugam</w:t>
      </w:r>
      <w:proofErr w:type="spellEnd"/>
      <w:r w:rsidRPr="00C979A1">
        <w:rPr>
          <w:rFonts w:ascii="Arial" w:eastAsiaTheme="minorHAnsi" w:hAnsi="Arial" w:cs="Arial"/>
          <w:sz w:val="24"/>
          <w:szCs w:val="24"/>
        </w:rPr>
        <w:t xml:space="preserve">, S., </w:t>
      </w:r>
      <w:proofErr w:type="spellStart"/>
      <w:r w:rsidRPr="00C979A1">
        <w:rPr>
          <w:rFonts w:ascii="Arial" w:eastAsiaTheme="minorHAnsi" w:hAnsi="Arial" w:cs="Arial"/>
          <w:sz w:val="24"/>
          <w:szCs w:val="24"/>
        </w:rPr>
        <w:t>Julch</w:t>
      </w:r>
      <w:proofErr w:type="spellEnd"/>
      <w:r w:rsidRPr="00C979A1">
        <w:rPr>
          <w:rFonts w:ascii="Arial" w:eastAsiaTheme="minorHAnsi" w:hAnsi="Arial" w:cs="Arial"/>
          <w:sz w:val="24"/>
          <w:szCs w:val="24"/>
        </w:rPr>
        <w:t xml:space="preserve">, V., Nguyen, H. T., &amp; </w:t>
      </w:r>
      <w:proofErr w:type="spellStart"/>
      <w:r w:rsidRPr="00C979A1">
        <w:rPr>
          <w:rFonts w:ascii="Arial" w:eastAsiaTheme="minorHAnsi" w:hAnsi="Arial" w:cs="Arial"/>
          <w:sz w:val="24"/>
          <w:szCs w:val="24"/>
        </w:rPr>
        <w:t>Schlegl</w:t>
      </w:r>
      <w:proofErr w:type="spellEnd"/>
      <w:r w:rsidRPr="00C979A1">
        <w:rPr>
          <w:rFonts w:ascii="Arial" w:eastAsiaTheme="minorHAnsi" w:hAnsi="Arial" w:cs="Arial"/>
          <w:sz w:val="24"/>
          <w:szCs w:val="24"/>
        </w:rPr>
        <w:t xml:space="preserve">, T. (2018). </w:t>
      </w:r>
      <w:r w:rsidRPr="00C979A1">
        <w:rPr>
          <w:rFonts w:ascii="Arial" w:eastAsiaTheme="minorHAnsi" w:hAnsi="Arial" w:cs="Arial"/>
          <w:i/>
          <w:iCs/>
          <w:sz w:val="24"/>
          <w:szCs w:val="24"/>
        </w:rPr>
        <w:t>Levelized cost of electricity Renewable Technologies</w:t>
      </w:r>
      <w:r w:rsidRPr="00C979A1">
        <w:rPr>
          <w:rFonts w:ascii="Arial" w:eastAsiaTheme="minorHAnsi" w:hAnsi="Arial" w:cs="Arial"/>
          <w:sz w:val="24"/>
          <w:szCs w:val="24"/>
        </w:rPr>
        <w:t>. Fraunhofer Institute for Solar Energy Systems ISE.</w:t>
      </w:r>
    </w:p>
    <w:p w14:paraId="21DE6BB2"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Notton</w:t>
      </w:r>
      <w:proofErr w:type="spellEnd"/>
      <w:r w:rsidRPr="00C979A1">
        <w:rPr>
          <w:rFonts w:ascii="Arial" w:eastAsiaTheme="minorHAnsi" w:hAnsi="Arial" w:cs="Arial"/>
          <w:sz w:val="24"/>
          <w:szCs w:val="24"/>
        </w:rPr>
        <w:t xml:space="preserve">, G. (2015). Importance of islands in renewable energy production and storage: The situation of the French islands. </w:t>
      </w:r>
      <w:r w:rsidRPr="00C979A1">
        <w:rPr>
          <w:rFonts w:ascii="Arial" w:eastAsiaTheme="minorHAnsi" w:hAnsi="Arial" w:cs="Arial"/>
          <w:i/>
          <w:iCs/>
          <w:sz w:val="24"/>
          <w:szCs w:val="24"/>
        </w:rPr>
        <w:t>Renewable and Sustainable Energy Reviews</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47</w:t>
      </w:r>
      <w:r w:rsidRPr="00C979A1">
        <w:rPr>
          <w:rFonts w:ascii="Arial" w:eastAsiaTheme="minorHAnsi" w:hAnsi="Arial" w:cs="Arial"/>
          <w:sz w:val="24"/>
          <w:szCs w:val="24"/>
        </w:rPr>
        <w:t>, 260–269. https://doi.org/</w:t>
      </w:r>
      <w:hyperlink r:id="rId20" w:history="1">
        <w:r w:rsidRPr="00C979A1">
          <w:rPr>
            <w:rFonts w:ascii="Arial" w:eastAsiaTheme="minorHAnsi" w:hAnsi="Arial" w:cs="Arial"/>
            <w:color w:val="0563C1" w:themeColor="hyperlink"/>
            <w:sz w:val="24"/>
            <w:szCs w:val="24"/>
            <w:u w:val="single"/>
          </w:rPr>
          <w:t>10.1016/j.rser.2015.03.053</w:t>
        </w:r>
      </w:hyperlink>
    </w:p>
    <w:p w14:paraId="6CD64F79"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r w:rsidRPr="00C979A1">
        <w:rPr>
          <w:rFonts w:ascii="Arial" w:eastAsiaTheme="minorHAnsi" w:hAnsi="Arial" w:cs="Arial"/>
          <w:sz w:val="24"/>
          <w:szCs w:val="24"/>
        </w:rPr>
        <w:lastRenderedPageBreak/>
        <w:t xml:space="preserve">Sigrist, L., Lobato, E., Rouco, L., </w:t>
      </w:r>
      <w:proofErr w:type="spellStart"/>
      <w:r w:rsidRPr="00C979A1">
        <w:rPr>
          <w:rFonts w:ascii="Arial" w:eastAsiaTheme="minorHAnsi" w:hAnsi="Arial" w:cs="Arial"/>
          <w:sz w:val="24"/>
          <w:szCs w:val="24"/>
        </w:rPr>
        <w:t>Gazzino</w:t>
      </w:r>
      <w:proofErr w:type="spellEnd"/>
      <w:r w:rsidRPr="00C979A1">
        <w:rPr>
          <w:rFonts w:ascii="Arial" w:eastAsiaTheme="minorHAnsi" w:hAnsi="Arial" w:cs="Arial"/>
          <w:sz w:val="24"/>
          <w:szCs w:val="24"/>
        </w:rPr>
        <w:t xml:space="preserve">, M., &amp; Cantu, M. (2017). Economic assessment of smart grid initiatives for island power systems. </w:t>
      </w:r>
      <w:r w:rsidRPr="00C979A1">
        <w:rPr>
          <w:rFonts w:ascii="Arial" w:eastAsiaTheme="minorHAnsi" w:hAnsi="Arial" w:cs="Arial"/>
          <w:i/>
          <w:iCs/>
          <w:sz w:val="24"/>
          <w:szCs w:val="24"/>
        </w:rPr>
        <w:t>Applied Energy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189</w:t>
      </w:r>
      <w:r w:rsidRPr="00C979A1">
        <w:rPr>
          <w:rFonts w:ascii="Arial" w:eastAsiaTheme="minorHAnsi" w:hAnsi="Arial" w:cs="Arial"/>
          <w:sz w:val="24"/>
          <w:szCs w:val="24"/>
        </w:rPr>
        <w:t>, 403–415. https://doi.org/</w:t>
      </w:r>
      <w:hyperlink r:id="rId21" w:history="1">
        <w:r w:rsidRPr="00C979A1">
          <w:rPr>
            <w:rFonts w:ascii="Arial" w:eastAsiaTheme="minorHAnsi" w:hAnsi="Arial" w:cs="Arial"/>
            <w:color w:val="0563C1" w:themeColor="hyperlink"/>
            <w:sz w:val="24"/>
            <w:szCs w:val="24"/>
            <w:u w:val="single"/>
          </w:rPr>
          <w:t>10.1016/j.apenergy.2016.12.076</w:t>
        </w:r>
      </w:hyperlink>
    </w:p>
    <w:p w14:paraId="2E7BE04E"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u w:val="single"/>
        </w:rPr>
      </w:pPr>
      <w:r w:rsidRPr="00C979A1">
        <w:rPr>
          <w:rFonts w:ascii="Arial" w:eastAsiaTheme="minorHAnsi" w:hAnsi="Arial" w:cs="Arial"/>
          <w:sz w:val="24"/>
          <w:szCs w:val="24"/>
        </w:rPr>
        <w:t xml:space="preserve">Wang, N., </w:t>
      </w:r>
      <w:proofErr w:type="spellStart"/>
      <w:r w:rsidRPr="00C979A1">
        <w:rPr>
          <w:rFonts w:ascii="Arial" w:eastAsiaTheme="minorHAnsi" w:hAnsi="Arial" w:cs="Arial"/>
          <w:sz w:val="24"/>
          <w:szCs w:val="24"/>
        </w:rPr>
        <w:t>Verzijlbergh</w:t>
      </w:r>
      <w:proofErr w:type="spellEnd"/>
      <w:r w:rsidRPr="00C979A1">
        <w:rPr>
          <w:rFonts w:ascii="Arial" w:eastAsiaTheme="minorHAnsi" w:hAnsi="Arial" w:cs="Arial"/>
          <w:sz w:val="24"/>
          <w:szCs w:val="24"/>
        </w:rPr>
        <w:t xml:space="preserve">, R. A., </w:t>
      </w:r>
      <w:proofErr w:type="spellStart"/>
      <w:r w:rsidRPr="00C979A1">
        <w:rPr>
          <w:rFonts w:ascii="Arial" w:eastAsiaTheme="minorHAnsi" w:hAnsi="Arial" w:cs="Arial"/>
          <w:sz w:val="24"/>
          <w:szCs w:val="24"/>
        </w:rPr>
        <w:t>Heijnen</w:t>
      </w:r>
      <w:proofErr w:type="spellEnd"/>
      <w:r w:rsidRPr="00C979A1">
        <w:rPr>
          <w:rFonts w:ascii="Arial" w:eastAsiaTheme="minorHAnsi" w:hAnsi="Arial" w:cs="Arial"/>
          <w:sz w:val="24"/>
          <w:szCs w:val="24"/>
        </w:rPr>
        <w:t xml:space="preserve">, P. W., &amp; Herder, P. M. (2020). A spatially explicit planning approach for power systems with a high share of renewable energy sources. </w:t>
      </w:r>
      <w:r w:rsidRPr="00C979A1">
        <w:rPr>
          <w:rFonts w:ascii="Arial" w:eastAsiaTheme="minorHAnsi" w:hAnsi="Arial" w:cs="Arial"/>
          <w:i/>
          <w:iCs/>
          <w:sz w:val="24"/>
          <w:szCs w:val="24"/>
        </w:rPr>
        <w:t>Applied Energy</w:t>
      </w:r>
      <w:r w:rsidRPr="00C979A1">
        <w:rPr>
          <w:rFonts w:ascii="Arial" w:eastAsiaTheme="minorHAnsi" w:hAnsi="Arial" w:cs="Arial"/>
          <w:sz w:val="24"/>
          <w:szCs w:val="24"/>
        </w:rPr>
        <w:t xml:space="preserve">, </w:t>
      </w:r>
      <w:r w:rsidRPr="00C979A1">
        <w:rPr>
          <w:rFonts w:ascii="Arial" w:eastAsiaTheme="minorHAnsi" w:hAnsi="Arial" w:cs="Arial"/>
          <w:i/>
          <w:iCs/>
          <w:sz w:val="24"/>
          <w:szCs w:val="24"/>
        </w:rPr>
        <w:t>260</w:t>
      </w:r>
      <w:r w:rsidRPr="00C979A1">
        <w:rPr>
          <w:rFonts w:ascii="Arial" w:eastAsiaTheme="minorHAnsi" w:hAnsi="Arial" w:cs="Arial"/>
          <w:sz w:val="24"/>
          <w:szCs w:val="24"/>
        </w:rPr>
        <w:t>, 114233. https://doi.org/</w:t>
      </w:r>
      <w:hyperlink r:id="rId22" w:history="1">
        <w:r w:rsidRPr="00C979A1">
          <w:rPr>
            <w:rFonts w:ascii="Arial" w:eastAsiaTheme="minorHAnsi" w:hAnsi="Arial" w:cs="Arial"/>
            <w:color w:val="0563C1" w:themeColor="hyperlink"/>
            <w:sz w:val="24"/>
            <w:szCs w:val="24"/>
            <w:u w:val="single"/>
          </w:rPr>
          <w:t>10.1016/j.apenergy.2019.114233</w:t>
        </w:r>
      </w:hyperlink>
    </w:p>
    <w:p w14:paraId="6158E394"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 xml:space="preserve">Cullinan, R. (2018). In Collaborative Work Cultures, Women Carry More of the Weight.  Harvard Business Review. </w:t>
      </w:r>
      <w:r w:rsidRPr="00C979A1">
        <w:rPr>
          <w:rFonts w:ascii="Arial" w:eastAsiaTheme="minorHAnsi" w:hAnsi="Arial" w:cs="Arial"/>
          <w:i/>
          <w:iCs/>
          <w:sz w:val="24"/>
          <w:szCs w:val="24"/>
        </w:rPr>
        <w:t>Harvard Business Publishing</w:t>
      </w:r>
      <w:r w:rsidRPr="00C979A1">
        <w:rPr>
          <w:rFonts w:ascii="Arial" w:eastAsiaTheme="minorHAnsi" w:hAnsi="Arial" w:cs="Arial"/>
          <w:sz w:val="24"/>
          <w:szCs w:val="24"/>
        </w:rPr>
        <w:t>.</w:t>
      </w:r>
    </w:p>
    <w:p w14:paraId="2A1F9D67" w14:textId="77777777" w:rsidR="00C979A1" w:rsidRPr="00C979A1" w:rsidRDefault="00C979A1" w:rsidP="00C979A1">
      <w:pPr>
        <w:spacing w:line="360" w:lineRule="auto"/>
        <w:ind w:left="720"/>
        <w:contextualSpacing/>
        <w:rPr>
          <w:rFonts w:ascii="Arial" w:eastAsiaTheme="minorHAnsi" w:hAnsi="Arial" w:cs="Arial"/>
          <w:sz w:val="24"/>
          <w:szCs w:val="24"/>
        </w:rPr>
      </w:pPr>
      <w:r w:rsidRPr="00C979A1">
        <w:rPr>
          <w:rFonts w:ascii="Arial" w:eastAsiaTheme="minorHAnsi" w:hAnsi="Arial" w:cs="Arial"/>
          <w:sz w:val="24"/>
          <w:szCs w:val="24"/>
        </w:rPr>
        <w:t>https://doi.org/</w:t>
      </w:r>
      <w:hyperlink r:id="rId23" w:history="1">
        <w:r w:rsidRPr="00C979A1">
          <w:rPr>
            <w:rFonts w:ascii="Arial" w:eastAsiaTheme="minorHAnsi" w:hAnsi="Arial" w:cs="Arial"/>
            <w:color w:val="0563C1" w:themeColor="hyperlink"/>
            <w:sz w:val="24"/>
            <w:szCs w:val="24"/>
            <w:u w:val="single"/>
          </w:rPr>
          <w:t>10.1016/j.scs.2021.103539</w:t>
        </w:r>
      </w:hyperlink>
    </w:p>
    <w:p w14:paraId="19E63CD5"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Wagner, H. M. (2011). The bottom line: corporate performance and gender diversity in the c-suite (2004-2008). </w:t>
      </w:r>
      <w:r w:rsidRPr="00C979A1">
        <w:rPr>
          <w:rFonts w:ascii="Arial" w:eastAsiaTheme="minorHAnsi" w:hAnsi="Arial" w:cs="Arial"/>
          <w:i/>
          <w:iCs/>
          <w:sz w:val="24"/>
          <w:szCs w:val="24"/>
        </w:rPr>
        <w:t>Available at SSRN 1980371</w:t>
      </w:r>
      <w:r w:rsidRPr="00C979A1">
        <w:rPr>
          <w:rFonts w:ascii="Arial" w:eastAsiaTheme="minorHAnsi" w:hAnsi="Arial" w:cs="Arial"/>
          <w:sz w:val="24"/>
          <w:szCs w:val="24"/>
        </w:rPr>
        <w:t>.</w:t>
      </w:r>
    </w:p>
    <w:p w14:paraId="30B864A3" w14:textId="77777777" w:rsidR="00C979A1" w:rsidRPr="00C979A1" w:rsidRDefault="00C979A1" w:rsidP="00C979A1">
      <w:pPr>
        <w:numPr>
          <w:ilvl w:val="0"/>
          <w:numId w:val="19"/>
        </w:numPr>
        <w:spacing w:line="360" w:lineRule="auto"/>
        <w:contextualSpacing/>
        <w:rPr>
          <w:rFonts w:ascii="Arial" w:eastAsiaTheme="minorHAnsi" w:hAnsi="Arial" w:cs="Arial"/>
          <w:sz w:val="24"/>
          <w:szCs w:val="24"/>
        </w:rPr>
      </w:pPr>
      <w:r w:rsidRPr="00C979A1">
        <w:rPr>
          <w:rFonts w:ascii="Arial" w:eastAsiaTheme="minorHAnsi" w:hAnsi="Arial" w:cs="Arial"/>
          <w:sz w:val="24"/>
          <w:szCs w:val="24"/>
        </w:rPr>
        <w:t>Www3.weforum.org. 2021. </w:t>
      </w:r>
      <w:r w:rsidRPr="00C979A1">
        <w:rPr>
          <w:rFonts w:ascii="Arial" w:eastAsiaTheme="minorHAnsi" w:hAnsi="Arial" w:cs="Arial"/>
          <w:i/>
          <w:iCs/>
          <w:sz w:val="24"/>
          <w:szCs w:val="24"/>
        </w:rPr>
        <w:t>Global Gender Gap report</w:t>
      </w:r>
      <w:r w:rsidRPr="00C979A1">
        <w:rPr>
          <w:rFonts w:ascii="Arial" w:eastAsiaTheme="minorHAnsi" w:hAnsi="Arial" w:cs="Arial"/>
          <w:sz w:val="24"/>
          <w:szCs w:val="24"/>
        </w:rPr>
        <w:t>. [online] Available at: &lt;https://www3.weforum.org/docs/WEF_GGGR_2021.pdf&gt; [Accessed March 2021].</w:t>
      </w:r>
    </w:p>
    <w:p w14:paraId="2CF98FF7" w14:textId="77777777" w:rsidR="00C979A1" w:rsidRDefault="00C979A1" w:rsidP="00C979A1">
      <w:pPr>
        <w:numPr>
          <w:ilvl w:val="0"/>
          <w:numId w:val="19"/>
        </w:numPr>
        <w:spacing w:line="360" w:lineRule="auto"/>
        <w:contextualSpacing/>
        <w:rPr>
          <w:rFonts w:ascii="Arial" w:eastAsiaTheme="minorHAnsi" w:hAnsi="Arial" w:cs="Arial"/>
          <w:sz w:val="24"/>
          <w:szCs w:val="24"/>
        </w:rPr>
      </w:pPr>
      <w:proofErr w:type="spellStart"/>
      <w:r w:rsidRPr="00C979A1">
        <w:rPr>
          <w:rFonts w:ascii="Arial" w:eastAsiaTheme="minorHAnsi" w:hAnsi="Arial" w:cs="Arial"/>
          <w:sz w:val="24"/>
          <w:szCs w:val="24"/>
        </w:rPr>
        <w:t>Statistiska</w:t>
      </w:r>
      <w:proofErr w:type="spellEnd"/>
      <w:r w:rsidRPr="00C979A1">
        <w:rPr>
          <w:rFonts w:ascii="Arial" w:eastAsiaTheme="minorHAnsi" w:hAnsi="Arial" w:cs="Arial"/>
          <w:sz w:val="24"/>
          <w:szCs w:val="24"/>
        </w:rPr>
        <w:t xml:space="preserve"> </w:t>
      </w:r>
      <w:proofErr w:type="spellStart"/>
      <w:r w:rsidRPr="00C979A1">
        <w:rPr>
          <w:rFonts w:ascii="Arial" w:eastAsiaTheme="minorHAnsi" w:hAnsi="Arial" w:cs="Arial"/>
          <w:sz w:val="24"/>
          <w:szCs w:val="24"/>
        </w:rPr>
        <w:t>Centralbyrån</w:t>
      </w:r>
      <w:proofErr w:type="spellEnd"/>
      <w:r w:rsidRPr="00C979A1">
        <w:rPr>
          <w:rFonts w:ascii="Arial" w:eastAsiaTheme="minorHAnsi" w:hAnsi="Arial" w:cs="Arial"/>
          <w:sz w:val="24"/>
          <w:szCs w:val="24"/>
        </w:rPr>
        <w:t>. 2020. </w:t>
      </w:r>
      <w:r w:rsidRPr="00C979A1">
        <w:rPr>
          <w:rFonts w:ascii="Arial" w:eastAsiaTheme="minorHAnsi" w:hAnsi="Arial" w:cs="Arial"/>
          <w:i/>
          <w:iCs/>
          <w:sz w:val="24"/>
          <w:szCs w:val="24"/>
        </w:rPr>
        <w:t>Statistics Sweden</w:t>
      </w:r>
      <w:r w:rsidRPr="00C979A1">
        <w:rPr>
          <w:rFonts w:ascii="Arial" w:eastAsiaTheme="minorHAnsi" w:hAnsi="Arial" w:cs="Arial"/>
          <w:sz w:val="24"/>
          <w:szCs w:val="24"/>
        </w:rPr>
        <w:t>. [online] Available at: &lt;https://www.scb.se/en/&gt; [Accessed 2020].</w:t>
      </w:r>
    </w:p>
    <w:p w14:paraId="44B18562" w14:textId="77777777" w:rsidR="0025243E" w:rsidRPr="0025243E" w:rsidRDefault="00C979A1" w:rsidP="0025243E">
      <w:pPr>
        <w:pStyle w:val="ListParagraph"/>
        <w:widowControl w:val="0"/>
        <w:numPr>
          <w:ilvl w:val="0"/>
          <w:numId w:val="19"/>
        </w:numPr>
        <w:autoSpaceDE w:val="0"/>
        <w:autoSpaceDN w:val="0"/>
        <w:adjustRightInd w:val="0"/>
        <w:spacing w:after="0" w:line="480" w:lineRule="auto"/>
        <w:rPr>
          <w:u w:val="single"/>
        </w:rPr>
      </w:pPr>
      <w:r w:rsidRPr="00943C55">
        <w:rPr>
          <w:rFonts w:ascii="Arial" w:eastAsiaTheme="minorHAnsi" w:hAnsi="Arial" w:cs="Arial"/>
          <w:sz w:val="24"/>
          <w:szCs w:val="24"/>
          <w:lang w:val="da-DK"/>
        </w:rPr>
        <w:t xml:space="preserve">Koirala, B. P., Araghi, Y., Kroesen, M., Ghorbani, A., Hakvoort, R. A., &amp; Herder, P. M. (2018). </w:t>
      </w:r>
      <w:r w:rsidRPr="0025243E">
        <w:rPr>
          <w:rFonts w:ascii="Arial" w:eastAsiaTheme="minorHAnsi" w:hAnsi="Arial" w:cs="Arial"/>
          <w:sz w:val="24"/>
          <w:szCs w:val="24"/>
        </w:rPr>
        <w:t xml:space="preserve">Trust, awareness, and independence: Insights from a socio-psychological factor analysis of citizen knowledge and participation in community energy systems. </w:t>
      </w:r>
      <w:r w:rsidRPr="0025243E">
        <w:rPr>
          <w:rFonts w:ascii="Arial" w:eastAsiaTheme="minorHAnsi" w:hAnsi="Arial" w:cs="Arial"/>
          <w:i/>
          <w:iCs/>
          <w:sz w:val="24"/>
          <w:szCs w:val="24"/>
        </w:rPr>
        <w:t>Energy Research &amp; Social Science</w:t>
      </w:r>
      <w:r w:rsidRPr="0025243E">
        <w:rPr>
          <w:rFonts w:ascii="Arial" w:eastAsiaTheme="minorHAnsi" w:hAnsi="Arial" w:cs="Arial"/>
          <w:sz w:val="24"/>
          <w:szCs w:val="24"/>
        </w:rPr>
        <w:t xml:space="preserve">, </w:t>
      </w:r>
      <w:r w:rsidRPr="0025243E">
        <w:rPr>
          <w:rFonts w:ascii="Arial" w:eastAsiaTheme="minorHAnsi" w:hAnsi="Arial" w:cs="Arial"/>
          <w:i/>
          <w:iCs/>
          <w:sz w:val="24"/>
          <w:szCs w:val="24"/>
        </w:rPr>
        <w:t>38</w:t>
      </w:r>
      <w:r w:rsidRPr="0025243E">
        <w:rPr>
          <w:rFonts w:ascii="Arial" w:eastAsiaTheme="minorHAnsi" w:hAnsi="Arial" w:cs="Arial"/>
          <w:sz w:val="24"/>
          <w:szCs w:val="24"/>
        </w:rPr>
        <w:t>, 33–40. https://doi.org/</w:t>
      </w:r>
      <w:hyperlink r:id="rId24" w:history="1">
        <w:r w:rsidRPr="0025243E">
          <w:rPr>
            <w:rFonts w:ascii="Arial" w:eastAsiaTheme="minorHAnsi" w:hAnsi="Arial" w:cs="Arial"/>
            <w:color w:val="0563C1" w:themeColor="hyperlink"/>
            <w:sz w:val="24"/>
            <w:szCs w:val="24"/>
            <w:u w:val="single"/>
          </w:rPr>
          <w:t>10.1016/j.erss.2018.01.009</w:t>
        </w:r>
      </w:hyperlink>
    </w:p>
    <w:p w14:paraId="27207680" w14:textId="67FFDD34" w:rsidR="00A672D2" w:rsidRPr="00A5667B" w:rsidRDefault="00A672D2" w:rsidP="00C979A1">
      <w:pPr>
        <w:widowControl w:val="0"/>
        <w:autoSpaceDE w:val="0"/>
        <w:autoSpaceDN w:val="0"/>
        <w:adjustRightInd w:val="0"/>
        <w:spacing w:after="0" w:line="480" w:lineRule="auto"/>
        <w:ind w:left="720" w:hanging="720"/>
        <w:rPr>
          <w:u w:val="single"/>
        </w:rPr>
      </w:pPr>
    </w:p>
    <w:sectPr w:rsidR="00A672D2" w:rsidRPr="00A5667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58D9" w14:textId="77777777" w:rsidR="008926A2" w:rsidRDefault="008926A2" w:rsidP="00081573">
      <w:pPr>
        <w:spacing w:after="0" w:line="240" w:lineRule="auto"/>
      </w:pPr>
      <w:r>
        <w:separator/>
      </w:r>
    </w:p>
  </w:endnote>
  <w:endnote w:type="continuationSeparator" w:id="0">
    <w:p w14:paraId="578EFE73" w14:textId="77777777" w:rsidR="008926A2" w:rsidRDefault="008926A2" w:rsidP="00081573">
      <w:pPr>
        <w:spacing w:after="0" w:line="240" w:lineRule="auto"/>
      </w:pPr>
      <w:r>
        <w:continuationSeparator/>
      </w:r>
    </w:p>
  </w:endnote>
  <w:endnote w:type="continuationNotice" w:id="1">
    <w:p w14:paraId="3F322B9D" w14:textId="77777777" w:rsidR="008926A2" w:rsidRDefault="00892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19412"/>
      <w:docPartObj>
        <w:docPartGallery w:val="Page Numbers (Bottom of Page)"/>
        <w:docPartUnique/>
      </w:docPartObj>
    </w:sdtPr>
    <w:sdtEndPr/>
    <w:sdtContent>
      <w:sdt>
        <w:sdtPr>
          <w:id w:val="-1769616900"/>
          <w:docPartObj>
            <w:docPartGallery w:val="Page Numbers (Top of Page)"/>
            <w:docPartUnique/>
          </w:docPartObj>
        </w:sdtPr>
        <w:sdtEndPr/>
        <w:sdtContent>
          <w:p w14:paraId="53B48E2D" w14:textId="381A5C3E" w:rsidR="00991896" w:rsidRDefault="009918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D4B351" w14:textId="77777777" w:rsidR="00991896" w:rsidRDefault="0099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2A30" w14:textId="77777777" w:rsidR="008926A2" w:rsidRDefault="008926A2" w:rsidP="00081573">
      <w:pPr>
        <w:spacing w:after="0" w:line="240" w:lineRule="auto"/>
      </w:pPr>
      <w:r>
        <w:separator/>
      </w:r>
    </w:p>
  </w:footnote>
  <w:footnote w:type="continuationSeparator" w:id="0">
    <w:p w14:paraId="6F299A07" w14:textId="77777777" w:rsidR="008926A2" w:rsidRDefault="008926A2" w:rsidP="00081573">
      <w:pPr>
        <w:spacing w:after="0" w:line="240" w:lineRule="auto"/>
      </w:pPr>
      <w:r>
        <w:continuationSeparator/>
      </w:r>
    </w:p>
  </w:footnote>
  <w:footnote w:type="continuationNotice" w:id="1">
    <w:p w14:paraId="697EB619" w14:textId="77777777" w:rsidR="008926A2" w:rsidRDefault="008926A2">
      <w:pPr>
        <w:spacing w:after="0" w:line="240" w:lineRule="auto"/>
      </w:pPr>
    </w:p>
  </w:footnote>
  <w:footnote w:id="2">
    <w:p w14:paraId="0FA390F4" w14:textId="77777777" w:rsidR="00BA4C45" w:rsidRPr="001B0B40" w:rsidRDefault="00BA4C45" w:rsidP="001B0B40">
      <w:pPr>
        <w:pStyle w:val="FootnoteText"/>
        <w:rPr>
          <w:rFonts w:cs="Calibri"/>
          <w:sz w:val="16"/>
          <w:szCs w:val="16"/>
          <w:lang w:val="en-GB"/>
        </w:rPr>
      </w:pPr>
      <w:r w:rsidRPr="001B0B40">
        <w:rPr>
          <w:rStyle w:val="FootnoteReference"/>
          <w:rFonts w:cs="Calibri"/>
          <w:sz w:val="16"/>
          <w:szCs w:val="16"/>
        </w:rPr>
        <w:footnoteRef/>
      </w:r>
      <w:r w:rsidRPr="001B0B40">
        <w:rPr>
          <w:rFonts w:cs="Calibri"/>
          <w:sz w:val="16"/>
          <w:szCs w:val="16"/>
        </w:rPr>
        <w:t xml:space="preserve"> </w:t>
      </w:r>
      <w:r w:rsidRPr="001B0B40">
        <w:rPr>
          <w:rFonts w:cs="Calibri"/>
          <w:sz w:val="16"/>
          <w:szCs w:val="16"/>
          <w:lang w:val="en-GB"/>
        </w:rPr>
        <w:t>Source: Instituto Canaior de Istadistica: http://www.gobiernodecanarias.org/istac/temas_estadisticos/</w:t>
      </w:r>
    </w:p>
  </w:footnote>
  <w:footnote w:id="3">
    <w:p w14:paraId="0837C7AD" w14:textId="77777777" w:rsidR="00BA4C45" w:rsidRPr="001B0B40" w:rsidRDefault="00BA4C45" w:rsidP="001B0B40">
      <w:pPr>
        <w:pStyle w:val="FootnoteText"/>
        <w:rPr>
          <w:rFonts w:cs="Calibri"/>
          <w:sz w:val="16"/>
          <w:szCs w:val="16"/>
          <w:lang w:val="en-GB"/>
        </w:rPr>
      </w:pPr>
      <w:r w:rsidRPr="001B0B40">
        <w:rPr>
          <w:rStyle w:val="FootnoteReference"/>
          <w:rFonts w:cs="Calibri"/>
          <w:sz w:val="16"/>
          <w:szCs w:val="16"/>
        </w:rPr>
        <w:footnoteRef/>
      </w:r>
      <w:r w:rsidRPr="001B0B40">
        <w:rPr>
          <w:rFonts w:cs="Calibri"/>
          <w:sz w:val="16"/>
          <w:szCs w:val="16"/>
        </w:rPr>
        <w:t xml:space="preserve"> </w:t>
      </w:r>
      <w:r w:rsidRPr="001B0B40">
        <w:rPr>
          <w:rFonts w:cs="Calibri"/>
          <w:sz w:val="16"/>
          <w:szCs w:val="16"/>
          <w:lang w:val="en-GB"/>
        </w:rPr>
        <w:t>Source: Gotland in Figures 2017, available at: https://www.gotland.se/104323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F43"/>
    <w:multiLevelType w:val="multilevel"/>
    <w:tmpl w:val="C1E63AE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8A5"/>
    <w:multiLevelType w:val="hybridMultilevel"/>
    <w:tmpl w:val="E93C5C14"/>
    <w:lvl w:ilvl="0" w:tplc="7CA69244">
      <w:start w:val="1"/>
      <w:numFmt w:val="decimal"/>
      <w:lvlText w:val="[%1]"/>
      <w:lvlJc w:val="left"/>
      <w:pPr>
        <w:ind w:left="720" w:hanging="360"/>
      </w:pPr>
      <w:rPr>
        <w:rFonts w:ascii="Times New Roman" w:hAnsi="Times New Roman"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6555D"/>
    <w:multiLevelType w:val="multilevel"/>
    <w:tmpl w:val="A2E4AB1C"/>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B001C2"/>
    <w:multiLevelType w:val="multilevel"/>
    <w:tmpl w:val="800820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07F38"/>
    <w:multiLevelType w:val="multilevel"/>
    <w:tmpl w:val="DAD48110"/>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A9C628C"/>
    <w:multiLevelType w:val="multilevel"/>
    <w:tmpl w:val="BF0015C4"/>
    <w:lvl w:ilvl="0">
      <w:start w:val="4"/>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E937AE5"/>
    <w:multiLevelType w:val="hybridMultilevel"/>
    <w:tmpl w:val="7D8612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8A42BDF"/>
    <w:multiLevelType w:val="hybridMultilevel"/>
    <w:tmpl w:val="A0BCBDDC"/>
    <w:lvl w:ilvl="0" w:tplc="3828A996">
      <w:start w:val="1"/>
      <w:numFmt w:val="decimal"/>
      <w:lvlText w:val="%1."/>
      <w:lvlJc w:val="left"/>
      <w:pPr>
        <w:tabs>
          <w:tab w:val="num" w:pos="720"/>
        </w:tabs>
        <w:ind w:left="720" w:hanging="360"/>
      </w:pPr>
    </w:lvl>
    <w:lvl w:ilvl="1" w:tplc="51F2312A">
      <w:start w:val="1"/>
      <w:numFmt w:val="decimal"/>
      <w:lvlText w:val="%2."/>
      <w:lvlJc w:val="left"/>
      <w:pPr>
        <w:tabs>
          <w:tab w:val="num" w:pos="1440"/>
        </w:tabs>
        <w:ind w:left="1440" w:hanging="360"/>
      </w:pPr>
    </w:lvl>
    <w:lvl w:ilvl="2" w:tplc="752CB434" w:tentative="1">
      <w:start w:val="1"/>
      <w:numFmt w:val="decimal"/>
      <w:lvlText w:val="%3."/>
      <w:lvlJc w:val="left"/>
      <w:pPr>
        <w:tabs>
          <w:tab w:val="num" w:pos="2160"/>
        </w:tabs>
        <w:ind w:left="2160" w:hanging="360"/>
      </w:pPr>
    </w:lvl>
    <w:lvl w:ilvl="3" w:tplc="C27494E2" w:tentative="1">
      <w:start w:val="1"/>
      <w:numFmt w:val="decimal"/>
      <w:lvlText w:val="%4."/>
      <w:lvlJc w:val="left"/>
      <w:pPr>
        <w:tabs>
          <w:tab w:val="num" w:pos="2880"/>
        </w:tabs>
        <w:ind w:left="2880" w:hanging="360"/>
      </w:pPr>
    </w:lvl>
    <w:lvl w:ilvl="4" w:tplc="2264A74C" w:tentative="1">
      <w:start w:val="1"/>
      <w:numFmt w:val="decimal"/>
      <w:lvlText w:val="%5."/>
      <w:lvlJc w:val="left"/>
      <w:pPr>
        <w:tabs>
          <w:tab w:val="num" w:pos="3600"/>
        </w:tabs>
        <w:ind w:left="3600" w:hanging="360"/>
      </w:pPr>
    </w:lvl>
    <w:lvl w:ilvl="5" w:tplc="97B46E10" w:tentative="1">
      <w:start w:val="1"/>
      <w:numFmt w:val="decimal"/>
      <w:lvlText w:val="%6."/>
      <w:lvlJc w:val="left"/>
      <w:pPr>
        <w:tabs>
          <w:tab w:val="num" w:pos="4320"/>
        </w:tabs>
        <w:ind w:left="4320" w:hanging="360"/>
      </w:pPr>
    </w:lvl>
    <w:lvl w:ilvl="6" w:tplc="DE9A42B2" w:tentative="1">
      <w:start w:val="1"/>
      <w:numFmt w:val="decimal"/>
      <w:lvlText w:val="%7."/>
      <w:lvlJc w:val="left"/>
      <w:pPr>
        <w:tabs>
          <w:tab w:val="num" w:pos="5040"/>
        </w:tabs>
        <w:ind w:left="5040" w:hanging="360"/>
      </w:pPr>
    </w:lvl>
    <w:lvl w:ilvl="7" w:tplc="2A24F594" w:tentative="1">
      <w:start w:val="1"/>
      <w:numFmt w:val="decimal"/>
      <w:lvlText w:val="%8."/>
      <w:lvlJc w:val="left"/>
      <w:pPr>
        <w:tabs>
          <w:tab w:val="num" w:pos="5760"/>
        </w:tabs>
        <w:ind w:left="5760" w:hanging="360"/>
      </w:pPr>
    </w:lvl>
    <w:lvl w:ilvl="8" w:tplc="B5E6D8A4" w:tentative="1">
      <w:start w:val="1"/>
      <w:numFmt w:val="decimal"/>
      <w:lvlText w:val="%9."/>
      <w:lvlJc w:val="left"/>
      <w:pPr>
        <w:tabs>
          <w:tab w:val="num" w:pos="6480"/>
        </w:tabs>
        <w:ind w:left="6480" w:hanging="360"/>
      </w:pPr>
    </w:lvl>
  </w:abstractNum>
  <w:abstractNum w:abstractNumId="8" w15:restartNumberingAfterBreak="0">
    <w:nsid w:val="415405FF"/>
    <w:multiLevelType w:val="multilevel"/>
    <w:tmpl w:val="7E3EAD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2F04F2"/>
    <w:multiLevelType w:val="hybridMultilevel"/>
    <w:tmpl w:val="7D861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61192D"/>
    <w:multiLevelType w:val="multilevel"/>
    <w:tmpl w:val="FCCCC2B4"/>
    <w:lvl w:ilvl="0">
      <w:start w:val="5"/>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57331A01"/>
    <w:multiLevelType w:val="hybridMultilevel"/>
    <w:tmpl w:val="8BE443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09D36D3"/>
    <w:multiLevelType w:val="multilevel"/>
    <w:tmpl w:val="0B0E925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07B26"/>
    <w:multiLevelType w:val="multilevel"/>
    <w:tmpl w:val="33DCCB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542A72"/>
    <w:multiLevelType w:val="hybridMultilevel"/>
    <w:tmpl w:val="0CD6D9D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C06A8"/>
    <w:multiLevelType w:val="multilevel"/>
    <w:tmpl w:val="B338F652"/>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7E14187"/>
    <w:multiLevelType w:val="hybridMultilevel"/>
    <w:tmpl w:val="402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1752D"/>
    <w:multiLevelType w:val="hybridMultilevel"/>
    <w:tmpl w:val="61EAED94"/>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5B2A69"/>
    <w:multiLevelType w:val="multilevel"/>
    <w:tmpl w:val="4F7E06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65345327">
    <w:abstractNumId w:val="6"/>
  </w:num>
  <w:num w:numId="2" w16cid:durableId="642580829">
    <w:abstractNumId w:val="9"/>
  </w:num>
  <w:num w:numId="3" w16cid:durableId="1763065347">
    <w:abstractNumId w:val="14"/>
  </w:num>
  <w:num w:numId="4" w16cid:durableId="1011176198">
    <w:abstractNumId w:val="16"/>
  </w:num>
  <w:num w:numId="5" w16cid:durableId="1413309450">
    <w:abstractNumId w:val="11"/>
  </w:num>
  <w:num w:numId="6" w16cid:durableId="641076760">
    <w:abstractNumId w:val="17"/>
  </w:num>
  <w:num w:numId="7" w16cid:durableId="1308633029">
    <w:abstractNumId w:val="0"/>
  </w:num>
  <w:num w:numId="8" w16cid:durableId="1766075312">
    <w:abstractNumId w:val="13"/>
  </w:num>
  <w:num w:numId="9" w16cid:durableId="1260912952">
    <w:abstractNumId w:val="7"/>
  </w:num>
  <w:num w:numId="10" w16cid:durableId="1586456577">
    <w:abstractNumId w:val="4"/>
  </w:num>
  <w:num w:numId="11" w16cid:durableId="783306481">
    <w:abstractNumId w:val="8"/>
  </w:num>
  <w:num w:numId="12" w16cid:durableId="1253901184">
    <w:abstractNumId w:val="12"/>
  </w:num>
  <w:num w:numId="13" w16cid:durableId="1674454143">
    <w:abstractNumId w:val="3"/>
  </w:num>
  <w:num w:numId="14" w16cid:durableId="1432165615">
    <w:abstractNumId w:val="15"/>
  </w:num>
  <w:num w:numId="15" w16cid:durableId="1101997138">
    <w:abstractNumId w:val="18"/>
  </w:num>
  <w:num w:numId="16" w16cid:durableId="365180631">
    <w:abstractNumId w:val="5"/>
  </w:num>
  <w:num w:numId="17" w16cid:durableId="314989166">
    <w:abstractNumId w:val="2"/>
  </w:num>
  <w:num w:numId="18" w16cid:durableId="56903784">
    <w:abstractNumId w:val="10"/>
  </w:num>
  <w:num w:numId="19" w16cid:durableId="41721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NTKzNDM1NzQ0NrRQ0lEKTi0uzszPAykwqgUAXCdrliwAAAA="/>
  </w:docVars>
  <w:rsids>
    <w:rsidRoot w:val="00F07062"/>
    <w:rsid w:val="0000072F"/>
    <w:rsid w:val="000012BA"/>
    <w:rsid w:val="00001B7E"/>
    <w:rsid w:val="00002DB2"/>
    <w:rsid w:val="00003047"/>
    <w:rsid w:val="000030CA"/>
    <w:rsid w:val="00005546"/>
    <w:rsid w:val="00006929"/>
    <w:rsid w:val="000102EA"/>
    <w:rsid w:val="000116E6"/>
    <w:rsid w:val="00012078"/>
    <w:rsid w:val="00012CB9"/>
    <w:rsid w:val="0001314E"/>
    <w:rsid w:val="00013F8D"/>
    <w:rsid w:val="00014AED"/>
    <w:rsid w:val="00015129"/>
    <w:rsid w:val="00015B90"/>
    <w:rsid w:val="000178F9"/>
    <w:rsid w:val="00021760"/>
    <w:rsid w:val="00021892"/>
    <w:rsid w:val="00022EB6"/>
    <w:rsid w:val="00023DA5"/>
    <w:rsid w:val="000257A7"/>
    <w:rsid w:val="000272CB"/>
    <w:rsid w:val="00030825"/>
    <w:rsid w:val="00030950"/>
    <w:rsid w:val="000314D7"/>
    <w:rsid w:val="000334AD"/>
    <w:rsid w:val="000346F2"/>
    <w:rsid w:val="00035E41"/>
    <w:rsid w:val="00036584"/>
    <w:rsid w:val="000370CC"/>
    <w:rsid w:val="00037586"/>
    <w:rsid w:val="0004238F"/>
    <w:rsid w:val="0004290E"/>
    <w:rsid w:val="00045A5F"/>
    <w:rsid w:val="00046552"/>
    <w:rsid w:val="000465C5"/>
    <w:rsid w:val="00051472"/>
    <w:rsid w:val="000514E3"/>
    <w:rsid w:val="00051F72"/>
    <w:rsid w:val="00052590"/>
    <w:rsid w:val="00052629"/>
    <w:rsid w:val="00052F1B"/>
    <w:rsid w:val="000552AF"/>
    <w:rsid w:val="0005555E"/>
    <w:rsid w:val="000569EA"/>
    <w:rsid w:val="0005719B"/>
    <w:rsid w:val="000573E2"/>
    <w:rsid w:val="00062D69"/>
    <w:rsid w:val="000633EA"/>
    <w:rsid w:val="0006397D"/>
    <w:rsid w:val="00063F89"/>
    <w:rsid w:val="000660F4"/>
    <w:rsid w:val="00070281"/>
    <w:rsid w:val="000708B7"/>
    <w:rsid w:val="00071F0B"/>
    <w:rsid w:val="0007250A"/>
    <w:rsid w:val="00072CCC"/>
    <w:rsid w:val="00072E8F"/>
    <w:rsid w:val="00073050"/>
    <w:rsid w:val="00074A8D"/>
    <w:rsid w:val="00074BE0"/>
    <w:rsid w:val="000763EA"/>
    <w:rsid w:val="000773EB"/>
    <w:rsid w:val="00080BAC"/>
    <w:rsid w:val="00081573"/>
    <w:rsid w:val="00083A30"/>
    <w:rsid w:val="00084103"/>
    <w:rsid w:val="00084A7D"/>
    <w:rsid w:val="00085239"/>
    <w:rsid w:val="0008682A"/>
    <w:rsid w:val="00087D2C"/>
    <w:rsid w:val="000903AF"/>
    <w:rsid w:val="000937CE"/>
    <w:rsid w:val="000946D5"/>
    <w:rsid w:val="000947B8"/>
    <w:rsid w:val="000A1646"/>
    <w:rsid w:val="000A18FD"/>
    <w:rsid w:val="000A414E"/>
    <w:rsid w:val="000A58CD"/>
    <w:rsid w:val="000A6789"/>
    <w:rsid w:val="000A6ACB"/>
    <w:rsid w:val="000B04C0"/>
    <w:rsid w:val="000B1B91"/>
    <w:rsid w:val="000B43F6"/>
    <w:rsid w:val="000B6CCF"/>
    <w:rsid w:val="000C0C4C"/>
    <w:rsid w:val="000C0D22"/>
    <w:rsid w:val="000C2972"/>
    <w:rsid w:val="000C3A86"/>
    <w:rsid w:val="000C4008"/>
    <w:rsid w:val="000C4AA8"/>
    <w:rsid w:val="000C5482"/>
    <w:rsid w:val="000C6B3B"/>
    <w:rsid w:val="000C7532"/>
    <w:rsid w:val="000D01F0"/>
    <w:rsid w:val="000D04B2"/>
    <w:rsid w:val="000D0678"/>
    <w:rsid w:val="000D0AC1"/>
    <w:rsid w:val="000D0BBA"/>
    <w:rsid w:val="000D1B11"/>
    <w:rsid w:val="000D225C"/>
    <w:rsid w:val="000D239B"/>
    <w:rsid w:val="000D24E1"/>
    <w:rsid w:val="000D31EE"/>
    <w:rsid w:val="000D3E3C"/>
    <w:rsid w:val="000D4955"/>
    <w:rsid w:val="000D4FCE"/>
    <w:rsid w:val="000D679D"/>
    <w:rsid w:val="000D7AF9"/>
    <w:rsid w:val="000E08BE"/>
    <w:rsid w:val="000E379B"/>
    <w:rsid w:val="000E40ED"/>
    <w:rsid w:val="000E40EE"/>
    <w:rsid w:val="000E41F6"/>
    <w:rsid w:val="000E5390"/>
    <w:rsid w:val="000E57D6"/>
    <w:rsid w:val="000E672A"/>
    <w:rsid w:val="000E67CF"/>
    <w:rsid w:val="000E75A4"/>
    <w:rsid w:val="000F15E8"/>
    <w:rsid w:val="000F268E"/>
    <w:rsid w:val="000F3765"/>
    <w:rsid w:val="000F38A8"/>
    <w:rsid w:val="000F3940"/>
    <w:rsid w:val="000F39C0"/>
    <w:rsid w:val="000F3A42"/>
    <w:rsid w:val="000F567A"/>
    <w:rsid w:val="000F7D41"/>
    <w:rsid w:val="00101004"/>
    <w:rsid w:val="00101027"/>
    <w:rsid w:val="00102A15"/>
    <w:rsid w:val="001032AB"/>
    <w:rsid w:val="00105874"/>
    <w:rsid w:val="00106182"/>
    <w:rsid w:val="00106BAE"/>
    <w:rsid w:val="00106E71"/>
    <w:rsid w:val="001071BD"/>
    <w:rsid w:val="00110DB9"/>
    <w:rsid w:val="001117C5"/>
    <w:rsid w:val="001118DC"/>
    <w:rsid w:val="00111ECC"/>
    <w:rsid w:val="001130B8"/>
    <w:rsid w:val="00120189"/>
    <w:rsid w:val="001211FE"/>
    <w:rsid w:val="001221DD"/>
    <w:rsid w:val="001225FA"/>
    <w:rsid w:val="00123180"/>
    <w:rsid w:val="00123FE2"/>
    <w:rsid w:val="0012451F"/>
    <w:rsid w:val="00125B79"/>
    <w:rsid w:val="00125D78"/>
    <w:rsid w:val="001269DB"/>
    <w:rsid w:val="00126A5C"/>
    <w:rsid w:val="00126D48"/>
    <w:rsid w:val="001274FD"/>
    <w:rsid w:val="00127857"/>
    <w:rsid w:val="00130933"/>
    <w:rsid w:val="0013407B"/>
    <w:rsid w:val="001342A5"/>
    <w:rsid w:val="00134C34"/>
    <w:rsid w:val="00136204"/>
    <w:rsid w:val="00136E34"/>
    <w:rsid w:val="0014000E"/>
    <w:rsid w:val="00141277"/>
    <w:rsid w:val="00141D95"/>
    <w:rsid w:val="00141EE7"/>
    <w:rsid w:val="00142AC2"/>
    <w:rsid w:val="00142AC4"/>
    <w:rsid w:val="00142CAC"/>
    <w:rsid w:val="001432F9"/>
    <w:rsid w:val="00154AFB"/>
    <w:rsid w:val="0015539B"/>
    <w:rsid w:val="00156E2A"/>
    <w:rsid w:val="001600B4"/>
    <w:rsid w:val="00160981"/>
    <w:rsid w:val="00161CDE"/>
    <w:rsid w:val="001620B7"/>
    <w:rsid w:val="001632C7"/>
    <w:rsid w:val="00163D8A"/>
    <w:rsid w:val="001661E5"/>
    <w:rsid w:val="00166224"/>
    <w:rsid w:val="001664B1"/>
    <w:rsid w:val="00166A78"/>
    <w:rsid w:val="00166BC8"/>
    <w:rsid w:val="001724B1"/>
    <w:rsid w:val="00172700"/>
    <w:rsid w:val="001728D3"/>
    <w:rsid w:val="00176757"/>
    <w:rsid w:val="00177999"/>
    <w:rsid w:val="00177BD8"/>
    <w:rsid w:val="001800B9"/>
    <w:rsid w:val="00181495"/>
    <w:rsid w:val="00182F81"/>
    <w:rsid w:val="00184202"/>
    <w:rsid w:val="0018455C"/>
    <w:rsid w:val="00186DF2"/>
    <w:rsid w:val="00187C1B"/>
    <w:rsid w:val="00190EDD"/>
    <w:rsid w:val="00193814"/>
    <w:rsid w:val="00194E10"/>
    <w:rsid w:val="00196305"/>
    <w:rsid w:val="00196D73"/>
    <w:rsid w:val="001A095F"/>
    <w:rsid w:val="001A2652"/>
    <w:rsid w:val="001A27B0"/>
    <w:rsid w:val="001A2B6A"/>
    <w:rsid w:val="001A3484"/>
    <w:rsid w:val="001A3595"/>
    <w:rsid w:val="001A3BDC"/>
    <w:rsid w:val="001A4408"/>
    <w:rsid w:val="001A5D97"/>
    <w:rsid w:val="001B0B40"/>
    <w:rsid w:val="001B1331"/>
    <w:rsid w:val="001B3F9F"/>
    <w:rsid w:val="001B59E5"/>
    <w:rsid w:val="001B68BB"/>
    <w:rsid w:val="001B6B75"/>
    <w:rsid w:val="001C388B"/>
    <w:rsid w:val="001C461D"/>
    <w:rsid w:val="001C67E5"/>
    <w:rsid w:val="001C70D5"/>
    <w:rsid w:val="001C7444"/>
    <w:rsid w:val="001D0D10"/>
    <w:rsid w:val="001D21E9"/>
    <w:rsid w:val="001D3C5B"/>
    <w:rsid w:val="001D505C"/>
    <w:rsid w:val="001D6D36"/>
    <w:rsid w:val="001D71A4"/>
    <w:rsid w:val="001E1328"/>
    <w:rsid w:val="001E2342"/>
    <w:rsid w:val="001E2744"/>
    <w:rsid w:val="001E30E2"/>
    <w:rsid w:val="001E368D"/>
    <w:rsid w:val="001E47A6"/>
    <w:rsid w:val="001E6999"/>
    <w:rsid w:val="001E6C04"/>
    <w:rsid w:val="001E6C6D"/>
    <w:rsid w:val="001E6D61"/>
    <w:rsid w:val="001F0076"/>
    <w:rsid w:val="001F06ED"/>
    <w:rsid w:val="001F29A1"/>
    <w:rsid w:val="001F2E02"/>
    <w:rsid w:val="001F4E2D"/>
    <w:rsid w:val="00200055"/>
    <w:rsid w:val="002006C9"/>
    <w:rsid w:val="00200999"/>
    <w:rsid w:val="0020126D"/>
    <w:rsid w:val="00204DCD"/>
    <w:rsid w:val="0020694B"/>
    <w:rsid w:val="00206AAA"/>
    <w:rsid w:val="00211379"/>
    <w:rsid w:val="00211F09"/>
    <w:rsid w:val="00213D56"/>
    <w:rsid w:val="00214CAC"/>
    <w:rsid w:val="002151C8"/>
    <w:rsid w:val="0021523C"/>
    <w:rsid w:val="002163EC"/>
    <w:rsid w:val="002203E0"/>
    <w:rsid w:val="0022116F"/>
    <w:rsid w:val="00221979"/>
    <w:rsid w:val="00222287"/>
    <w:rsid w:val="00222655"/>
    <w:rsid w:val="00223C18"/>
    <w:rsid w:val="00224C3F"/>
    <w:rsid w:val="00224E77"/>
    <w:rsid w:val="002255B4"/>
    <w:rsid w:val="00225D01"/>
    <w:rsid w:val="00225EAE"/>
    <w:rsid w:val="00226E3C"/>
    <w:rsid w:val="00227A01"/>
    <w:rsid w:val="00233B20"/>
    <w:rsid w:val="00234643"/>
    <w:rsid w:val="0023479C"/>
    <w:rsid w:val="002358B9"/>
    <w:rsid w:val="00236168"/>
    <w:rsid w:val="0023701B"/>
    <w:rsid w:val="00237DA9"/>
    <w:rsid w:val="00240EC8"/>
    <w:rsid w:val="002427CE"/>
    <w:rsid w:val="00243BBB"/>
    <w:rsid w:val="0024682E"/>
    <w:rsid w:val="002506F6"/>
    <w:rsid w:val="002511BB"/>
    <w:rsid w:val="002520F0"/>
    <w:rsid w:val="0025243E"/>
    <w:rsid w:val="00257E72"/>
    <w:rsid w:val="00260582"/>
    <w:rsid w:val="00262169"/>
    <w:rsid w:val="00262241"/>
    <w:rsid w:val="00262E0A"/>
    <w:rsid w:val="00263592"/>
    <w:rsid w:val="002647D0"/>
    <w:rsid w:val="00266581"/>
    <w:rsid w:val="002669A6"/>
    <w:rsid w:val="00266FA5"/>
    <w:rsid w:val="0026721F"/>
    <w:rsid w:val="002704DC"/>
    <w:rsid w:val="00270A07"/>
    <w:rsid w:val="00273F32"/>
    <w:rsid w:val="002762F7"/>
    <w:rsid w:val="00276BB7"/>
    <w:rsid w:val="00280CA3"/>
    <w:rsid w:val="002816D0"/>
    <w:rsid w:val="00282DC7"/>
    <w:rsid w:val="002850C5"/>
    <w:rsid w:val="00285295"/>
    <w:rsid w:val="002866BC"/>
    <w:rsid w:val="002908A4"/>
    <w:rsid w:val="00290CD7"/>
    <w:rsid w:val="00290D95"/>
    <w:rsid w:val="002917ED"/>
    <w:rsid w:val="0029568D"/>
    <w:rsid w:val="00296D79"/>
    <w:rsid w:val="002978B6"/>
    <w:rsid w:val="002A05BA"/>
    <w:rsid w:val="002A0FD3"/>
    <w:rsid w:val="002A2EFA"/>
    <w:rsid w:val="002A4186"/>
    <w:rsid w:val="002A5B63"/>
    <w:rsid w:val="002A65E3"/>
    <w:rsid w:val="002A66FD"/>
    <w:rsid w:val="002A6849"/>
    <w:rsid w:val="002B093E"/>
    <w:rsid w:val="002B0C16"/>
    <w:rsid w:val="002B0F74"/>
    <w:rsid w:val="002B367E"/>
    <w:rsid w:val="002B4C5F"/>
    <w:rsid w:val="002B6C2A"/>
    <w:rsid w:val="002C0EC6"/>
    <w:rsid w:val="002C3927"/>
    <w:rsid w:val="002C39D1"/>
    <w:rsid w:val="002C464A"/>
    <w:rsid w:val="002C5704"/>
    <w:rsid w:val="002C5711"/>
    <w:rsid w:val="002C6DAC"/>
    <w:rsid w:val="002C72DF"/>
    <w:rsid w:val="002D29E0"/>
    <w:rsid w:val="002D4D2E"/>
    <w:rsid w:val="002D5803"/>
    <w:rsid w:val="002D7488"/>
    <w:rsid w:val="002E022E"/>
    <w:rsid w:val="002E11E0"/>
    <w:rsid w:val="002E2118"/>
    <w:rsid w:val="002E27D9"/>
    <w:rsid w:val="002E2EA2"/>
    <w:rsid w:val="002E5107"/>
    <w:rsid w:val="002E5D72"/>
    <w:rsid w:val="002E7CED"/>
    <w:rsid w:val="002F16A2"/>
    <w:rsid w:val="002F29B4"/>
    <w:rsid w:val="002F3537"/>
    <w:rsid w:val="002F4A3F"/>
    <w:rsid w:val="003004F3"/>
    <w:rsid w:val="0030170B"/>
    <w:rsid w:val="00301A1E"/>
    <w:rsid w:val="0030377E"/>
    <w:rsid w:val="00303D65"/>
    <w:rsid w:val="00304043"/>
    <w:rsid w:val="00304980"/>
    <w:rsid w:val="00304D95"/>
    <w:rsid w:val="00305910"/>
    <w:rsid w:val="00305FCA"/>
    <w:rsid w:val="0030678B"/>
    <w:rsid w:val="00306B76"/>
    <w:rsid w:val="00306F99"/>
    <w:rsid w:val="00307B80"/>
    <w:rsid w:val="00307C0E"/>
    <w:rsid w:val="003103EB"/>
    <w:rsid w:val="00310A5F"/>
    <w:rsid w:val="00311EEE"/>
    <w:rsid w:val="00312469"/>
    <w:rsid w:val="00312787"/>
    <w:rsid w:val="003130A9"/>
    <w:rsid w:val="00313A85"/>
    <w:rsid w:val="00314A8B"/>
    <w:rsid w:val="0031595A"/>
    <w:rsid w:val="00315978"/>
    <w:rsid w:val="00320697"/>
    <w:rsid w:val="00321D02"/>
    <w:rsid w:val="00322B48"/>
    <w:rsid w:val="00323E41"/>
    <w:rsid w:val="00324588"/>
    <w:rsid w:val="00325543"/>
    <w:rsid w:val="003255FB"/>
    <w:rsid w:val="0032568C"/>
    <w:rsid w:val="00325A26"/>
    <w:rsid w:val="003272D2"/>
    <w:rsid w:val="0033196E"/>
    <w:rsid w:val="00331DEF"/>
    <w:rsid w:val="00335CBB"/>
    <w:rsid w:val="003375F4"/>
    <w:rsid w:val="00337B50"/>
    <w:rsid w:val="00341C37"/>
    <w:rsid w:val="00341CE1"/>
    <w:rsid w:val="003427E9"/>
    <w:rsid w:val="003443E8"/>
    <w:rsid w:val="00344E54"/>
    <w:rsid w:val="00347C4F"/>
    <w:rsid w:val="00351229"/>
    <w:rsid w:val="00352AA5"/>
    <w:rsid w:val="00353D92"/>
    <w:rsid w:val="0035450D"/>
    <w:rsid w:val="00354909"/>
    <w:rsid w:val="003556A1"/>
    <w:rsid w:val="00355F91"/>
    <w:rsid w:val="0035624A"/>
    <w:rsid w:val="003575EC"/>
    <w:rsid w:val="00361AF0"/>
    <w:rsid w:val="003623EE"/>
    <w:rsid w:val="00363D54"/>
    <w:rsid w:val="0036439B"/>
    <w:rsid w:val="0036453F"/>
    <w:rsid w:val="00364A78"/>
    <w:rsid w:val="00364E86"/>
    <w:rsid w:val="00365CA3"/>
    <w:rsid w:val="0036777B"/>
    <w:rsid w:val="00367BBB"/>
    <w:rsid w:val="00373099"/>
    <w:rsid w:val="00374CD7"/>
    <w:rsid w:val="0037518F"/>
    <w:rsid w:val="0037574E"/>
    <w:rsid w:val="00376294"/>
    <w:rsid w:val="00376CBD"/>
    <w:rsid w:val="00377E68"/>
    <w:rsid w:val="00383710"/>
    <w:rsid w:val="00383ABB"/>
    <w:rsid w:val="00385AFE"/>
    <w:rsid w:val="0038797C"/>
    <w:rsid w:val="00387C2B"/>
    <w:rsid w:val="00390A57"/>
    <w:rsid w:val="00390DF9"/>
    <w:rsid w:val="00391980"/>
    <w:rsid w:val="00391D32"/>
    <w:rsid w:val="00394250"/>
    <w:rsid w:val="003A043A"/>
    <w:rsid w:val="003A10BF"/>
    <w:rsid w:val="003A19E2"/>
    <w:rsid w:val="003A330B"/>
    <w:rsid w:val="003A3432"/>
    <w:rsid w:val="003A6119"/>
    <w:rsid w:val="003A61FE"/>
    <w:rsid w:val="003A644B"/>
    <w:rsid w:val="003B0278"/>
    <w:rsid w:val="003B069D"/>
    <w:rsid w:val="003B1112"/>
    <w:rsid w:val="003B36D3"/>
    <w:rsid w:val="003B3863"/>
    <w:rsid w:val="003B6151"/>
    <w:rsid w:val="003B7860"/>
    <w:rsid w:val="003C0587"/>
    <w:rsid w:val="003C133D"/>
    <w:rsid w:val="003C16E3"/>
    <w:rsid w:val="003C16E7"/>
    <w:rsid w:val="003C2D90"/>
    <w:rsid w:val="003C4648"/>
    <w:rsid w:val="003C484D"/>
    <w:rsid w:val="003C4A21"/>
    <w:rsid w:val="003C75BC"/>
    <w:rsid w:val="003D0BB1"/>
    <w:rsid w:val="003D0E64"/>
    <w:rsid w:val="003D1052"/>
    <w:rsid w:val="003D1CAE"/>
    <w:rsid w:val="003D41F8"/>
    <w:rsid w:val="003D4B75"/>
    <w:rsid w:val="003D50B7"/>
    <w:rsid w:val="003E37D3"/>
    <w:rsid w:val="003E3FC6"/>
    <w:rsid w:val="003E5409"/>
    <w:rsid w:val="003E563E"/>
    <w:rsid w:val="003E5770"/>
    <w:rsid w:val="003E5A88"/>
    <w:rsid w:val="003E6B8E"/>
    <w:rsid w:val="003E743F"/>
    <w:rsid w:val="003E77D6"/>
    <w:rsid w:val="003F06D6"/>
    <w:rsid w:val="003F1F74"/>
    <w:rsid w:val="003F444B"/>
    <w:rsid w:val="003F5B39"/>
    <w:rsid w:val="0040159F"/>
    <w:rsid w:val="0040211F"/>
    <w:rsid w:val="00402923"/>
    <w:rsid w:val="004042B3"/>
    <w:rsid w:val="00404588"/>
    <w:rsid w:val="004065DB"/>
    <w:rsid w:val="00406B34"/>
    <w:rsid w:val="0040739D"/>
    <w:rsid w:val="00407720"/>
    <w:rsid w:val="0041243B"/>
    <w:rsid w:val="0041404C"/>
    <w:rsid w:val="00415D17"/>
    <w:rsid w:val="00415D31"/>
    <w:rsid w:val="004160CC"/>
    <w:rsid w:val="004173DB"/>
    <w:rsid w:val="00420C89"/>
    <w:rsid w:val="00426294"/>
    <w:rsid w:val="00426380"/>
    <w:rsid w:val="004269D1"/>
    <w:rsid w:val="00427C40"/>
    <w:rsid w:val="00431CF4"/>
    <w:rsid w:val="00432266"/>
    <w:rsid w:val="004324E6"/>
    <w:rsid w:val="00433556"/>
    <w:rsid w:val="00433A41"/>
    <w:rsid w:val="00433BDF"/>
    <w:rsid w:val="004358A9"/>
    <w:rsid w:val="00436564"/>
    <w:rsid w:val="004400CD"/>
    <w:rsid w:val="0044015B"/>
    <w:rsid w:val="0044130A"/>
    <w:rsid w:val="00442481"/>
    <w:rsid w:val="00443DE0"/>
    <w:rsid w:val="00450C6F"/>
    <w:rsid w:val="00450F1B"/>
    <w:rsid w:val="0045188E"/>
    <w:rsid w:val="004547C1"/>
    <w:rsid w:val="004551CE"/>
    <w:rsid w:val="00455C76"/>
    <w:rsid w:val="004601A0"/>
    <w:rsid w:val="00460258"/>
    <w:rsid w:val="004620EA"/>
    <w:rsid w:val="00462CD2"/>
    <w:rsid w:val="0046448D"/>
    <w:rsid w:val="00464B18"/>
    <w:rsid w:val="004651BB"/>
    <w:rsid w:val="00465AF6"/>
    <w:rsid w:val="00467BB7"/>
    <w:rsid w:val="004723AB"/>
    <w:rsid w:val="00472E17"/>
    <w:rsid w:val="004738E8"/>
    <w:rsid w:val="00473A01"/>
    <w:rsid w:val="00475C94"/>
    <w:rsid w:val="00475E9E"/>
    <w:rsid w:val="00475ED0"/>
    <w:rsid w:val="00481F15"/>
    <w:rsid w:val="0048201D"/>
    <w:rsid w:val="0048387F"/>
    <w:rsid w:val="00483A4B"/>
    <w:rsid w:val="004856F6"/>
    <w:rsid w:val="0048653D"/>
    <w:rsid w:val="00490E7A"/>
    <w:rsid w:val="00495A78"/>
    <w:rsid w:val="00495C80"/>
    <w:rsid w:val="0049602F"/>
    <w:rsid w:val="004A5416"/>
    <w:rsid w:val="004A5BB7"/>
    <w:rsid w:val="004A5C4C"/>
    <w:rsid w:val="004A654D"/>
    <w:rsid w:val="004A7608"/>
    <w:rsid w:val="004A7AD0"/>
    <w:rsid w:val="004A7E33"/>
    <w:rsid w:val="004B1B15"/>
    <w:rsid w:val="004B31F4"/>
    <w:rsid w:val="004B331C"/>
    <w:rsid w:val="004B3582"/>
    <w:rsid w:val="004B5E2C"/>
    <w:rsid w:val="004B6C24"/>
    <w:rsid w:val="004C0D40"/>
    <w:rsid w:val="004C2BAD"/>
    <w:rsid w:val="004C3B47"/>
    <w:rsid w:val="004C4510"/>
    <w:rsid w:val="004C536B"/>
    <w:rsid w:val="004C6929"/>
    <w:rsid w:val="004C716C"/>
    <w:rsid w:val="004C7855"/>
    <w:rsid w:val="004D17D5"/>
    <w:rsid w:val="004D20F8"/>
    <w:rsid w:val="004D246B"/>
    <w:rsid w:val="004D59B3"/>
    <w:rsid w:val="004D650E"/>
    <w:rsid w:val="004D7A2F"/>
    <w:rsid w:val="004E01E1"/>
    <w:rsid w:val="004E1EFE"/>
    <w:rsid w:val="004E2376"/>
    <w:rsid w:val="004E2EC8"/>
    <w:rsid w:val="004E40A2"/>
    <w:rsid w:val="004E43C1"/>
    <w:rsid w:val="004F02B2"/>
    <w:rsid w:val="004F1463"/>
    <w:rsid w:val="004F16EE"/>
    <w:rsid w:val="004F1AD3"/>
    <w:rsid w:val="004F1DA6"/>
    <w:rsid w:val="004F3521"/>
    <w:rsid w:val="004F3692"/>
    <w:rsid w:val="004F39E9"/>
    <w:rsid w:val="004F52B3"/>
    <w:rsid w:val="004F5D90"/>
    <w:rsid w:val="00500DE8"/>
    <w:rsid w:val="005010AC"/>
    <w:rsid w:val="00502F83"/>
    <w:rsid w:val="0050341E"/>
    <w:rsid w:val="00506C99"/>
    <w:rsid w:val="00512DE7"/>
    <w:rsid w:val="0051406C"/>
    <w:rsid w:val="00514FB3"/>
    <w:rsid w:val="0051635D"/>
    <w:rsid w:val="00516989"/>
    <w:rsid w:val="00516C79"/>
    <w:rsid w:val="00520BE8"/>
    <w:rsid w:val="00522291"/>
    <w:rsid w:val="005250F1"/>
    <w:rsid w:val="00525937"/>
    <w:rsid w:val="00531B01"/>
    <w:rsid w:val="00532181"/>
    <w:rsid w:val="00533A8F"/>
    <w:rsid w:val="005349F5"/>
    <w:rsid w:val="005375A1"/>
    <w:rsid w:val="00541382"/>
    <w:rsid w:val="00543E12"/>
    <w:rsid w:val="005451E6"/>
    <w:rsid w:val="00546B99"/>
    <w:rsid w:val="00550C2D"/>
    <w:rsid w:val="00550D6C"/>
    <w:rsid w:val="005513F3"/>
    <w:rsid w:val="0055469B"/>
    <w:rsid w:val="00554FA3"/>
    <w:rsid w:val="00561F32"/>
    <w:rsid w:val="005639CB"/>
    <w:rsid w:val="00564D68"/>
    <w:rsid w:val="00566F23"/>
    <w:rsid w:val="005676B5"/>
    <w:rsid w:val="00567E3B"/>
    <w:rsid w:val="005720F1"/>
    <w:rsid w:val="005727D4"/>
    <w:rsid w:val="005746AC"/>
    <w:rsid w:val="005747D6"/>
    <w:rsid w:val="00574E46"/>
    <w:rsid w:val="005825C8"/>
    <w:rsid w:val="0058278B"/>
    <w:rsid w:val="00582AB4"/>
    <w:rsid w:val="00583C5B"/>
    <w:rsid w:val="00583C74"/>
    <w:rsid w:val="005844CF"/>
    <w:rsid w:val="0058491C"/>
    <w:rsid w:val="00584BD1"/>
    <w:rsid w:val="00584FF1"/>
    <w:rsid w:val="00586B9B"/>
    <w:rsid w:val="00590006"/>
    <w:rsid w:val="00590B97"/>
    <w:rsid w:val="00590BA4"/>
    <w:rsid w:val="00594BB0"/>
    <w:rsid w:val="00595526"/>
    <w:rsid w:val="005975BB"/>
    <w:rsid w:val="00597FD5"/>
    <w:rsid w:val="005A1145"/>
    <w:rsid w:val="005A1FBC"/>
    <w:rsid w:val="005A3DEC"/>
    <w:rsid w:val="005A56A8"/>
    <w:rsid w:val="005A5DB9"/>
    <w:rsid w:val="005A733D"/>
    <w:rsid w:val="005B158B"/>
    <w:rsid w:val="005B3DB3"/>
    <w:rsid w:val="005B4918"/>
    <w:rsid w:val="005B54B3"/>
    <w:rsid w:val="005B6AEC"/>
    <w:rsid w:val="005C0AEE"/>
    <w:rsid w:val="005C2223"/>
    <w:rsid w:val="005C28F2"/>
    <w:rsid w:val="005C3F77"/>
    <w:rsid w:val="005C4DE8"/>
    <w:rsid w:val="005C651E"/>
    <w:rsid w:val="005C7188"/>
    <w:rsid w:val="005C7301"/>
    <w:rsid w:val="005C797C"/>
    <w:rsid w:val="005C7A0B"/>
    <w:rsid w:val="005D1C56"/>
    <w:rsid w:val="005D253B"/>
    <w:rsid w:val="005D4459"/>
    <w:rsid w:val="005D4CCA"/>
    <w:rsid w:val="005D534F"/>
    <w:rsid w:val="005D5F9F"/>
    <w:rsid w:val="005D72B0"/>
    <w:rsid w:val="005D746B"/>
    <w:rsid w:val="005D7A1F"/>
    <w:rsid w:val="005E265F"/>
    <w:rsid w:val="005E6F44"/>
    <w:rsid w:val="005E72D4"/>
    <w:rsid w:val="005F04B7"/>
    <w:rsid w:val="005F318F"/>
    <w:rsid w:val="005F4AD1"/>
    <w:rsid w:val="005F5F72"/>
    <w:rsid w:val="005F6176"/>
    <w:rsid w:val="005F6AB5"/>
    <w:rsid w:val="005F70FE"/>
    <w:rsid w:val="00600577"/>
    <w:rsid w:val="00602364"/>
    <w:rsid w:val="00602387"/>
    <w:rsid w:val="006056AC"/>
    <w:rsid w:val="006071DA"/>
    <w:rsid w:val="0061005D"/>
    <w:rsid w:val="00610637"/>
    <w:rsid w:val="006113D5"/>
    <w:rsid w:val="00611C34"/>
    <w:rsid w:val="00613722"/>
    <w:rsid w:val="00614C08"/>
    <w:rsid w:val="0061510E"/>
    <w:rsid w:val="00615D6F"/>
    <w:rsid w:val="0061623D"/>
    <w:rsid w:val="0061693B"/>
    <w:rsid w:val="0061697F"/>
    <w:rsid w:val="006216AC"/>
    <w:rsid w:val="006233AD"/>
    <w:rsid w:val="00630289"/>
    <w:rsid w:val="006315D9"/>
    <w:rsid w:val="00631D3D"/>
    <w:rsid w:val="00632C77"/>
    <w:rsid w:val="0063324C"/>
    <w:rsid w:val="006332EA"/>
    <w:rsid w:val="00634687"/>
    <w:rsid w:val="006351B2"/>
    <w:rsid w:val="0063550E"/>
    <w:rsid w:val="0063637D"/>
    <w:rsid w:val="0064122B"/>
    <w:rsid w:val="00641A39"/>
    <w:rsid w:val="00642F2F"/>
    <w:rsid w:val="006450D1"/>
    <w:rsid w:val="00645C82"/>
    <w:rsid w:val="00647297"/>
    <w:rsid w:val="0065013B"/>
    <w:rsid w:val="00652477"/>
    <w:rsid w:val="00655784"/>
    <w:rsid w:val="0065589F"/>
    <w:rsid w:val="00655A30"/>
    <w:rsid w:val="00656B9B"/>
    <w:rsid w:val="006572C5"/>
    <w:rsid w:val="006573AA"/>
    <w:rsid w:val="0066131C"/>
    <w:rsid w:val="00663444"/>
    <w:rsid w:val="00666206"/>
    <w:rsid w:val="006673C0"/>
    <w:rsid w:val="006707B0"/>
    <w:rsid w:val="00671C10"/>
    <w:rsid w:val="00674677"/>
    <w:rsid w:val="00675029"/>
    <w:rsid w:val="006754E3"/>
    <w:rsid w:val="00675DE9"/>
    <w:rsid w:val="00681AC5"/>
    <w:rsid w:val="00682614"/>
    <w:rsid w:val="0068388A"/>
    <w:rsid w:val="00683AD6"/>
    <w:rsid w:val="00683B9A"/>
    <w:rsid w:val="00683D89"/>
    <w:rsid w:val="006844D8"/>
    <w:rsid w:val="00686CE0"/>
    <w:rsid w:val="00686FA1"/>
    <w:rsid w:val="00690926"/>
    <w:rsid w:val="00690A90"/>
    <w:rsid w:val="006912BE"/>
    <w:rsid w:val="00692C2E"/>
    <w:rsid w:val="00692DF9"/>
    <w:rsid w:val="006938BC"/>
    <w:rsid w:val="00694C78"/>
    <w:rsid w:val="00695BC8"/>
    <w:rsid w:val="006960EF"/>
    <w:rsid w:val="006A05A4"/>
    <w:rsid w:val="006A2A17"/>
    <w:rsid w:val="006A40E9"/>
    <w:rsid w:val="006A4AEE"/>
    <w:rsid w:val="006A69FD"/>
    <w:rsid w:val="006A6E9F"/>
    <w:rsid w:val="006B0008"/>
    <w:rsid w:val="006B0D54"/>
    <w:rsid w:val="006B25A8"/>
    <w:rsid w:val="006B2F9A"/>
    <w:rsid w:val="006B40EC"/>
    <w:rsid w:val="006B57E5"/>
    <w:rsid w:val="006B57F5"/>
    <w:rsid w:val="006B6854"/>
    <w:rsid w:val="006B6CAE"/>
    <w:rsid w:val="006B7C31"/>
    <w:rsid w:val="006C0190"/>
    <w:rsid w:val="006C163B"/>
    <w:rsid w:val="006C3965"/>
    <w:rsid w:val="006C3FCD"/>
    <w:rsid w:val="006C4C9F"/>
    <w:rsid w:val="006C620E"/>
    <w:rsid w:val="006C724E"/>
    <w:rsid w:val="006D0232"/>
    <w:rsid w:val="006D1078"/>
    <w:rsid w:val="006D50D2"/>
    <w:rsid w:val="006D634F"/>
    <w:rsid w:val="006D76C0"/>
    <w:rsid w:val="006E1562"/>
    <w:rsid w:val="006E2C64"/>
    <w:rsid w:val="006E334A"/>
    <w:rsid w:val="006E63D1"/>
    <w:rsid w:val="006E6404"/>
    <w:rsid w:val="006E692D"/>
    <w:rsid w:val="006E7530"/>
    <w:rsid w:val="006E7C45"/>
    <w:rsid w:val="006F0657"/>
    <w:rsid w:val="006F2BF0"/>
    <w:rsid w:val="006F4CF9"/>
    <w:rsid w:val="006F5EED"/>
    <w:rsid w:val="006F771E"/>
    <w:rsid w:val="00701A3C"/>
    <w:rsid w:val="007024E9"/>
    <w:rsid w:val="00702A9C"/>
    <w:rsid w:val="0070307E"/>
    <w:rsid w:val="00703441"/>
    <w:rsid w:val="00707184"/>
    <w:rsid w:val="00707F03"/>
    <w:rsid w:val="00711C2C"/>
    <w:rsid w:val="00712036"/>
    <w:rsid w:val="007123EE"/>
    <w:rsid w:val="00714582"/>
    <w:rsid w:val="007147B5"/>
    <w:rsid w:val="00715588"/>
    <w:rsid w:val="00715F57"/>
    <w:rsid w:val="007221BF"/>
    <w:rsid w:val="00722557"/>
    <w:rsid w:val="007256C8"/>
    <w:rsid w:val="007269FA"/>
    <w:rsid w:val="00730CA3"/>
    <w:rsid w:val="0073132D"/>
    <w:rsid w:val="007342EA"/>
    <w:rsid w:val="00737773"/>
    <w:rsid w:val="00737961"/>
    <w:rsid w:val="0074047A"/>
    <w:rsid w:val="007413B0"/>
    <w:rsid w:val="00744F6B"/>
    <w:rsid w:val="00745227"/>
    <w:rsid w:val="007459CB"/>
    <w:rsid w:val="0074794C"/>
    <w:rsid w:val="007515BB"/>
    <w:rsid w:val="00752104"/>
    <w:rsid w:val="007526B5"/>
    <w:rsid w:val="007527DF"/>
    <w:rsid w:val="00757D87"/>
    <w:rsid w:val="00760643"/>
    <w:rsid w:val="0076162A"/>
    <w:rsid w:val="007619B7"/>
    <w:rsid w:val="0076261C"/>
    <w:rsid w:val="00763130"/>
    <w:rsid w:val="00764B74"/>
    <w:rsid w:val="00764DF4"/>
    <w:rsid w:val="0076656E"/>
    <w:rsid w:val="00766761"/>
    <w:rsid w:val="007668D8"/>
    <w:rsid w:val="00773F0C"/>
    <w:rsid w:val="00774802"/>
    <w:rsid w:val="00775F6B"/>
    <w:rsid w:val="00776598"/>
    <w:rsid w:val="00781DFD"/>
    <w:rsid w:val="007831C2"/>
    <w:rsid w:val="00783EEB"/>
    <w:rsid w:val="00784F6B"/>
    <w:rsid w:val="00785A72"/>
    <w:rsid w:val="00785FE9"/>
    <w:rsid w:val="007863DC"/>
    <w:rsid w:val="00786533"/>
    <w:rsid w:val="0078754A"/>
    <w:rsid w:val="0078761C"/>
    <w:rsid w:val="007879D4"/>
    <w:rsid w:val="007907FE"/>
    <w:rsid w:val="00791A32"/>
    <w:rsid w:val="00791F18"/>
    <w:rsid w:val="00792BD4"/>
    <w:rsid w:val="00792FFE"/>
    <w:rsid w:val="0079333F"/>
    <w:rsid w:val="007960C4"/>
    <w:rsid w:val="00796253"/>
    <w:rsid w:val="00796556"/>
    <w:rsid w:val="007965E8"/>
    <w:rsid w:val="00797BA1"/>
    <w:rsid w:val="007A18BE"/>
    <w:rsid w:val="007A1E55"/>
    <w:rsid w:val="007A31A6"/>
    <w:rsid w:val="007A6B91"/>
    <w:rsid w:val="007B00D8"/>
    <w:rsid w:val="007B04AA"/>
    <w:rsid w:val="007B34E0"/>
    <w:rsid w:val="007B4527"/>
    <w:rsid w:val="007B723C"/>
    <w:rsid w:val="007B753C"/>
    <w:rsid w:val="007C01A5"/>
    <w:rsid w:val="007C3ABB"/>
    <w:rsid w:val="007C3BCA"/>
    <w:rsid w:val="007C3F1C"/>
    <w:rsid w:val="007C42E6"/>
    <w:rsid w:val="007C4302"/>
    <w:rsid w:val="007C49EF"/>
    <w:rsid w:val="007C5611"/>
    <w:rsid w:val="007C5CD4"/>
    <w:rsid w:val="007C5F7D"/>
    <w:rsid w:val="007D049C"/>
    <w:rsid w:val="007D050A"/>
    <w:rsid w:val="007D139F"/>
    <w:rsid w:val="007D174B"/>
    <w:rsid w:val="007D1B27"/>
    <w:rsid w:val="007D21AF"/>
    <w:rsid w:val="007D251B"/>
    <w:rsid w:val="007D4646"/>
    <w:rsid w:val="007D59A4"/>
    <w:rsid w:val="007D6081"/>
    <w:rsid w:val="007D69B5"/>
    <w:rsid w:val="007E0A16"/>
    <w:rsid w:val="007E5219"/>
    <w:rsid w:val="007E6A8C"/>
    <w:rsid w:val="007F4A50"/>
    <w:rsid w:val="007F4C2E"/>
    <w:rsid w:val="007F4F67"/>
    <w:rsid w:val="007F559A"/>
    <w:rsid w:val="007F61A0"/>
    <w:rsid w:val="007F6398"/>
    <w:rsid w:val="007F72D0"/>
    <w:rsid w:val="007F74BB"/>
    <w:rsid w:val="00800B19"/>
    <w:rsid w:val="00800BBA"/>
    <w:rsid w:val="00802B70"/>
    <w:rsid w:val="00804504"/>
    <w:rsid w:val="00804B50"/>
    <w:rsid w:val="00804C08"/>
    <w:rsid w:val="00806E55"/>
    <w:rsid w:val="00807F18"/>
    <w:rsid w:val="00810AB7"/>
    <w:rsid w:val="0081264F"/>
    <w:rsid w:val="008129CB"/>
    <w:rsid w:val="00815416"/>
    <w:rsid w:val="00817E17"/>
    <w:rsid w:val="00820322"/>
    <w:rsid w:val="00821BDD"/>
    <w:rsid w:val="00824043"/>
    <w:rsid w:val="0082610A"/>
    <w:rsid w:val="008274DD"/>
    <w:rsid w:val="00830533"/>
    <w:rsid w:val="008320C7"/>
    <w:rsid w:val="00832EEE"/>
    <w:rsid w:val="00834551"/>
    <w:rsid w:val="00835EA3"/>
    <w:rsid w:val="008374A4"/>
    <w:rsid w:val="00837C07"/>
    <w:rsid w:val="00842517"/>
    <w:rsid w:val="00842C26"/>
    <w:rsid w:val="008433DF"/>
    <w:rsid w:val="00843B16"/>
    <w:rsid w:val="0084720D"/>
    <w:rsid w:val="00851F4E"/>
    <w:rsid w:val="0085238E"/>
    <w:rsid w:val="00852935"/>
    <w:rsid w:val="00855720"/>
    <w:rsid w:val="0085587A"/>
    <w:rsid w:val="008559C2"/>
    <w:rsid w:val="00855CB3"/>
    <w:rsid w:val="008560D2"/>
    <w:rsid w:val="008561A2"/>
    <w:rsid w:val="00856A9A"/>
    <w:rsid w:val="008602B5"/>
    <w:rsid w:val="008619E0"/>
    <w:rsid w:val="00861C34"/>
    <w:rsid w:val="00863E89"/>
    <w:rsid w:val="0086481D"/>
    <w:rsid w:val="008662EA"/>
    <w:rsid w:val="00866D8B"/>
    <w:rsid w:val="008709E0"/>
    <w:rsid w:val="008710C3"/>
    <w:rsid w:val="00871D0F"/>
    <w:rsid w:val="00872A9C"/>
    <w:rsid w:val="008735E3"/>
    <w:rsid w:val="008757C0"/>
    <w:rsid w:val="00875B46"/>
    <w:rsid w:val="00877738"/>
    <w:rsid w:val="00880646"/>
    <w:rsid w:val="00880A86"/>
    <w:rsid w:val="008812B3"/>
    <w:rsid w:val="008835DC"/>
    <w:rsid w:val="008843A3"/>
    <w:rsid w:val="008853AE"/>
    <w:rsid w:val="00885E50"/>
    <w:rsid w:val="00887B44"/>
    <w:rsid w:val="00887F26"/>
    <w:rsid w:val="0089253D"/>
    <w:rsid w:val="008926A2"/>
    <w:rsid w:val="00892BEF"/>
    <w:rsid w:val="00892F69"/>
    <w:rsid w:val="00893F30"/>
    <w:rsid w:val="00895A2D"/>
    <w:rsid w:val="008974EF"/>
    <w:rsid w:val="008A0A48"/>
    <w:rsid w:val="008A0BAC"/>
    <w:rsid w:val="008A0C1E"/>
    <w:rsid w:val="008A145E"/>
    <w:rsid w:val="008A3485"/>
    <w:rsid w:val="008A4152"/>
    <w:rsid w:val="008A46FD"/>
    <w:rsid w:val="008A4833"/>
    <w:rsid w:val="008A545A"/>
    <w:rsid w:val="008A584E"/>
    <w:rsid w:val="008A6117"/>
    <w:rsid w:val="008A7742"/>
    <w:rsid w:val="008B0C2A"/>
    <w:rsid w:val="008B2FA7"/>
    <w:rsid w:val="008B4215"/>
    <w:rsid w:val="008B42CE"/>
    <w:rsid w:val="008B4B38"/>
    <w:rsid w:val="008B543C"/>
    <w:rsid w:val="008B5561"/>
    <w:rsid w:val="008B6AD9"/>
    <w:rsid w:val="008B7122"/>
    <w:rsid w:val="008B7C34"/>
    <w:rsid w:val="008C33E6"/>
    <w:rsid w:val="008C4500"/>
    <w:rsid w:val="008C4AB4"/>
    <w:rsid w:val="008C4EC9"/>
    <w:rsid w:val="008C5371"/>
    <w:rsid w:val="008D0DD3"/>
    <w:rsid w:val="008D3730"/>
    <w:rsid w:val="008D3CBE"/>
    <w:rsid w:val="008D3E82"/>
    <w:rsid w:val="008D4151"/>
    <w:rsid w:val="008D5B63"/>
    <w:rsid w:val="008D6112"/>
    <w:rsid w:val="008D6329"/>
    <w:rsid w:val="008D716D"/>
    <w:rsid w:val="008D7DDE"/>
    <w:rsid w:val="008E0510"/>
    <w:rsid w:val="008E11DC"/>
    <w:rsid w:val="008E1B20"/>
    <w:rsid w:val="008E2A7F"/>
    <w:rsid w:val="008E34C6"/>
    <w:rsid w:val="008E4612"/>
    <w:rsid w:val="008E4F36"/>
    <w:rsid w:val="008E6A7E"/>
    <w:rsid w:val="008E7213"/>
    <w:rsid w:val="008F0814"/>
    <w:rsid w:val="008F2770"/>
    <w:rsid w:val="008F28A6"/>
    <w:rsid w:val="008F32B0"/>
    <w:rsid w:val="008F3C64"/>
    <w:rsid w:val="008F46C0"/>
    <w:rsid w:val="008F54EF"/>
    <w:rsid w:val="008F7391"/>
    <w:rsid w:val="008F7778"/>
    <w:rsid w:val="008F7BBD"/>
    <w:rsid w:val="00900B9A"/>
    <w:rsid w:val="009013CE"/>
    <w:rsid w:val="0090344F"/>
    <w:rsid w:val="0090373A"/>
    <w:rsid w:val="00903A72"/>
    <w:rsid w:val="00905FA9"/>
    <w:rsid w:val="0090624E"/>
    <w:rsid w:val="00913EFB"/>
    <w:rsid w:val="00914736"/>
    <w:rsid w:val="00915389"/>
    <w:rsid w:val="00916AB0"/>
    <w:rsid w:val="00917BA1"/>
    <w:rsid w:val="00920C23"/>
    <w:rsid w:val="00922789"/>
    <w:rsid w:val="00923130"/>
    <w:rsid w:val="009239C0"/>
    <w:rsid w:val="0092427D"/>
    <w:rsid w:val="00924700"/>
    <w:rsid w:val="009250EB"/>
    <w:rsid w:val="009254B1"/>
    <w:rsid w:val="0092635D"/>
    <w:rsid w:val="00926ED0"/>
    <w:rsid w:val="00932B72"/>
    <w:rsid w:val="00933F6F"/>
    <w:rsid w:val="00934066"/>
    <w:rsid w:val="00936BD4"/>
    <w:rsid w:val="00942D5D"/>
    <w:rsid w:val="00943C55"/>
    <w:rsid w:val="009448B6"/>
    <w:rsid w:val="00945595"/>
    <w:rsid w:val="00946193"/>
    <w:rsid w:val="00950B46"/>
    <w:rsid w:val="00951464"/>
    <w:rsid w:val="00951F9E"/>
    <w:rsid w:val="0095361E"/>
    <w:rsid w:val="009561DB"/>
    <w:rsid w:val="00960452"/>
    <w:rsid w:val="00960B8B"/>
    <w:rsid w:val="00963098"/>
    <w:rsid w:val="0096343E"/>
    <w:rsid w:val="009636ED"/>
    <w:rsid w:val="0096622A"/>
    <w:rsid w:val="0096663C"/>
    <w:rsid w:val="00967953"/>
    <w:rsid w:val="00967A27"/>
    <w:rsid w:val="00967E10"/>
    <w:rsid w:val="0097052B"/>
    <w:rsid w:val="00970C3A"/>
    <w:rsid w:val="0097162E"/>
    <w:rsid w:val="0097276D"/>
    <w:rsid w:val="00972BDB"/>
    <w:rsid w:val="00972DAF"/>
    <w:rsid w:val="009733CD"/>
    <w:rsid w:val="00975FBA"/>
    <w:rsid w:val="00976882"/>
    <w:rsid w:val="00976B2C"/>
    <w:rsid w:val="00981287"/>
    <w:rsid w:val="00981B46"/>
    <w:rsid w:val="00981D16"/>
    <w:rsid w:val="00981E18"/>
    <w:rsid w:val="00982563"/>
    <w:rsid w:val="00982580"/>
    <w:rsid w:val="009833DC"/>
    <w:rsid w:val="00984FED"/>
    <w:rsid w:val="00985AF4"/>
    <w:rsid w:val="00987FFD"/>
    <w:rsid w:val="009905FF"/>
    <w:rsid w:val="00991896"/>
    <w:rsid w:val="00991A20"/>
    <w:rsid w:val="0099372D"/>
    <w:rsid w:val="0099577E"/>
    <w:rsid w:val="0099758C"/>
    <w:rsid w:val="009A211E"/>
    <w:rsid w:val="009A2B07"/>
    <w:rsid w:val="009A2FCF"/>
    <w:rsid w:val="009A3A79"/>
    <w:rsid w:val="009A6234"/>
    <w:rsid w:val="009A67FA"/>
    <w:rsid w:val="009A7BA4"/>
    <w:rsid w:val="009B090B"/>
    <w:rsid w:val="009B1062"/>
    <w:rsid w:val="009B2813"/>
    <w:rsid w:val="009B3059"/>
    <w:rsid w:val="009B3FB3"/>
    <w:rsid w:val="009B4A75"/>
    <w:rsid w:val="009B4B88"/>
    <w:rsid w:val="009B5E6C"/>
    <w:rsid w:val="009B630F"/>
    <w:rsid w:val="009B672D"/>
    <w:rsid w:val="009B7F95"/>
    <w:rsid w:val="009C0104"/>
    <w:rsid w:val="009C0290"/>
    <w:rsid w:val="009C067A"/>
    <w:rsid w:val="009C0AB2"/>
    <w:rsid w:val="009C23A6"/>
    <w:rsid w:val="009C2EB3"/>
    <w:rsid w:val="009C2F41"/>
    <w:rsid w:val="009C376B"/>
    <w:rsid w:val="009C4A09"/>
    <w:rsid w:val="009C4D8B"/>
    <w:rsid w:val="009C7456"/>
    <w:rsid w:val="009D10F2"/>
    <w:rsid w:val="009D15CC"/>
    <w:rsid w:val="009D214A"/>
    <w:rsid w:val="009D21CF"/>
    <w:rsid w:val="009D244C"/>
    <w:rsid w:val="009D3147"/>
    <w:rsid w:val="009D349A"/>
    <w:rsid w:val="009D4055"/>
    <w:rsid w:val="009D4095"/>
    <w:rsid w:val="009D4738"/>
    <w:rsid w:val="009D4883"/>
    <w:rsid w:val="009D5BD1"/>
    <w:rsid w:val="009E040C"/>
    <w:rsid w:val="009E05F3"/>
    <w:rsid w:val="009E064C"/>
    <w:rsid w:val="009E11D4"/>
    <w:rsid w:val="009E2F9C"/>
    <w:rsid w:val="009E36AC"/>
    <w:rsid w:val="009E3EB8"/>
    <w:rsid w:val="009E58CE"/>
    <w:rsid w:val="009F0EB9"/>
    <w:rsid w:val="009F21BC"/>
    <w:rsid w:val="009F4C22"/>
    <w:rsid w:val="009F6F5D"/>
    <w:rsid w:val="009F70BE"/>
    <w:rsid w:val="009F7E3B"/>
    <w:rsid w:val="00A006A1"/>
    <w:rsid w:val="00A00EBE"/>
    <w:rsid w:val="00A02697"/>
    <w:rsid w:val="00A054EF"/>
    <w:rsid w:val="00A06144"/>
    <w:rsid w:val="00A15A56"/>
    <w:rsid w:val="00A17EA7"/>
    <w:rsid w:val="00A20A86"/>
    <w:rsid w:val="00A20AA5"/>
    <w:rsid w:val="00A2178B"/>
    <w:rsid w:val="00A24119"/>
    <w:rsid w:val="00A24BF5"/>
    <w:rsid w:val="00A2589F"/>
    <w:rsid w:val="00A26D9F"/>
    <w:rsid w:val="00A3114B"/>
    <w:rsid w:val="00A312D0"/>
    <w:rsid w:val="00A312F2"/>
    <w:rsid w:val="00A34D1E"/>
    <w:rsid w:val="00A365E0"/>
    <w:rsid w:val="00A36E64"/>
    <w:rsid w:val="00A379A9"/>
    <w:rsid w:val="00A4045D"/>
    <w:rsid w:val="00A41F4B"/>
    <w:rsid w:val="00A464A7"/>
    <w:rsid w:val="00A46B2B"/>
    <w:rsid w:val="00A472D1"/>
    <w:rsid w:val="00A475C5"/>
    <w:rsid w:val="00A50B09"/>
    <w:rsid w:val="00A51740"/>
    <w:rsid w:val="00A52078"/>
    <w:rsid w:val="00A52EA3"/>
    <w:rsid w:val="00A537E0"/>
    <w:rsid w:val="00A53D12"/>
    <w:rsid w:val="00A543EF"/>
    <w:rsid w:val="00A549BD"/>
    <w:rsid w:val="00A552DE"/>
    <w:rsid w:val="00A5667B"/>
    <w:rsid w:val="00A6115F"/>
    <w:rsid w:val="00A61206"/>
    <w:rsid w:val="00A61A7D"/>
    <w:rsid w:val="00A62B2B"/>
    <w:rsid w:val="00A63607"/>
    <w:rsid w:val="00A64FC8"/>
    <w:rsid w:val="00A65999"/>
    <w:rsid w:val="00A663E9"/>
    <w:rsid w:val="00A672D2"/>
    <w:rsid w:val="00A67FA4"/>
    <w:rsid w:val="00A71142"/>
    <w:rsid w:val="00A713C7"/>
    <w:rsid w:val="00A73558"/>
    <w:rsid w:val="00A73969"/>
    <w:rsid w:val="00A74A68"/>
    <w:rsid w:val="00A74C61"/>
    <w:rsid w:val="00A7558D"/>
    <w:rsid w:val="00A75769"/>
    <w:rsid w:val="00A765B9"/>
    <w:rsid w:val="00A76A53"/>
    <w:rsid w:val="00A76EF2"/>
    <w:rsid w:val="00A776B7"/>
    <w:rsid w:val="00A77AF4"/>
    <w:rsid w:val="00A8226F"/>
    <w:rsid w:val="00A82D11"/>
    <w:rsid w:val="00A84FDB"/>
    <w:rsid w:val="00A85204"/>
    <w:rsid w:val="00A90260"/>
    <w:rsid w:val="00A921EE"/>
    <w:rsid w:val="00A92989"/>
    <w:rsid w:val="00A9482E"/>
    <w:rsid w:val="00A9484A"/>
    <w:rsid w:val="00A95230"/>
    <w:rsid w:val="00A9799D"/>
    <w:rsid w:val="00A97FBC"/>
    <w:rsid w:val="00AA0B73"/>
    <w:rsid w:val="00AA2C94"/>
    <w:rsid w:val="00AA4A16"/>
    <w:rsid w:val="00AA7088"/>
    <w:rsid w:val="00AA7C21"/>
    <w:rsid w:val="00AB0E49"/>
    <w:rsid w:val="00AB22D0"/>
    <w:rsid w:val="00AB69DC"/>
    <w:rsid w:val="00AB6D30"/>
    <w:rsid w:val="00AB76DB"/>
    <w:rsid w:val="00AC0EEF"/>
    <w:rsid w:val="00AC1007"/>
    <w:rsid w:val="00AC505B"/>
    <w:rsid w:val="00AC5380"/>
    <w:rsid w:val="00AC7787"/>
    <w:rsid w:val="00AC7945"/>
    <w:rsid w:val="00AD2738"/>
    <w:rsid w:val="00AD3723"/>
    <w:rsid w:val="00AD4381"/>
    <w:rsid w:val="00AD6F08"/>
    <w:rsid w:val="00AE1FDF"/>
    <w:rsid w:val="00AE2636"/>
    <w:rsid w:val="00AE55D9"/>
    <w:rsid w:val="00AE5BF4"/>
    <w:rsid w:val="00AE6B7E"/>
    <w:rsid w:val="00AE6D79"/>
    <w:rsid w:val="00AE7907"/>
    <w:rsid w:val="00AF15D2"/>
    <w:rsid w:val="00AF5D3E"/>
    <w:rsid w:val="00B000BC"/>
    <w:rsid w:val="00B03ADD"/>
    <w:rsid w:val="00B0502C"/>
    <w:rsid w:val="00B0598F"/>
    <w:rsid w:val="00B05AAF"/>
    <w:rsid w:val="00B05B64"/>
    <w:rsid w:val="00B05F72"/>
    <w:rsid w:val="00B05FBA"/>
    <w:rsid w:val="00B117EE"/>
    <w:rsid w:val="00B11A76"/>
    <w:rsid w:val="00B130FE"/>
    <w:rsid w:val="00B13109"/>
    <w:rsid w:val="00B159E9"/>
    <w:rsid w:val="00B21148"/>
    <w:rsid w:val="00B2185E"/>
    <w:rsid w:val="00B24490"/>
    <w:rsid w:val="00B27076"/>
    <w:rsid w:val="00B27A25"/>
    <w:rsid w:val="00B27F2F"/>
    <w:rsid w:val="00B30585"/>
    <w:rsid w:val="00B30DF7"/>
    <w:rsid w:val="00B31F0B"/>
    <w:rsid w:val="00B32EB8"/>
    <w:rsid w:val="00B3320C"/>
    <w:rsid w:val="00B3378A"/>
    <w:rsid w:val="00B36BAD"/>
    <w:rsid w:val="00B41421"/>
    <w:rsid w:val="00B41BE6"/>
    <w:rsid w:val="00B44E0E"/>
    <w:rsid w:val="00B44F78"/>
    <w:rsid w:val="00B46CD5"/>
    <w:rsid w:val="00B478AB"/>
    <w:rsid w:val="00B50995"/>
    <w:rsid w:val="00B515AC"/>
    <w:rsid w:val="00B5326E"/>
    <w:rsid w:val="00B5338A"/>
    <w:rsid w:val="00B53C18"/>
    <w:rsid w:val="00B54635"/>
    <w:rsid w:val="00B5497E"/>
    <w:rsid w:val="00B56718"/>
    <w:rsid w:val="00B605BF"/>
    <w:rsid w:val="00B60FE0"/>
    <w:rsid w:val="00B62E83"/>
    <w:rsid w:val="00B64E53"/>
    <w:rsid w:val="00B65C6C"/>
    <w:rsid w:val="00B65DE0"/>
    <w:rsid w:val="00B66679"/>
    <w:rsid w:val="00B7104C"/>
    <w:rsid w:val="00B71974"/>
    <w:rsid w:val="00B71A18"/>
    <w:rsid w:val="00B73264"/>
    <w:rsid w:val="00B73424"/>
    <w:rsid w:val="00B734FB"/>
    <w:rsid w:val="00B7360D"/>
    <w:rsid w:val="00B73E99"/>
    <w:rsid w:val="00B80707"/>
    <w:rsid w:val="00B81B56"/>
    <w:rsid w:val="00B84F25"/>
    <w:rsid w:val="00B85ED9"/>
    <w:rsid w:val="00B87B76"/>
    <w:rsid w:val="00B900CF"/>
    <w:rsid w:val="00B9079F"/>
    <w:rsid w:val="00B9337E"/>
    <w:rsid w:val="00B94906"/>
    <w:rsid w:val="00B96771"/>
    <w:rsid w:val="00B97DEC"/>
    <w:rsid w:val="00BA0CD7"/>
    <w:rsid w:val="00BA172A"/>
    <w:rsid w:val="00BA2C33"/>
    <w:rsid w:val="00BA310E"/>
    <w:rsid w:val="00BA3153"/>
    <w:rsid w:val="00BA3F04"/>
    <w:rsid w:val="00BA4C45"/>
    <w:rsid w:val="00BA4CE2"/>
    <w:rsid w:val="00BA5764"/>
    <w:rsid w:val="00BA57ED"/>
    <w:rsid w:val="00BA7B57"/>
    <w:rsid w:val="00BB1286"/>
    <w:rsid w:val="00BB1BF7"/>
    <w:rsid w:val="00BB2311"/>
    <w:rsid w:val="00BB3221"/>
    <w:rsid w:val="00BB3285"/>
    <w:rsid w:val="00BB6CE4"/>
    <w:rsid w:val="00BB7B78"/>
    <w:rsid w:val="00BB7BA6"/>
    <w:rsid w:val="00BC0264"/>
    <w:rsid w:val="00BC3E29"/>
    <w:rsid w:val="00BC46AB"/>
    <w:rsid w:val="00BC55A3"/>
    <w:rsid w:val="00BC601C"/>
    <w:rsid w:val="00BC6B1D"/>
    <w:rsid w:val="00BC71B8"/>
    <w:rsid w:val="00BD19E0"/>
    <w:rsid w:val="00BD1AA6"/>
    <w:rsid w:val="00BD2D4A"/>
    <w:rsid w:val="00BD55BC"/>
    <w:rsid w:val="00BE1073"/>
    <w:rsid w:val="00BE18EA"/>
    <w:rsid w:val="00BE2FF2"/>
    <w:rsid w:val="00BE369F"/>
    <w:rsid w:val="00BE3905"/>
    <w:rsid w:val="00BE3AD6"/>
    <w:rsid w:val="00BE49E1"/>
    <w:rsid w:val="00BE5056"/>
    <w:rsid w:val="00BE52A1"/>
    <w:rsid w:val="00BE6A7C"/>
    <w:rsid w:val="00BF0689"/>
    <w:rsid w:val="00BF1876"/>
    <w:rsid w:val="00BF18BF"/>
    <w:rsid w:val="00BF19CC"/>
    <w:rsid w:val="00BF1BFE"/>
    <w:rsid w:val="00BF20E8"/>
    <w:rsid w:val="00BF2E09"/>
    <w:rsid w:val="00BF302D"/>
    <w:rsid w:val="00BF4730"/>
    <w:rsid w:val="00BF5140"/>
    <w:rsid w:val="00BF7A36"/>
    <w:rsid w:val="00C023FA"/>
    <w:rsid w:val="00C02DA8"/>
    <w:rsid w:val="00C03532"/>
    <w:rsid w:val="00C04237"/>
    <w:rsid w:val="00C05CF4"/>
    <w:rsid w:val="00C06AFC"/>
    <w:rsid w:val="00C06D6C"/>
    <w:rsid w:val="00C101D5"/>
    <w:rsid w:val="00C13B96"/>
    <w:rsid w:val="00C14205"/>
    <w:rsid w:val="00C15099"/>
    <w:rsid w:val="00C158E0"/>
    <w:rsid w:val="00C15BC5"/>
    <w:rsid w:val="00C17127"/>
    <w:rsid w:val="00C176B0"/>
    <w:rsid w:val="00C17B96"/>
    <w:rsid w:val="00C211B1"/>
    <w:rsid w:val="00C21227"/>
    <w:rsid w:val="00C21AE6"/>
    <w:rsid w:val="00C2221C"/>
    <w:rsid w:val="00C22504"/>
    <w:rsid w:val="00C23ECB"/>
    <w:rsid w:val="00C2414E"/>
    <w:rsid w:val="00C27A53"/>
    <w:rsid w:val="00C33070"/>
    <w:rsid w:val="00C33CA4"/>
    <w:rsid w:val="00C35362"/>
    <w:rsid w:val="00C359DD"/>
    <w:rsid w:val="00C35AD2"/>
    <w:rsid w:val="00C35E45"/>
    <w:rsid w:val="00C3796E"/>
    <w:rsid w:val="00C404C1"/>
    <w:rsid w:val="00C4151F"/>
    <w:rsid w:val="00C41E29"/>
    <w:rsid w:val="00C44654"/>
    <w:rsid w:val="00C5043D"/>
    <w:rsid w:val="00C52F47"/>
    <w:rsid w:val="00C55E2D"/>
    <w:rsid w:val="00C577FF"/>
    <w:rsid w:val="00C57E7E"/>
    <w:rsid w:val="00C57F56"/>
    <w:rsid w:val="00C61096"/>
    <w:rsid w:val="00C635E5"/>
    <w:rsid w:val="00C658AE"/>
    <w:rsid w:val="00C6625F"/>
    <w:rsid w:val="00C674B6"/>
    <w:rsid w:val="00C675A9"/>
    <w:rsid w:val="00C70291"/>
    <w:rsid w:val="00C7040F"/>
    <w:rsid w:val="00C7110F"/>
    <w:rsid w:val="00C713BE"/>
    <w:rsid w:val="00C718FC"/>
    <w:rsid w:val="00C71B6B"/>
    <w:rsid w:val="00C73241"/>
    <w:rsid w:val="00C736C8"/>
    <w:rsid w:val="00C74AB0"/>
    <w:rsid w:val="00C761B4"/>
    <w:rsid w:val="00C772C7"/>
    <w:rsid w:val="00C80FE0"/>
    <w:rsid w:val="00C81876"/>
    <w:rsid w:val="00C83AF8"/>
    <w:rsid w:val="00C84163"/>
    <w:rsid w:val="00C850E9"/>
    <w:rsid w:val="00C87CB5"/>
    <w:rsid w:val="00C87D85"/>
    <w:rsid w:val="00C90681"/>
    <w:rsid w:val="00C908E0"/>
    <w:rsid w:val="00C929F2"/>
    <w:rsid w:val="00C94078"/>
    <w:rsid w:val="00C950E6"/>
    <w:rsid w:val="00C9585A"/>
    <w:rsid w:val="00C979A1"/>
    <w:rsid w:val="00CA0557"/>
    <w:rsid w:val="00CA0A1F"/>
    <w:rsid w:val="00CA134A"/>
    <w:rsid w:val="00CA2A6C"/>
    <w:rsid w:val="00CA492F"/>
    <w:rsid w:val="00CA4EB1"/>
    <w:rsid w:val="00CA53C4"/>
    <w:rsid w:val="00CA5EE6"/>
    <w:rsid w:val="00CB0183"/>
    <w:rsid w:val="00CB0FD5"/>
    <w:rsid w:val="00CB1DC2"/>
    <w:rsid w:val="00CB2698"/>
    <w:rsid w:val="00CB29A8"/>
    <w:rsid w:val="00CB3146"/>
    <w:rsid w:val="00CB34ED"/>
    <w:rsid w:val="00CB4833"/>
    <w:rsid w:val="00CB67B8"/>
    <w:rsid w:val="00CC1C4C"/>
    <w:rsid w:val="00CC5E9B"/>
    <w:rsid w:val="00CC673F"/>
    <w:rsid w:val="00CC67BC"/>
    <w:rsid w:val="00CD0DEB"/>
    <w:rsid w:val="00CD1983"/>
    <w:rsid w:val="00CD274A"/>
    <w:rsid w:val="00CD5B8C"/>
    <w:rsid w:val="00CD781C"/>
    <w:rsid w:val="00CE5A79"/>
    <w:rsid w:val="00CE5DF7"/>
    <w:rsid w:val="00CE7463"/>
    <w:rsid w:val="00CF4783"/>
    <w:rsid w:val="00CF7852"/>
    <w:rsid w:val="00CF7ECF"/>
    <w:rsid w:val="00D00A49"/>
    <w:rsid w:val="00D01429"/>
    <w:rsid w:val="00D03DFC"/>
    <w:rsid w:val="00D0473F"/>
    <w:rsid w:val="00D04B57"/>
    <w:rsid w:val="00D0576F"/>
    <w:rsid w:val="00D062AC"/>
    <w:rsid w:val="00D06462"/>
    <w:rsid w:val="00D0662F"/>
    <w:rsid w:val="00D076C3"/>
    <w:rsid w:val="00D11DEE"/>
    <w:rsid w:val="00D11DF3"/>
    <w:rsid w:val="00D13FC3"/>
    <w:rsid w:val="00D14169"/>
    <w:rsid w:val="00D145A7"/>
    <w:rsid w:val="00D14612"/>
    <w:rsid w:val="00D151C7"/>
    <w:rsid w:val="00D15CE5"/>
    <w:rsid w:val="00D1626A"/>
    <w:rsid w:val="00D16C4C"/>
    <w:rsid w:val="00D17696"/>
    <w:rsid w:val="00D20A0F"/>
    <w:rsid w:val="00D21556"/>
    <w:rsid w:val="00D21C17"/>
    <w:rsid w:val="00D22F28"/>
    <w:rsid w:val="00D24204"/>
    <w:rsid w:val="00D24500"/>
    <w:rsid w:val="00D256E0"/>
    <w:rsid w:val="00D25DAF"/>
    <w:rsid w:val="00D26139"/>
    <w:rsid w:val="00D27F46"/>
    <w:rsid w:val="00D32181"/>
    <w:rsid w:val="00D356E1"/>
    <w:rsid w:val="00D36ED3"/>
    <w:rsid w:val="00D4067B"/>
    <w:rsid w:val="00D412D8"/>
    <w:rsid w:val="00D41834"/>
    <w:rsid w:val="00D4189F"/>
    <w:rsid w:val="00D42E88"/>
    <w:rsid w:val="00D43019"/>
    <w:rsid w:val="00D4328F"/>
    <w:rsid w:val="00D44492"/>
    <w:rsid w:val="00D44C6B"/>
    <w:rsid w:val="00D44CFC"/>
    <w:rsid w:val="00D464CF"/>
    <w:rsid w:val="00D4709A"/>
    <w:rsid w:val="00D47AB8"/>
    <w:rsid w:val="00D51201"/>
    <w:rsid w:val="00D53839"/>
    <w:rsid w:val="00D53A3F"/>
    <w:rsid w:val="00D5489C"/>
    <w:rsid w:val="00D54FF1"/>
    <w:rsid w:val="00D551AF"/>
    <w:rsid w:val="00D619C8"/>
    <w:rsid w:val="00D63011"/>
    <w:rsid w:val="00D6393B"/>
    <w:rsid w:val="00D64A87"/>
    <w:rsid w:val="00D66052"/>
    <w:rsid w:val="00D666B3"/>
    <w:rsid w:val="00D66886"/>
    <w:rsid w:val="00D669DB"/>
    <w:rsid w:val="00D71591"/>
    <w:rsid w:val="00D71FC9"/>
    <w:rsid w:val="00D721C4"/>
    <w:rsid w:val="00D7223E"/>
    <w:rsid w:val="00D72303"/>
    <w:rsid w:val="00D732BD"/>
    <w:rsid w:val="00D735C6"/>
    <w:rsid w:val="00D7572C"/>
    <w:rsid w:val="00D77ADB"/>
    <w:rsid w:val="00D77B2B"/>
    <w:rsid w:val="00D80A8C"/>
    <w:rsid w:val="00D81A02"/>
    <w:rsid w:val="00D830DF"/>
    <w:rsid w:val="00D8313D"/>
    <w:rsid w:val="00D83A2F"/>
    <w:rsid w:val="00D84B7B"/>
    <w:rsid w:val="00D8532D"/>
    <w:rsid w:val="00D907B9"/>
    <w:rsid w:val="00D90870"/>
    <w:rsid w:val="00D924D8"/>
    <w:rsid w:val="00D92CC9"/>
    <w:rsid w:val="00D92DE6"/>
    <w:rsid w:val="00D93094"/>
    <w:rsid w:val="00D932C2"/>
    <w:rsid w:val="00D936FC"/>
    <w:rsid w:val="00D946C5"/>
    <w:rsid w:val="00D94BE3"/>
    <w:rsid w:val="00D958B2"/>
    <w:rsid w:val="00DA0CC2"/>
    <w:rsid w:val="00DA40FA"/>
    <w:rsid w:val="00DA5D28"/>
    <w:rsid w:val="00DA64C7"/>
    <w:rsid w:val="00DA6575"/>
    <w:rsid w:val="00DA7FE5"/>
    <w:rsid w:val="00DB095F"/>
    <w:rsid w:val="00DB1DC6"/>
    <w:rsid w:val="00DB2FA0"/>
    <w:rsid w:val="00DB52B6"/>
    <w:rsid w:val="00DC0356"/>
    <w:rsid w:val="00DC039E"/>
    <w:rsid w:val="00DC07B9"/>
    <w:rsid w:val="00DC1A43"/>
    <w:rsid w:val="00DC2006"/>
    <w:rsid w:val="00DC4A83"/>
    <w:rsid w:val="00DC620F"/>
    <w:rsid w:val="00DC7808"/>
    <w:rsid w:val="00DC7E57"/>
    <w:rsid w:val="00DD0555"/>
    <w:rsid w:val="00DD06C3"/>
    <w:rsid w:val="00DD0F5D"/>
    <w:rsid w:val="00DD12AC"/>
    <w:rsid w:val="00DD1C07"/>
    <w:rsid w:val="00DD1CE7"/>
    <w:rsid w:val="00DD2D22"/>
    <w:rsid w:val="00DD2E1D"/>
    <w:rsid w:val="00DD335F"/>
    <w:rsid w:val="00DD4F96"/>
    <w:rsid w:val="00DD656D"/>
    <w:rsid w:val="00DE0CD4"/>
    <w:rsid w:val="00DE1780"/>
    <w:rsid w:val="00DE2271"/>
    <w:rsid w:val="00DE3132"/>
    <w:rsid w:val="00DE5608"/>
    <w:rsid w:val="00DE5CB6"/>
    <w:rsid w:val="00DE6C7A"/>
    <w:rsid w:val="00DE7409"/>
    <w:rsid w:val="00DF08A6"/>
    <w:rsid w:val="00DF3253"/>
    <w:rsid w:val="00DF3EE4"/>
    <w:rsid w:val="00DF40CA"/>
    <w:rsid w:val="00DF521B"/>
    <w:rsid w:val="00DF7023"/>
    <w:rsid w:val="00DF7D1C"/>
    <w:rsid w:val="00E003B9"/>
    <w:rsid w:val="00E02837"/>
    <w:rsid w:val="00E029A0"/>
    <w:rsid w:val="00E04D68"/>
    <w:rsid w:val="00E05966"/>
    <w:rsid w:val="00E07986"/>
    <w:rsid w:val="00E110A0"/>
    <w:rsid w:val="00E140CC"/>
    <w:rsid w:val="00E1411A"/>
    <w:rsid w:val="00E163AE"/>
    <w:rsid w:val="00E17AE9"/>
    <w:rsid w:val="00E17C42"/>
    <w:rsid w:val="00E21F21"/>
    <w:rsid w:val="00E240B5"/>
    <w:rsid w:val="00E26AB4"/>
    <w:rsid w:val="00E26C74"/>
    <w:rsid w:val="00E26D86"/>
    <w:rsid w:val="00E35114"/>
    <w:rsid w:val="00E3624F"/>
    <w:rsid w:val="00E37A82"/>
    <w:rsid w:val="00E4034E"/>
    <w:rsid w:val="00E42575"/>
    <w:rsid w:val="00E433DC"/>
    <w:rsid w:val="00E443CC"/>
    <w:rsid w:val="00E4569A"/>
    <w:rsid w:val="00E46891"/>
    <w:rsid w:val="00E50C36"/>
    <w:rsid w:val="00E51A66"/>
    <w:rsid w:val="00E52686"/>
    <w:rsid w:val="00E53518"/>
    <w:rsid w:val="00E53535"/>
    <w:rsid w:val="00E55B8D"/>
    <w:rsid w:val="00E57991"/>
    <w:rsid w:val="00E57BED"/>
    <w:rsid w:val="00E6064E"/>
    <w:rsid w:val="00E6142C"/>
    <w:rsid w:val="00E61657"/>
    <w:rsid w:val="00E61CEB"/>
    <w:rsid w:val="00E639B2"/>
    <w:rsid w:val="00E64C91"/>
    <w:rsid w:val="00E6657C"/>
    <w:rsid w:val="00E67811"/>
    <w:rsid w:val="00E70B7E"/>
    <w:rsid w:val="00E7146D"/>
    <w:rsid w:val="00E73612"/>
    <w:rsid w:val="00E74243"/>
    <w:rsid w:val="00E74796"/>
    <w:rsid w:val="00E762C2"/>
    <w:rsid w:val="00E7755F"/>
    <w:rsid w:val="00E80061"/>
    <w:rsid w:val="00E825D1"/>
    <w:rsid w:val="00E8319A"/>
    <w:rsid w:val="00E83899"/>
    <w:rsid w:val="00E855BC"/>
    <w:rsid w:val="00E85BB3"/>
    <w:rsid w:val="00E8688E"/>
    <w:rsid w:val="00E86BD9"/>
    <w:rsid w:val="00E86CB9"/>
    <w:rsid w:val="00E87724"/>
    <w:rsid w:val="00E878F0"/>
    <w:rsid w:val="00E90524"/>
    <w:rsid w:val="00E92422"/>
    <w:rsid w:val="00E952B0"/>
    <w:rsid w:val="00E968EE"/>
    <w:rsid w:val="00E978D3"/>
    <w:rsid w:val="00E97A23"/>
    <w:rsid w:val="00EA000D"/>
    <w:rsid w:val="00EA0519"/>
    <w:rsid w:val="00EA1552"/>
    <w:rsid w:val="00EA3D9A"/>
    <w:rsid w:val="00EA50F7"/>
    <w:rsid w:val="00EA6C2A"/>
    <w:rsid w:val="00EA7576"/>
    <w:rsid w:val="00EB1837"/>
    <w:rsid w:val="00EB37B5"/>
    <w:rsid w:val="00EB388C"/>
    <w:rsid w:val="00EB486C"/>
    <w:rsid w:val="00EB5B5F"/>
    <w:rsid w:val="00EC2114"/>
    <w:rsid w:val="00EC33EC"/>
    <w:rsid w:val="00EC5B6D"/>
    <w:rsid w:val="00EC640D"/>
    <w:rsid w:val="00ED1C9F"/>
    <w:rsid w:val="00ED2570"/>
    <w:rsid w:val="00ED26F5"/>
    <w:rsid w:val="00ED29CF"/>
    <w:rsid w:val="00ED3740"/>
    <w:rsid w:val="00ED40CC"/>
    <w:rsid w:val="00ED4CD2"/>
    <w:rsid w:val="00ED564B"/>
    <w:rsid w:val="00ED59AE"/>
    <w:rsid w:val="00ED7AB3"/>
    <w:rsid w:val="00EE32AA"/>
    <w:rsid w:val="00EE3C6A"/>
    <w:rsid w:val="00EE4465"/>
    <w:rsid w:val="00EE4AA1"/>
    <w:rsid w:val="00EE528F"/>
    <w:rsid w:val="00EE562D"/>
    <w:rsid w:val="00EE5790"/>
    <w:rsid w:val="00EE6337"/>
    <w:rsid w:val="00EE7D3B"/>
    <w:rsid w:val="00EE7FBC"/>
    <w:rsid w:val="00EF03A9"/>
    <w:rsid w:val="00EF1D60"/>
    <w:rsid w:val="00EF27A2"/>
    <w:rsid w:val="00EF4DC2"/>
    <w:rsid w:val="00EF55D2"/>
    <w:rsid w:val="00EF5E48"/>
    <w:rsid w:val="00EF70FF"/>
    <w:rsid w:val="00F03C66"/>
    <w:rsid w:val="00F052E6"/>
    <w:rsid w:val="00F06E7F"/>
    <w:rsid w:val="00F07062"/>
    <w:rsid w:val="00F114C0"/>
    <w:rsid w:val="00F11566"/>
    <w:rsid w:val="00F142D6"/>
    <w:rsid w:val="00F159B8"/>
    <w:rsid w:val="00F15BFD"/>
    <w:rsid w:val="00F21C92"/>
    <w:rsid w:val="00F222A7"/>
    <w:rsid w:val="00F22B4E"/>
    <w:rsid w:val="00F239A3"/>
    <w:rsid w:val="00F248B1"/>
    <w:rsid w:val="00F27C92"/>
    <w:rsid w:val="00F321B3"/>
    <w:rsid w:val="00F348BD"/>
    <w:rsid w:val="00F355AB"/>
    <w:rsid w:val="00F368DE"/>
    <w:rsid w:val="00F36E1A"/>
    <w:rsid w:val="00F37ACF"/>
    <w:rsid w:val="00F40183"/>
    <w:rsid w:val="00F41DE5"/>
    <w:rsid w:val="00F42379"/>
    <w:rsid w:val="00F42766"/>
    <w:rsid w:val="00F42D3B"/>
    <w:rsid w:val="00F42FC7"/>
    <w:rsid w:val="00F43821"/>
    <w:rsid w:val="00F4743E"/>
    <w:rsid w:val="00F47AA4"/>
    <w:rsid w:val="00F54166"/>
    <w:rsid w:val="00F542FE"/>
    <w:rsid w:val="00F547B4"/>
    <w:rsid w:val="00F55F82"/>
    <w:rsid w:val="00F56F4C"/>
    <w:rsid w:val="00F5788D"/>
    <w:rsid w:val="00F6034A"/>
    <w:rsid w:val="00F604EC"/>
    <w:rsid w:val="00F60918"/>
    <w:rsid w:val="00F6121C"/>
    <w:rsid w:val="00F62A5C"/>
    <w:rsid w:val="00F63716"/>
    <w:rsid w:val="00F63DD7"/>
    <w:rsid w:val="00F6426E"/>
    <w:rsid w:val="00F64913"/>
    <w:rsid w:val="00F65198"/>
    <w:rsid w:val="00F70529"/>
    <w:rsid w:val="00F71578"/>
    <w:rsid w:val="00F733D0"/>
    <w:rsid w:val="00F75060"/>
    <w:rsid w:val="00F75D04"/>
    <w:rsid w:val="00F7666B"/>
    <w:rsid w:val="00F76DF1"/>
    <w:rsid w:val="00F8005C"/>
    <w:rsid w:val="00F80B74"/>
    <w:rsid w:val="00F81401"/>
    <w:rsid w:val="00F8195C"/>
    <w:rsid w:val="00F81D91"/>
    <w:rsid w:val="00F823DE"/>
    <w:rsid w:val="00F8264B"/>
    <w:rsid w:val="00F82F14"/>
    <w:rsid w:val="00F8372B"/>
    <w:rsid w:val="00F84151"/>
    <w:rsid w:val="00F84D9D"/>
    <w:rsid w:val="00F86BC9"/>
    <w:rsid w:val="00F87004"/>
    <w:rsid w:val="00F87136"/>
    <w:rsid w:val="00F90F15"/>
    <w:rsid w:val="00F926AE"/>
    <w:rsid w:val="00F94006"/>
    <w:rsid w:val="00F962AB"/>
    <w:rsid w:val="00F962E6"/>
    <w:rsid w:val="00FA0534"/>
    <w:rsid w:val="00FA079B"/>
    <w:rsid w:val="00FA0E4F"/>
    <w:rsid w:val="00FA2C95"/>
    <w:rsid w:val="00FA2CB3"/>
    <w:rsid w:val="00FA685D"/>
    <w:rsid w:val="00FA6D82"/>
    <w:rsid w:val="00FB13F4"/>
    <w:rsid w:val="00FB1BD0"/>
    <w:rsid w:val="00FB243C"/>
    <w:rsid w:val="00FB2479"/>
    <w:rsid w:val="00FB2C19"/>
    <w:rsid w:val="00FB492B"/>
    <w:rsid w:val="00FB53A2"/>
    <w:rsid w:val="00FB57A8"/>
    <w:rsid w:val="00FB6653"/>
    <w:rsid w:val="00FB6742"/>
    <w:rsid w:val="00FC0119"/>
    <w:rsid w:val="00FC16E8"/>
    <w:rsid w:val="00FC1B1A"/>
    <w:rsid w:val="00FC258B"/>
    <w:rsid w:val="00FC29B0"/>
    <w:rsid w:val="00FC2DC0"/>
    <w:rsid w:val="00FC4224"/>
    <w:rsid w:val="00FC4CE5"/>
    <w:rsid w:val="00FC647D"/>
    <w:rsid w:val="00FC6FED"/>
    <w:rsid w:val="00FD079F"/>
    <w:rsid w:val="00FD23E9"/>
    <w:rsid w:val="00FD240A"/>
    <w:rsid w:val="00FD24AB"/>
    <w:rsid w:val="00FD44F7"/>
    <w:rsid w:val="00FD45AA"/>
    <w:rsid w:val="00FD5C71"/>
    <w:rsid w:val="00FD63C7"/>
    <w:rsid w:val="00FD7159"/>
    <w:rsid w:val="00FD7DE2"/>
    <w:rsid w:val="00FE108F"/>
    <w:rsid w:val="00FE355D"/>
    <w:rsid w:val="00FE5BCC"/>
    <w:rsid w:val="00FE6903"/>
    <w:rsid w:val="00FE78AC"/>
    <w:rsid w:val="00FE7EA2"/>
    <w:rsid w:val="00FF179E"/>
    <w:rsid w:val="00FF2287"/>
    <w:rsid w:val="00FF3AA5"/>
    <w:rsid w:val="00FF3B0D"/>
    <w:rsid w:val="00FF4DCC"/>
    <w:rsid w:val="00FF5B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7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2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57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1C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876"/>
    <w:pPr>
      <w:ind w:left="720"/>
      <w:contextualSpacing/>
    </w:pPr>
  </w:style>
  <w:style w:type="character" w:customStyle="1" w:styleId="Heading1Char">
    <w:name w:val="Heading 1 Char"/>
    <w:basedOn w:val="DefaultParagraphFont"/>
    <w:link w:val="Heading1"/>
    <w:uiPriority w:val="9"/>
    <w:rsid w:val="000763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290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73"/>
  </w:style>
  <w:style w:type="paragraph" w:styleId="Footer">
    <w:name w:val="footer"/>
    <w:basedOn w:val="Normal"/>
    <w:link w:val="FooterChar"/>
    <w:uiPriority w:val="99"/>
    <w:unhideWhenUsed/>
    <w:rsid w:val="0008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73"/>
  </w:style>
  <w:style w:type="paragraph" w:customStyle="1" w:styleId="DecimalAligned">
    <w:name w:val="Decimal Aligned"/>
    <w:basedOn w:val="Normal"/>
    <w:uiPriority w:val="40"/>
    <w:qFormat/>
    <w:rsid w:val="00EE3C6A"/>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E3C6A"/>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E3C6A"/>
    <w:rPr>
      <w:rFonts w:eastAsiaTheme="minorEastAsia" w:cs="Times New Roman"/>
      <w:sz w:val="20"/>
      <w:szCs w:val="20"/>
      <w:lang w:val="en-US"/>
    </w:rPr>
  </w:style>
  <w:style w:type="character" w:styleId="SubtleEmphasis">
    <w:name w:val="Subtle Emphasis"/>
    <w:basedOn w:val="DefaultParagraphFont"/>
    <w:uiPriority w:val="19"/>
    <w:qFormat/>
    <w:rsid w:val="00EE3C6A"/>
    <w:rPr>
      <w:i/>
      <w:iCs/>
    </w:rPr>
  </w:style>
  <w:style w:type="table" w:styleId="MediumShading2-Accent5">
    <w:name w:val="Medium Shading 2 Accent 5"/>
    <w:basedOn w:val="TableNormal"/>
    <w:uiPriority w:val="64"/>
    <w:rsid w:val="00EE3C6A"/>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EE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PlainTable4"/>
    <w:uiPriority w:val="99"/>
    <w:rsid w:val="006A4AEE"/>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Grid8"/>
    <w:uiPriority w:val="99"/>
    <w:rsid w:val="00ED4CD2"/>
    <w:pPr>
      <w:spacing w:after="0" w:line="240" w:lineRule="auto"/>
    </w:p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3">
    <w:name w:val="Style3"/>
    <w:basedOn w:val="TableList7"/>
    <w:uiPriority w:val="99"/>
    <w:rsid w:val="000F38A8"/>
    <w:pPr>
      <w:spacing w:after="0" w:line="240" w:lineRule="auto"/>
    </w:pP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lainTable4">
    <w:name w:val="Plain Table 4"/>
    <w:basedOn w:val="TableNormal"/>
    <w:uiPriority w:val="44"/>
    <w:rsid w:val="006A4A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8">
    <w:name w:val="Table Grid 8"/>
    <w:basedOn w:val="TableNormal"/>
    <w:uiPriority w:val="99"/>
    <w:semiHidden/>
    <w:unhideWhenUsed/>
    <w:rsid w:val="00ED4C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List2-Accent1">
    <w:name w:val="Medium List 2 Accent 1"/>
    <w:basedOn w:val="TableNormal"/>
    <w:uiPriority w:val="66"/>
    <w:rsid w:val="00E8389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7">
    <w:name w:val="Table List 7"/>
    <w:basedOn w:val="TableNormal"/>
    <w:uiPriority w:val="99"/>
    <w:semiHidden/>
    <w:unhideWhenUsed/>
    <w:rsid w:val="000F38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ghtShading-Accent1">
    <w:name w:val="Light Shading Accent 1"/>
    <w:basedOn w:val="TableNormal"/>
    <w:uiPriority w:val="60"/>
    <w:rsid w:val="009A2FCF"/>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3Char">
    <w:name w:val="Heading 3 Char"/>
    <w:basedOn w:val="DefaultParagraphFont"/>
    <w:link w:val="Heading3"/>
    <w:uiPriority w:val="9"/>
    <w:rsid w:val="0099577E"/>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7221B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221BF"/>
    <w:pPr>
      <w:spacing w:after="0"/>
      <w:ind w:left="440" w:hanging="440"/>
    </w:pPr>
    <w:rPr>
      <w:rFonts w:cstheme="minorHAnsi"/>
      <w:smallCaps/>
      <w:sz w:val="20"/>
      <w:szCs w:val="20"/>
    </w:rPr>
  </w:style>
  <w:style w:type="character" w:styleId="FootnoteReference">
    <w:name w:val="footnote reference"/>
    <w:basedOn w:val="DefaultParagraphFont"/>
    <w:uiPriority w:val="99"/>
    <w:semiHidden/>
    <w:unhideWhenUsed/>
    <w:rsid w:val="00211379"/>
    <w:rPr>
      <w:vertAlign w:val="superscript"/>
    </w:rPr>
  </w:style>
  <w:style w:type="character" w:styleId="Hyperlink">
    <w:name w:val="Hyperlink"/>
    <w:basedOn w:val="DefaultParagraphFont"/>
    <w:uiPriority w:val="99"/>
    <w:unhideWhenUsed/>
    <w:rsid w:val="00012078"/>
    <w:rPr>
      <w:color w:val="0563C1" w:themeColor="hyperlink"/>
      <w:u w:val="single"/>
    </w:rPr>
  </w:style>
  <w:style w:type="table" w:styleId="LightList">
    <w:name w:val="Light List"/>
    <w:basedOn w:val="TableNormal"/>
    <w:uiPriority w:val="61"/>
    <w:rsid w:val="005E6F4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39"/>
    <w:rsid w:val="001B0B4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41C3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835DC"/>
    <w:rPr>
      <w:sz w:val="16"/>
      <w:szCs w:val="16"/>
    </w:rPr>
  </w:style>
  <w:style w:type="paragraph" w:styleId="CommentText">
    <w:name w:val="annotation text"/>
    <w:basedOn w:val="Normal"/>
    <w:link w:val="CommentTextChar"/>
    <w:uiPriority w:val="99"/>
    <w:unhideWhenUsed/>
    <w:rsid w:val="008835DC"/>
    <w:pPr>
      <w:spacing w:line="240" w:lineRule="auto"/>
    </w:pPr>
    <w:rPr>
      <w:sz w:val="20"/>
      <w:szCs w:val="20"/>
    </w:rPr>
  </w:style>
  <w:style w:type="character" w:customStyle="1" w:styleId="CommentTextChar">
    <w:name w:val="Comment Text Char"/>
    <w:basedOn w:val="DefaultParagraphFont"/>
    <w:link w:val="CommentText"/>
    <w:uiPriority w:val="99"/>
    <w:rsid w:val="008835DC"/>
    <w:rPr>
      <w:sz w:val="20"/>
      <w:szCs w:val="20"/>
    </w:rPr>
  </w:style>
  <w:style w:type="paragraph" w:styleId="CommentSubject">
    <w:name w:val="annotation subject"/>
    <w:basedOn w:val="CommentText"/>
    <w:next w:val="CommentText"/>
    <w:link w:val="CommentSubjectChar"/>
    <w:uiPriority w:val="99"/>
    <w:semiHidden/>
    <w:unhideWhenUsed/>
    <w:rsid w:val="008835DC"/>
    <w:rPr>
      <w:b/>
      <w:bCs/>
    </w:rPr>
  </w:style>
  <w:style w:type="character" w:customStyle="1" w:styleId="CommentSubjectChar">
    <w:name w:val="Comment Subject Char"/>
    <w:basedOn w:val="CommentTextChar"/>
    <w:link w:val="CommentSubject"/>
    <w:uiPriority w:val="99"/>
    <w:semiHidden/>
    <w:rsid w:val="008835DC"/>
    <w:rPr>
      <w:b/>
      <w:bCs/>
      <w:sz w:val="20"/>
      <w:szCs w:val="20"/>
    </w:rPr>
  </w:style>
  <w:style w:type="paragraph" w:customStyle="1" w:styleId="equation">
    <w:name w:val="equation"/>
    <w:basedOn w:val="Normal"/>
    <w:rsid w:val="003E5A88"/>
    <w:pPr>
      <w:tabs>
        <w:tab w:val="center" w:pos="2520"/>
        <w:tab w:val="right" w:pos="5040"/>
      </w:tabs>
      <w:spacing w:before="240" w:after="240" w:line="216" w:lineRule="auto"/>
      <w:jc w:val="center"/>
    </w:pPr>
    <w:rPr>
      <w:rFonts w:ascii="Symbol" w:hAnsi="Symbol" w:cs="Symbol"/>
      <w:sz w:val="20"/>
      <w:szCs w:val="20"/>
    </w:rPr>
  </w:style>
  <w:style w:type="paragraph" w:styleId="Revision">
    <w:name w:val="Revision"/>
    <w:hidden/>
    <w:uiPriority w:val="99"/>
    <w:semiHidden/>
    <w:rsid w:val="001C67E5"/>
    <w:pPr>
      <w:spacing w:after="0" w:line="240" w:lineRule="auto"/>
    </w:pPr>
  </w:style>
  <w:style w:type="character" w:styleId="Emphasis">
    <w:name w:val="Emphasis"/>
    <w:basedOn w:val="DefaultParagraphFont"/>
    <w:uiPriority w:val="20"/>
    <w:qFormat/>
    <w:rsid w:val="00BB1BF7"/>
    <w:rPr>
      <w:i/>
      <w:iCs/>
    </w:rPr>
  </w:style>
  <w:style w:type="character" w:styleId="PlaceholderText">
    <w:name w:val="Placeholder Text"/>
    <w:basedOn w:val="DefaultParagraphFont"/>
    <w:uiPriority w:val="99"/>
    <w:semiHidden/>
    <w:rsid w:val="00051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6453">
      <w:bodyDiv w:val="1"/>
      <w:marLeft w:val="0"/>
      <w:marRight w:val="0"/>
      <w:marTop w:val="0"/>
      <w:marBottom w:val="0"/>
      <w:divBdr>
        <w:top w:val="none" w:sz="0" w:space="0" w:color="auto"/>
        <w:left w:val="none" w:sz="0" w:space="0" w:color="auto"/>
        <w:bottom w:val="none" w:sz="0" w:space="0" w:color="auto"/>
        <w:right w:val="none" w:sz="0" w:space="0" w:color="auto"/>
      </w:divBdr>
    </w:div>
    <w:div w:id="885263121">
      <w:bodyDiv w:val="1"/>
      <w:marLeft w:val="0"/>
      <w:marRight w:val="0"/>
      <w:marTop w:val="0"/>
      <w:marBottom w:val="0"/>
      <w:divBdr>
        <w:top w:val="none" w:sz="0" w:space="0" w:color="auto"/>
        <w:left w:val="none" w:sz="0" w:space="0" w:color="auto"/>
        <w:bottom w:val="none" w:sz="0" w:space="0" w:color="auto"/>
        <w:right w:val="none" w:sz="0" w:space="0" w:color="auto"/>
      </w:divBdr>
      <w:divsChild>
        <w:div w:id="819158621">
          <w:marLeft w:val="0"/>
          <w:marRight w:val="0"/>
          <w:marTop w:val="0"/>
          <w:marBottom w:val="0"/>
          <w:divBdr>
            <w:top w:val="none" w:sz="0" w:space="0" w:color="auto"/>
            <w:left w:val="none" w:sz="0" w:space="0" w:color="auto"/>
            <w:bottom w:val="none" w:sz="0" w:space="0" w:color="auto"/>
            <w:right w:val="none" w:sz="0" w:space="0" w:color="auto"/>
          </w:divBdr>
        </w:div>
        <w:div w:id="2040668217">
          <w:marLeft w:val="0"/>
          <w:marRight w:val="0"/>
          <w:marTop w:val="0"/>
          <w:marBottom w:val="0"/>
          <w:divBdr>
            <w:top w:val="none" w:sz="0" w:space="0" w:color="auto"/>
            <w:left w:val="none" w:sz="0" w:space="0" w:color="auto"/>
            <w:bottom w:val="none" w:sz="0" w:space="0" w:color="auto"/>
            <w:right w:val="none" w:sz="0" w:space="0" w:color="auto"/>
          </w:divBdr>
          <w:divsChild>
            <w:div w:id="8958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xc2021\Downloads\10.1016\j.renene.2021.11.115" TargetMode="External"/><Relationship Id="rId13" Type="http://schemas.openxmlformats.org/officeDocument/2006/relationships/hyperlink" Target="file:///C:\Users\xc2021\Downloads\10.1016\j.scs.2022.103930" TargetMode="External"/><Relationship Id="rId18" Type="http://schemas.openxmlformats.org/officeDocument/2006/relationships/hyperlink" Target="file:///C:\Users\xc2021\Downloads\10.1016\j.scs.2018.06.0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xc2021\Downloads\10.1016\j.apenergy.2016.12.076" TargetMode="External"/><Relationship Id="rId7" Type="http://schemas.openxmlformats.org/officeDocument/2006/relationships/endnotes" Target="endnotes.xml"/><Relationship Id="rId12" Type="http://schemas.openxmlformats.org/officeDocument/2006/relationships/hyperlink" Target="file:///C:\Users\xc2021\Downloads\10.1016\j.scs.2021.103001" TargetMode="External"/><Relationship Id="rId17" Type="http://schemas.openxmlformats.org/officeDocument/2006/relationships/hyperlink" Target="file:///C:\Users\xc2021\Downloads\10.1016\j.scs.2021.10349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xc2021\Downloads\10.1016\j.scs.2018.10.020" TargetMode="External"/><Relationship Id="rId20" Type="http://schemas.openxmlformats.org/officeDocument/2006/relationships/hyperlink" Target="file:///C:\Users\xc2021\Downloads\10.1016\j.rser.2015.03.0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xc2021\Downloads\10.1016\j.scs.2018.05.054" TargetMode="External"/><Relationship Id="rId24" Type="http://schemas.openxmlformats.org/officeDocument/2006/relationships/hyperlink" Target="file:///C:\Users\xc2021\Downloads\10.1016\j.erss.2018.01.009" TargetMode="External"/><Relationship Id="rId5" Type="http://schemas.openxmlformats.org/officeDocument/2006/relationships/webSettings" Target="webSettings.xml"/><Relationship Id="rId15" Type="http://schemas.openxmlformats.org/officeDocument/2006/relationships/hyperlink" Target="file:///C:\Users\xc2021\Downloads\10.1016\j.enpol.2021.112289" TargetMode="External"/><Relationship Id="rId23" Type="http://schemas.openxmlformats.org/officeDocument/2006/relationships/hyperlink" Target="file:///C:\Users\xc2021\Downloads\10.1016\j.scs.2021.103539" TargetMode="External"/><Relationship Id="rId10" Type="http://schemas.openxmlformats.org/officeDocument/2006/relationships/hyperlink" Target="file:///C:\Users\xc2021\Downloads\10.1016\j.egyr.2019.08.006" TargetMode="External"/><Relationship Id="rId19" Type="http://schemas.openxmlformats.org/officeDocument/2006/relationships/hyperlink" Target="file:///C:\Users\xc2021\Downloads\10.1002\pip.1254" TargetMode="External"/><Relationship Id="rId4" Type="http://schemas.openxmlformats.org/officeDocument/2006/relationships/settings" Target="settings.xml"/><Relationship Id="rId9" Type="http://schemas.openxmlformats.org/officeDocument/2006/relationships/hyperlink" Target="file:///C:\Users\xc2021\Downloads\10.1016\j.esd.2013.07.004" TargetMode="External"/><Relationship Id="rId14" Type="http://schemas.openxmlformats.org/officeDocument/2006/relationships/hyperlink" Target="file:///C:\Users\xc2021\Downloads\10.1016\j.rser.2018.11.009" TargetMode="External"/><Relationship Id="rId22" Type="http://schemas.openxmlformats.org/officeDocument/2006/relationships/hyperlink" Target="file:///C:\Users\xc2021\Downloads\10.1016\j.apenergy.2019.11423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87D8-8994-4288-B356-19412DB1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7130</Words>
  <Characters>40643</Characters>
  <Application>Microsoft Office Word</Application>
  <DocSecurity>0</DocSecurity>
  <Lines>338</Lines>
  <Paragraphs>95</Paragraphs>
  <ScaleCrop>false</ScaleCrop>
  <Company/>
  <LinksUpToDate>false</LinksUpToDate>
  <CharactersWithSpaces>47678</CharactersWithSpaces>
  <SharedDoc>false</SharedDoc>
  <HLinks>
    <vt:vector size="120" baseType="variant">
      <vt:variant>
        <vt:i4>458806</vt:i4>
      </vt:variant>
      <vt:variant>
        <vt:i4>133</vt:i4>
      </vt:variant>
      <vt:variant>
        <vt:i4>0</vt:i4>
      </vt:variant>
      <vt:variant>
        <vt:i4>5</vt:i4>
      </vt:variant>
      <vt:variant>
        <vt:lpwstr>C:\Users\xc2021\Downloads\10.1016\j.scs.2018.05.054</vt:lpwstr>
      </vt:variant>
      <vt:variant>
        <vt:lpwstr/>
      </vt:variant>
      <vt:variant>
        <vt:i4>6357001</vt:i4>
      </vt:variant>
      <vt:variant>
        <vt:i4>130</vt:i4>
      </vt:variant>
      <vt:variant>
        <vt:i4>0</vt:i4>
      </vt:variant>
      <vt:variant>
        <vt:i4>5</vt:i4>
      </vt:variant>
      <vt:variant>
        <vt:lpwstr>C:\Users\xc2021\Downloads\10.1016\j.apenergy.2019.114233</vt:lpwstr>
      </vt:variant>
      <vt:variant>
        <vt:lpwstr/>
      </vt:variant>
      <vt:variant>
        <vt:i4>6619160</vt:i4>
      </vt:variant>
      <vt:variant>
        <vt:i4>127</vt:i4>
      </vt:variant>
      <vt:variant>
        <vt:i4>0</vt:i4>
      </vt:variant>
      <vt:variant>
        <vt:i4>5</vt:i4>
      </vt:variant>
      <vt:variant>
        <vt:lpwstr>C:\Users\xc2021\Downloads\10.1016\j.apenergy.2016.12.076</vt:lpwstr>
      </vt:variant>
      <vt:variant>
        <vt:lpwstr/>
      </vt:variant>
      <vt:variant>
        <vt:i4>8126538</vt:i4>
      </vt:variant>
      <vt:variant>
        <vt:i4>124</vt:i4>
      </vt:variant>
      <vt:variant>
        <vt:i4>0</vt:i4>
      </vt:variant>
      <vt:variant>
        <vt:i4>5</vt:i4>
      </vt:variant>
      <vt:variant>
        <vt:lpwstr>C:\Users\xc2021\Downloads\10.1016\j.enpol.2021.112289</vt:lpwstr>
      </vt:variant>
      <vt:variant>
        <vt:lpwstr/>
      </vt:variant>
      <vt:variant>
        <vt:i4>8192000</vt:i4>
      </vt:variant>
      <vt:variant>
        <vt:i4>121</vt:i4>
      </vt:variant>
      <vt:variant>
        <vt:i4>0</vt:i4>
      </vt:variant>
      <vt:variant>
        <vt:i4>5</vt:i4>
      </vt:variant>
      <vt:variant>
        <vt:lpwstr>C:\Users\xc2021\Downloads\10.1016\j.rser.2018.11.009</vt:lpwstr>
      </vt:variant>
      <vt:variant>
        <vt:lpwstr/>
      </vt:variant>
      <vt:variant>
        <vt:i4>1507437</vt:i4>
      </vt:variant>
      <vt:variant>
        <vt:i4>118</vt:i4>
      </vt:variant>
      <vt:variant>
        <vt:i4>0</vt:i4>
      </vt:variant>
      <vt:variant>
        <vt:i4>5</vt:i4>
      </vt:variant>
      <vt:variant>
        <vt:lpwstr>C:\Users\xc2021\Downloads\10.1016\j.renene.2021.11.115</vt:lpwstr>
      </vt:variant>
      <vt:variant>
        <vt:lpwstr/>
      </vt:variant>
      <vt:variant>
        <vt:i4>1507385</vt:i4>
      </vt:variant>
      <vt:variant>
        <vt:i4>115</vt:i4>
      </vt:variant>
      <vt:variant>
        <vt:i4>0</vt:i4>
      </vt:variant>
      <vt:variant>
        <vt:i4>5</vt:i4>
      </vt:variant>
      <vt:variant>
        <vt:lpwstr>C:\Users\xc2021\Downloads\10.1016\j.scs.2022.103930</vt:lpwstr>
      </vt:variant>
      <vt:variant>
        <vt:lpwstr/>
      </vt:variant>
      <vt:variant>
        <vt:i4>7667721</vt:i4>
      </vt:variant>
      <vt:variant>
        <vt:i4>112</vt:i4>
      </vt:variant>
      <vt:variant>
        <vt:i4>0</vt:i4>
      </vt:variant>
      <vt:variant>
        <vt:i4>5</vt:i4>
      </vt:variant>
      <vt:variant>
        <vt:lpwstr>C:\Users\xc2021\Downloads\10.1016\j.rser.2015.03.053</vt:lpwstr>
      </vt:variant>
      <vt:variant>
        <vt:lpwstr/>
      </vt:variant>
      <vt:variant>
        <vt:i4>1638453</vt:i4>
      </vt:variant>
      <vt:variant>
        <vt:i4>109</vt:i4>
      </vt:variant>
      <vt:variant>
        <vt:i4>0</vt:i4>
      </vt:variant>
      <vt:variant>
        <vt:i4>5</vt:i4>
      </vt:variant>
      <vt:variant>
        <vt:lpwstr>C:\Users\xc2021\Downloads\10.1016\j.esd.2013.07.004</vt:lpwstr>
      </vt:variant>
      <vt:variant>
        <vt:lpwstr/>
      </vt:variant>
      <vt:variant>
        <vt:i4>7274507</vt:i4>
      </vt:variant>
      <vt:variant>
        <vt:i4>106</vt:i4>
      </vt:variant>
      <vt:variant>
        <vt:i4>0</vt:i4>
      </vt:variant>
      <vt:variant>
        <vt:i4>5</vt:i4>
      </vt:variant>
      <vt:variant>
        <vt:lpwstr>C:\Users\xc2021\Downloads\10.1016\j.egyr.2019.08.006</vt:lpwstr>
      </vt:variant>
      <vt:variant>
        <vt:lpwstr/>
      </vt:variant>
      <vt:variant>
        <vt:i4>2031668</vt:i4>
      </vt:variant>
      <vt:variant>
        <vt:i4>103</vt:i4>
      </vt:variant>
      <vt:variant>
        <vt:i4>0</vt:i4>
      </vt:variant>
      <vt:variant>
        <vt:i4>5</vt:i4>
      </vt:variant>
      <vt:variant>
        <vt:lpwstr>C:\Users\xc2021\Downloads\10.1016\j.scs.2019.101726</vt:lpwstr>
      </vt:variant>
      <vt:variant>
        <vt:lpwstr/>
      </vt:variant>
      <vt:variant>
        <vt:i4>8192000</vt:i4>
      </vt:variant>
      <vt:variant>
        <vt:i4>100</vt:i4>
      </vt:variant>
      <vt:variant>
        <vt:i4>0</vt:i4>
      </vt:variant>
      <vt:variant>
        <vt:i4>5</vt:i4>
      </vt:variant>
      <vt:variant>
        <vt:lpwstr>C:\Users\xc2021\Downloads\10.1016\j.erss.2018.01.009</vt:lpwstr>
      </vt:variant>
      <vt:variant>
        <vt:lpwstr/>
      </vt:variant>
      <vt:variant>
        <vt:i4>1638453</vt:i4>
      </vt:variant>
      <vt:variant>
        <vt:i4>97</vt:i4>
      </vt:variant>
      <vt:variant>
        <vt:i4>0</vt:i4>
      </vt:variant>
      <vt:variant>
        <vt:i4>5</vt:i4>
      </vt:variant>
      <vt:variant>
        <vt:lpwstr>C:\Users\xc2021\Downloads\10.1016\j.scs.2019.101647</vt:lpwstr>
      </vt:variant>
      <vt:variant>
        <vt:lpwstr/>
      </vt:variant>
      <vt:variant>
        <vt:i4>53</vt:i4>
      </vt:variant>
      <vt:variant>
        <vt:i4>94</vt:i4>
      </vt:variant>
      <vt:variant>
        <vt:i4>0</vt:i4>
      </vt:variant>
      <vt:variant>
        <vt:i4>5</vt:i4>
      </vt:variant>
      <vt:variant>
        <vt:lpwstr>C:\Users\xc2021\Downloads\10.1016\j.scs.2018.06.029</vt:lpwstr>
      </vt:variant>
      <vt:variant>
        <vt:lpwstr/>
      </vt:variant>
      <vt:variant>
        <vt:i4>1310773</vt:i4>
      </vt:variant>
      <vt:variant>
        <vt:i4>91</vt:i4>
      </vt:variant>
      <vt:variant>
        <vt:i4>0</vt:i4>
      </vt:variant>
      <vt:variant>
        <vt:i4>5</vt:i4>
      </vt:variant>
      <vt:variant>
        <vt:lpwstr>C:\Users\xc2021\Downloads\10.1016\j.scs.2021.103539</vt:lpwstr>
      </vt:variant>
      <vt:variant>
        <vt:lpwstr/>
      </vt:variant>
      <vt:variant>
        <vt:i4>1507376</vt:i4>
      </vt:variant>
      <vt:variant>
        <vt:i4>88</vt:i4>
      </vt:variant>
      <vt:variant>
        <vt:i4>0</vt:i4>
      </vt:variant>
      <vt:variant>
        <vt:i4>5</vt:i4>
      </vt:variant>
      <vt:variant>
        <vt:lpwstr>C:\Users\xc2021\Downloads\10.1016\j.scs.2021.103001</vt:lpwstr>
      </vt:variant>
      <vt:variant>
        <vt:lpwstr/>
      </vt:variant>
      <vt:variant>
        <vt:i4>1900602</vt:i4>
      </vt:variant>
      <vt:variant>
        <vt:i4>85</vt:i4>
      </vt:variant>
      <vt:variant>
        <vt:i4>0</vt:i4>
      </vt:variant>
      <vt:variant>
        <vt:i4>5</vt:i4>
      </vt:variant>
      <vt:variant>
        <vt:lpwstr>C:\Users\xc2021\Downloads\10.1016\j.scs.2019.101902</vt:lpwstr>
      </vt:variant>
      <vt:variant>
        <vt:lpwstr/>
      </vt:variant>
      <vt:variant>
        <vt:i4>458868</vt:i4>
      </vt:variant>
      <vt:variant>
        <vt:i4>82</vt:i4>
      </vt:variant>
      <vt:variant>
        <vt:i4>0</vt:i4>
      </vt:variant>
      <vt:variant>
        <vt:i4>5</vt:i4>
      </vt:variant>
      <vt:variant>
        <vt:lpwstr>C:\Users\xc2021\Downloads\10.1002\pip.1254</vt:lpwstr>
      </vt:variant>
      <vt:variant>
        <vt:lpwstr/>
      </vt:variant>
      <vt:variant>
        <vt:i4>1966132</vt:i4>
      </vt:variant>
      <vt:variant>
        <vt:i4>79</vt:i4>
      </vt:variant>
      <vt:variant>
        <vt:i4>0</vt:i4>
      </vt:variant>
      <vt:variant>
        <vt:i4>5</vt:i4>
      </vt:variant>
      <vt:variant>
        <vt:lpwstr>C:\Users\xc2021\Downloads\10.1016\j.scs.2021.103496</vt:lpwstr>
      </vt:variant>
      <vt:variant>
        <vt:lpwstr/>
      </vt:variant>
      <vt:variant>
        <vt:i4>65587</vt:i4>
      </vt:variant>
      <vt:variant>
        <vt:i4>76</vt:i4>
      </vt:variant>
      <vt:variant>
        <vt:i4>0</vt:i4>
      </vt:variant>
      <vt:variant>
        <vt:i4>5</vt:i4>
      </vt:variant>
      <vt:variant>
        <vt:lpwstr>C:\Users\xc2021\Downloads\10.1016\j.scs.2018.10.020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2024-06-21T14:27:00Z</dcterms:created>
  <dcterms:modified xsi:type="dcterms:W3CDTF">2024-06-21T14:27:00Z</dcterms:modified>
</cp:coreProperties>
</file>