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7317" w14:textId="0376807C" w:rsidR="004B6B32" w:rsidRPr="00EF2A33" w:rsidRDefault="00557986" w:rsidP="00433C89">
      <w:pPr>
        <w:pStyle w:val="Heading1"/>
        <w:spacing w:before="0" w:line="240" w:lineRule="auto"/>
        <w:rPr>
          <w:lang w:val="en-GB" w:bidi="en-US"/>
        </w:rPr>
      </w:pPr>
      <w:r w:rsidRPr="0032330D">
        <w:rPr>
          <w:lang w:val="en-GB" w:bidi="en-US"/>
        </w:rPr>
        <w:fldChar w:fldCharType="begin"/>
      </w:r>
      <w:r w:rsidRPr="00836BBB">
        <w:rPr>
          <w:lang w:val="en-GB" w:bidi="en-US"/>
        </w:rPr>
        <w:instrText xml:space="preserve"> MACROBUTTON MTEditEquationSection2 </w:instrText>
      </w:r>
      <w:r w:rsidRPr="00836BBB">
        <w:rPr>
          <w:rStyle w:val="MTEquationSection"/>
          <w:color w:val="000000" w:themeColor="text1"/>
          <w:lang w:val="en-GB"/>
        </w:rPr>
        <w:instrText>Equation Chapter 1 Section 1</w:instrText>
      </w:r>
      <w:r w:rsidRPr="0032330D">
        <w:rPr>
          <w:lang w:val="en-GB" w:bidi="en-US"/>
        </w:rPr>
        <w:fldChar w:fldCharType="begin"/>
      </w:r>
      <w:r w:rsidRPr="00836BBB">
        <w:rPr>
          <w:lang w:val="en-GB" w:bidi="en-US"/>
        </w:rPr>
        <w:instrText xml:space="preserve"> SEQ MTEqn \r \h \* MERGEFORMAT </w:instrText>
      </w:r>
      <w:r w:rsidRPr="0032330D">
        <w:rPr>
          <w:lang w:val="en-GB" w:bidi="en-US"/>
        </w:rPr>
        <w:fldChar w:fldCharType="end"/>
      </w:r>
      <w:r w:rsidRPr="0032330D">
        <w:rPr>
          <w:lang w:val="en-GB" w:bidi="en-US"/>
        </w:rPr>
        <w:fldChar w:fldCharType="begin"/>
      </w:r>
      <w:r w:rsidRPr="00836BBB">
        <w:rPr>
          <w:lang w:val="en-GB" w:bidi="en-US"/>
        </w:rPr>
        <w:instrText xml:space="preserve"> SEQ MTSec \r 1 \h \* MERGEFORMAT </w:instrText>
      </w:r>
      <w:r w:rsidRPr="0032330D">
        <w:rPr>
          <w:lang w:val="en-GB" w:bidi="en-US"/>
        </w:rPr>
        <w:fldChar w:fldCharType="end"/>
      </w:r>
      <w:r w:rsidRPr="0032330D">
        <w:rPr>
          <w:lang w:val="en-GB" w:bidi="en-US"/>
        </w:rPr>
        <w:fldChar w:fldCharType="begin"/>
      </w:r>
      <w:r w:rsidRPr="00836BBB">
        <w:rPr>
          <w:lang w:val="en-GB" w:bidi="en-US"/>
        </w:rPr>
        <w:instrText xml:space="preserve"> SEQ MTChap \r 1 \h \* MERGEFORMAT </w:instrText>
      </w:r>
      <w:r w:rsidRPr="0032330D">
        <w:rPr>
          <w:lang w:val="en-GB" w:bidi="en-US"/>
        </w:rPr>
        <w:fldChar w:fldCharType="end"/>
      </w:r>
      <w:r w:rsidRPr="0032330D">
        <w:rPr>
          <w:lang w:val="en-GB" w:bidi="en-US"/>
        </w:rPr>
        <w:fldChar w:fldCharType="end"/>
      </w:r>
      <w:r w:rsidR="00545C2B" w:rsidRPr="00433C89">
        <w:rPr>
          <w:rFonts w:asciiTheme="minorHAnsi" w:hAnsiTheme="minorHAnsi" w:cstheme="minorHAnsi"/>
          <w:lang w:val="en-GB" w:bidi="en-US"/>
        </w:rPr>
        <w:t xml:space="preserve">Cite as: </w:t>
      </w:r>
      <w:r w:rsidR="00D3739F" w:rsidRPr="00433C89">
        <w:rPr>
          <w:rFonts w:asciiTheme="minorHAnsi" w:hAnsiTheme="minorHAnsi" w:cstheme="minorHAnsi"/>
          <w:b w:val="0"/>
          <w:bCs/>
          <w:sz w:val="24"/>
          <w:szCs w:val="24"/>
          <w:lang w:val="en-GB" w:bidi="en-US"/>
        </w:rPr>
        <w:t>Kh</w:t>
      </w:r>
      <w:r w:rsidR="00D3739F" w:rsidRPr="00EF2A33">
        <w:rPr>
          <w:rFonts w:asciiTheme="minorHAnsi" w:hAnsiTheme="minorHAnsi" w:cstheme="minorHAnsi"/>
          <w:b w:val="0"/>
          <w:bCs/>
          <w:sz w:val="24"/>
          <w:szCs w:val="24"/>
          <w:lang w:val="en-GB" w:bidi="en-US"/>
        </w:rPr>
        <w:t>an</w:t>
      </w:r>
      <w:r w:rsidR="00836BBB" w:rsidRPr="00EF2A33">
        <w:rPr>
          <w:rFonts w:asciiTheme="minorHAnsi" w:hAnsiTheme="minorHAnsi" w:cstheme="minorHAnsi"/>
          <w:b w:val="0"/>
          <w:bCs/>
          <w:sz w:val="24"/>
          <w:szCs w:val="24"/>
          <w:lang w:val="en-GB" w:bidi="en-US"/>
        </w:rPr>
        <w:t>, I.</w:t>
      </w:r>
      <w:r w:rsidR="00D3739F" w:rsidRPr="00EF2A33">
        <w:rPr>
          <w:rFonts w:asciiTheme="minorHAnsi" w:hAnsiTheme="minorHAnsi" w:cstheme="minorHAnsi"/>
          <w:b w:val="0"/>
          <w:bCs/>
          <w:sz w:val="24"/>
          <w:szCs w:val="24"/>
          <w:lang w:val="en-GB" w:bidi="en-US"/>
        </w:rPr>
        <w:t xml:space="preserve">, Saha, </w:t>
      </w:r>
      <w:r w:rsidR="00836BBB" w:rsidRPr="00EF2A33">
        <w:rPr>
          <w:rFonts w:asciiTheme="minorHAnsi" w:hAnsiTheme="minorHAnsi" w:cstheme="minorHAnsi"/>
          <w:b w:val="0"/>
          <w:bCs/>
          <w:sz w:val="24"/>
          <w:szCs w:val="24"/>
          <w:lang w:val="en-GB" w:bidi="en-US"/>
        </w:rPr>
        <w:t>A.K., Kamal, Y., and Islam M.S. (20</w:t>
      </w:r>
      <w:r w:rsidR="004B6B32" w:rsidRPr="00EF2A33">
        <w:rPr>
          <w:rFonts w:asciiTheme="minorHAnsi" w:hAnsiTheme="minorHAnsi" w:cstheme="minorHAnsi"/>
          <w:b w:val="0"/>
          <w:bCs/>
          <w:sz w:val="24"/>
          <w:szCs w:val="24"/>
          <w:lang w:val="en-GB" w:bidi="en-US"/>
        </w:rPr>
        <w:t xml:space="preserve">24). </w:t>
      </w:r>
      <w:r w:rsidR="004B6B32" w:rsidRPr="00EF2A33">
        <w:rPr>
          <w:rFonts w:asciiTheme="minorHAnsi" w:hAnsiTheme="minorHAnsi" w:cstheme="minorHAnsi"/>
          <w:b w:val="0"/>
          <w:bCs/>
          <w:i/>
          <w:iCs/>
          <w:sz w:val="24"/>
          <w:szCs w:val="24"/>
          <w:lang w:val="en-GB" w:bidi="en-US"/>
        </w:rPr>
        <w:t>Do Ownership Structure and Board Composition Matter in Firm Performance? Regulatory Influence in Developing Economy</w:t>
      </w:r>
      <w:r w:rsidR="002708E2" w:rsidRPr="00EF2A33">
        <w:rPr>
          <w:rFonts w:asciiTheme="minorHAnsi" w:hAnsiTheme="minorHAnsi" w:cstheme="minorHAnsi"/>
          <w:b w:val="0"/>
          <w:bCs/>
          <w:sz w:val="24"/>
          <w:szCs w:val="24"/>
          <w:lang w:val="en-GB" w:bidi="en-US"/>
        </w:rPr>
        <w:t xml:space="preserve">, </w:t>
      </w:r>
      <w:r w:rsidR="009605BE" w:rsidRPr="00EF2A33">
        <w:rPr>
          <w:rFonts w:asciiTheme="minorHAnsi" w:hAnsiTheme="minorHAnsi" w:cstheme="minorHAnsi"/>
          <w:b w:val="0"/>
          <w:bCs/>
          <w:sz w:val="24"/>
          <w:szCs w:val="24"/>
          <w:lang w:val="en-GB" w:bidi="en-US"/>
        </w:rPr>
        <w:t xml:space="preserve">International Journal of Disclosure and Governance, </w:t>
      </w:r>
      <w:r w:rsidR="002708E2" w:rsidRPr="00EF2A33">
        <w:rPr>
          <w:rFonts w:asciiTheme="minorHAnsi" w:hAnsiTheme="minorHAnsi" w:cstheme="minorHAnsi"/>
          <w:b w:val="0"/>
          <w:bCs/>
          <w:sz w:val="24"/>
          <w:szCs w:val="24"/>
          <w:lang w:val="en-GB" w:bidi="en-US"/>
        </w:rPr>
        <w:t xml:space="preserve">vol. pp. </w:t>
      </w:r>
      <w:r w:rsidR="00545C2B" w:rsidRPr="00EF2A33">
        <w:rPr>
          <w:rFonts w:asciiTheme="minorHAnsi" w:hAnsiTheme="minorHAnsi" w:cstheme="minorHAnsi"/>
          <w:b w:val="0"/>
          <w:bCs/>
          <w:sz w:val="24"/>
          <w:szCs w:val="24"/>
          <w:lang w:val="en-GB" w:bidi="en-US"/>
        </w:rPr>
        <w:t>ahead of print.</w:t>
      </w:r>
    </w:p>
    <w:p w14:paraId="7967BD19" w14:textId="1AB02781" w:rsidR="00D3739F" w:rsidRPr="00EF2A33" w:rsidRDefault="00D3739F" w:rsidP="00433C89">
      <w:pPr>
        <w:rPr>
          <w:lang w:val="en-GB" w:bidi="en-US"/>
        </w:rPr>
      </w:pPr>
    </w:p>
    <w:p w14:paraId="174382EC" w14:textId="13D1F9C5" w:rsidR="00390303" w:rsidRPr="00EF2A33" w:rsidRDefault="00CC38EA" w:rsidP="005C1FCD">
      <w:pPr>
        <w:pStyle w:val="Heading1"/>
        <w:spacing w:line="240" w:lineRule="auto"/>
        <w:jc w:val="center"/>
        <w:rPr>
          <w:lang w:val="en-GB" w:bidi="en-US"/>
        </w:rPr>
      </w:pPr>
      <w:r w:rsidRPr="00EF2A33">
        <w:rPr>
          <w:lang w:val="en-GB" w:bidi="en-US"/>
        </w:rPr>
        <w:t>Do</w:t>
      </w:r>
      <w:r w:rsidR="00EF7264" w:rsidRPr="00EF2A33">
        <w:rPr>
          <w:lang w:val="en-GB" w:bidi="en-US"/>
        </w:rPr>
        <w:t xml:space="preserve"> Ownership Structure</w:t>
      </w:r>
      <w:r w:rsidR="008A2D26" w:rsidRPr="00EF2A33">
        <w:rPr>
          <w:lang w:val="en-GB" w:bidi="en-US"/>
        </w:rPr>
        <w:t xml:space="preserve"> and</w:t>
      </w:r>
      <w:r w:rsidR="00EF7264" w:rsidRPr="00EF2A33">
        <w:rPr>
          <w:lang w:val="en-GB" w:bidi="en-US"/>
        </w:rPr>
        <w:t xml:space="preserve"> Board Composition</w:t>
      </w:r>
      <w:r w:rsidR="008A2D26" w:rsidRPr="00EF2A33">
        <w:rPr>
          <w:lang w:val="en-GB" w:bidi="en-US"/>
        </w:rPr>
        <w:t xml:space="preserve"> </w:t>
      </w:r>
      <w:r w:rsidR="00F02DA8" w:rsidRPr="00EF2A33">
        <w:rPr>
          <w:lang w:val="en-GB" w:bidi="en-US"/>
        </w:rPr>
        <w:t>Matter</w:t>
      </w:r>
      <w:r w:rsidR="005C05A5" w:rsidRPr="00EF2A33">
        <w:rPr>
          <w:lang w:val="en-GB" w:bidi="en-US"/>
        </w:rPr>
        <w:t xml:space="preserve"> in Firm Performance?</w:t>
      </w:r>
      <w:r w:rsidR="00761CB1" w:rsidRPr="00EF2A33">
        <w:rPr>
          <w:lang w:val="en-GB" w:bidi="en-US"/>
        </w:rPr>
        <w:t xml:space="preserve"> Regulatory Influence in</w:t>
      </w:r>
      <w:r w:rsidR="005C05A5" w:rsidRPr="00EF2A33">
        <w:rPr>
          <w:lang w:val="en-GB" w:bidi="en-US"/>
        </w:rPr>
        <w:t xml:space="preserve"> </w:t>
      </w:r>
      <w:r w:rsidR="007953D9" w:rsidRPr="00EF2A33">
        <w:rPr>
          <w:lang w:val="en-GB" w:bidi="en-US"/>
        </w:rPr>
        <w:t>Developing Economy</w:t>
      </w:r>
    </w:p>
    <w:p w14:paraId="412421AD" w14:textId="77777777" w:rsidR="005C1FCD" w:rsidRPr="00EF2A33" w:rsidRDefault="005C1FCD" w:rsidP="005C1FCD">
      <w:pPr>
        <w:spacing w:after="0" w:line="240" w:lineRule="auto"/>
        <w:jc w:val="center"/>
        <w:rPr>
          <w:rFonts w:asciiTheme="majorBidi" w:hAnsiTheme="majorBidi" w:cstheme="majorBidi"/>
          <w:bCs/>
        </w:rPr>
      </w:pPr>
    </w:p>
    <w:p w14:paraId="68BEE13A" w14:textId="7CF43F0F" w:rsidR="004E4D34" w:rsidRPr="00EF2A33" w:rsidRDefault="004E4D34" w:rsidP="005C1FCD">
      <w:pPr>
        <w:spacing w:after="0" w:line="240" w:lineRule="auto"/>
        <w:jc w:val="center"/>
        <w:rPr>
          <w:rFonts w:asciiTheme="majorBidi" w:hAnsiTheme="majorBidi" w:cstheme="majorBidi"/>
          <w:bCs/>
          <w:sz w:val="20"/>
          <w:szCs w:val="20"/>
        </w:rPr>
      </w:pPr>
      <w:r w:rsidRPr="00EF2A33">
        <w:rPr>
          <w:rFonts w:asciiTheme="majorBidi" w:hAnsiTheme="majorBidi" w:cstheme="majorBidi"/>
          <w:bCs/>
          <w:sz w:val="20"/>
          <w:szCs w:val="20"/>
        </w:rPr>
        <w:t>Imran Khan</w:t>
      </w:r>
    </w:p>
    <w:p w14:paraId="3162DA50" w14:textId="2990D3B1" w:rsidR="004E4D34" w:rsidRPr="00EF2A33" w:rsidRDefault="004E4D34" w:rsidP="005C1FCD">
      <w:pPr>
        <w:spacing w:after="0" w:line="240" w:lineRule="auto"/>
        <w:jc w:val="center"/>
        <w:rPr>
          <w:rFonts w:asciiTheme="majorBidi" w:hAnsiTheme="majorBidi" w:cstheme="majorBidi"/>
          <w:bCs/>
          <w:sz w:val="20"/>
          <w:szCs w:val="20"/>
        </w:rPr>
      </w:pPr>
      <w:r w:rsidRPr="00EF2A33">
        <w:rPr>
          <w:rFonts w:asciiTheme="majorBidi" w:hAnsiTheme="majorBidi" w:cstheme="majorBidi"/>
          <w:bCs/>
          <w:sz w:val="20"/>
          <w:szCs w:val="20"/>
        </w:rPr>
        <w:t>Department of Business Administration</w:t>
      </w:r>
      <w:r w:rsidR="00683327" w:rsidRPr="00EF2A33">
        <w:rPr>
          <w:rFonts w:asciiTheme="majorBidi" w:hAnsiTheme="majorBidi" w:cstheme="majorBidi"/>
          <w:bCs/>
          <w:sz w:val="20"/>
          <w:szCs w:val="20"/>
        </w:rPr>
        <w:t xml:space="preserve">, </w:t>
      </w:r>
      <w:r w:rsidRPr="00EF2A33">
        <w:rPr>
          <w:rFonts w:asciiTheme="majorBidi" w:hAnsiTheme="majorBidi" w:cstheme="majorBidi"/>
          <w:bCs/>
          <w:sz w:val="20"/>
          <w:szCs w:val="20"/>
        </w:rPr>
        <w:t>Hamdard University Bangladesh</w:t>
      </w:r>
    </w:p>
    <w:p w14:paraId="385DF9EB" w14:textId="66A6F13C" w:rsidR="004E4D34" w:rsidRPr="00EF2A33" w:rsidRDefault="004E4D34" w:rsidP="005C1FCD">
      <w:pPr>
        <w:spacing w:after="0" w:line="240" w:lineRule="auto"/>
        <w:jc w:val="center"/>
        <w:rPr>
          <w:rFonts w:asciiTheme="majorBidi" w:hAnsiTheme="majorBidi" w:cstheme="majorBidi"/>
          <w:bCs/>
          <w:sz w:val="20"/>
          <w:szCs w:val="20"/>
        </w:rPr>
      </w:pPr>
      <w:r w:rsidRPr="00EF2A33">
        <w:rPr>
          <w:rFonts w:asciiTheme="majorBidi" w:hAnsiTheme="majorBidi" w:cstheme="majorBidi"/>
          <w:bCs/>
          <w:sz w:val="20"/>
          <w:szCs w:val="20"/>
        </w:rPr>
        <w:t xml:space="preserve">Email: </w:t>
      </w:r>
      <w:r w:rsidR="00B017B8" w:rsidRPr="00EF2A33">
        <w:rPr>
          <w:rFonts w:asciiTheme="majorBidi" w:hAnsiTheme="majorBidi" w:cstheme="majorBidi"/>
          <w:bCs/>
          <w:sz w:val="20"/>
          <w:szCs w:val="20"/>
        </w:rPr>
        <w:t>ikimran05@gmail.com</w:t>
      </w:r>
    </w:p>
    <w:p w14:paraId="08497175" w14:textId="77777777" w:rsidR="004E4D34" w:rsidRPr="00EF2A33" w:rsidRDefault="004E4D34" w:rsidP="005C1FCD">
      <w:pPr>
        <w:spacing w:after="0" w:line="240" w:lineRule="auto"/>
        <w:jc w:val="center"/>
        <w:rPr>
          <w:rFonts w:asciiTheme="majorBidi" w:hAnsiTheme="majorBidi" w:cstheme="majorBidi"/>
          <w:sz w:val="20"/>
          <w:szCs w:val="20"/>
          <w:bdr w:val="none" w:sz="0" w:space="0" w:color="auto" w:frame="1"/>
          <w:shd w:val="clear" w:color="auto" w:fill="FFFFFF"/>
        </w:rPr>
      </w:pPr>
    </w:p>
    <w:p w14:paraId="0566427E" w14:textId="77777777" w:rsidR="004E4D34" w:rsidRPr="00EF2A33" w:rsidRDefault="004E4D34" w:rsidP="005C1FCD">
      <w:pPr>
        <w:pStyle w:val="NormalWeb"/>
        <w:shd w:val="clear" w:color="auto" w:fill="FFFFFF"/>
        <w:spacing w:before="0" w:beforeAutospacing="0" w:after="0" w:afterAutospacing="0"/>
        <w:jc w:val="center"/>
        <w:rPr>
          <w:rFonts w:asciiTheme="majorBidi" w:hAnsiTheme="majorBidi" w:cstheme="majorBidi"/>
          <w:sz w:val="20"/>
          <w:szCs w:val="20"/>
        </w:rPr>
      </w:pPr>
      <w:r w:rsidRPr="00EF2A33">
        <w:rPr>
          <w:rFonts w:asciiTheme="majorBidi" w:hAnsiTheme="majorBidi" w:cstheme="majorBidi"/>
          <w:sz w:val="20"/>
          <w:szCs w:val="20"/>
        </w:rPr>
        <w:t>Dr Anup Kumar Saha</w:t>
      </w:r>
    </w:p>
    <w:p w14:paraId="200D57C9" w14:textId="7CBD8D25" w:rsidR="004E4D34" w:rsidRPr="00EF2A33" w:rsidRDefault="004E4D34" w:rsidP="005C1FCD">
      <w:pPr>
        <w:pStyle w:val="NormalWeb"/>
        <w:shd w:val="clear" w:color="auto" w:fill="FFFFFF"/>
        <w:spacing w:before="0" w:beforeAutospacing="0" w:after="0" w:afterAutospacing="0"/>
        <w:jc w:val="center"/>
        <w:rPr>
          <w:rFonts w:asciiTheme="majorBidi" w:hAnsiTheme="majorBidi" w:cstheme="majorBidi"/>
          <w:sz w:val="20"/>
          <w:szCs w:val="20"/>
          <w:bdr w:val="none" w:sz="0" w:space="0" w:color="auto" w:frame="1"/>
        </w:rPr>
      </w:pPr>
      <w:r w:rsidRPr="00EF2A33">
        <w:rPr>
          <w:rFonts w:asciiTheme="majorBidi" w:hAnsiTheme="majorBidi" w:cstheme="majorBidi"/>
          <w:sz w:val="20"/>
          <w:szCs w:val="20"/>
          <w:bdr w:val="none" w:sz="0" w:space="0" w:color="auto" w:frame="1"/>
        </w:rPr>
        <w:t>Keele Business School, Keele University, United Kingdom</w:t>
      </w:r>
    </w:p>
    <w:p w14:paraId="3AED82A0" w14:textId="5248AB2E" w:rsidR="004E4D34" w:rsidRPr="00EF2A33" w:rsidRDefault="004E4D34" w:rsidP="005C1FCD">
      <w:pPr>
        <w:pStyle w:val="NormalWeb"/>
        <w:shd w:val="clear" w:color="auto" w:fill="FFFFFF"/>
        <w:spacing w:before="0" w:beforeAutospacing="0" w:after="0" w:afterAutospacing="0"/>
        <w:jc w:val="center"/>
        <w:rPr>
          <w:rFonts w:asciiTheme="majorBidi" w:hAnsiTheme="majorBidi" w:cstheme="majorBidi"/>
          <w:sz w:val="20"/>
          <w:szCs w:val="20"/>
          <w:bdr w:val="none" w:sz="0" w:space="0" w:color="auto" w:frame="1"/>
        </w:rPr>
      </w:pPr>
      <w:r w:rsidRPr="00EF2A33">
        <w:rPr>
          <w:rFonts w:asciiTheme="majorBidi" w:hAnsiTheme="majorBidi" w:cstheme="majorBidi"/>
          <w:sz w:val="20"/>
          <w:szCs w:val="20"/>
          <w:bdr w:val="none" w:sz="0" w:space="0" w:color="auto" w:frame="1"/>
        </w:rPr>
        <w:t>Email:</w:t>
      </w:r>
      <w:r w:rsidRPr="00EF2A33">
        <w:rPr>
          <w:rFonts w:asciiTheme="majorBidi" w:hAnsiTheme="majorBidi" w:cstheme="majorBidi"/>
          <w:sz w:val="20"/>
          <w:szCs w:val="20"/>
        </w:rPr>
        <w:t xml:space="preserve"> </w:t>
      </w:r>
      <w:r w:rsidRPr="00EF2A33">
        <w:rPr>
          <w:rFonts w:asciiTheme="majorBidi" w:hAnsiTheme="majorBidi" w:cstheme="majorBidi"/>
          <w:sz w:val="20"/>
          <w:szCs w:val="20"/>
          <w:bdr w:val="none" w:sz="0" w:space="0" w:color="auto" w:frame="1"/>
        </w:rPr>
        <w:t>a.saha1@keele.ac.uk</w:t>
      </w:r>
    </w:p>
    <w:p w14:paraId="44B90E57" w14:textId="77777777" w:rsidR="004E4D34" w:rsidRPr="00EF2A33" w:rsidRDefault="004E4D34" w:rsidP="005C1FCD">
      <w:pPr>
        <w:spacing w:after="0" w:line="240" w:lineRule="auto"/>
        <w:jc w:val="center"/>
        <w:rPr>
          <w:rFonts w:asciiTheme="majorBidi" w:hAnsiTheme="majorBidi" w:cstheme="majorBidi"/>
          <w:b/>
          <w:sz w:val="20"/>
          <w:szCs w:val="20"/>
          <w:lang w:val="en-GB"/>
        </w:rPr>
      </w:pPr>
    </w:p>
    <w:p w14:paraId="67C60A70" w14:textId="77777777" w:rsidR="004E4D34" w:rsidRPr="00EF2A33" w:rsidRDefault="004E4D34" w:rsidP="005C1FCD">
      <w:pPr>
        <w:spacing w:after="0" w:line="240" w:lineRule="auto"/>
        <w:jc w:val="center"/>
        <w:rPr>
          <w:rFonts w:asciiTheme="majorBidi" w:hAnsiTheme="majorBidi" w:cstheme="majorBidi"/>
          <w:sz w:val="20"/>
          <w:szCs w:val="20"/>
        </w:rPr>
      </w:pPr>
      <w:r w:rsidRPr="00EF2A33">
        <w:rPr>
          <w:rFonts w:asciiTheme="majorBidi" w:hAnsiTheme="majorBidi" w:cstheme="majorBidi"/>
          <w:sz w:val="20"/>
          <w:szCs w:val="20"/>
        </w:rPr>
        <w:t>Dr Yousuf Kamal</w:t>
      </w:r>
    </w:p>
    <w:p w14:paraId="01D09535" w14:textId="06A5E3AA" w:rsidR="004E4D34" w:rsidRPr="00EF2A33" w:rsidRDefault="004E4D34" w:rsidP="005C1FCD">
      <w:pPr>
        <w:spacing w:after="0" w:line="240" w:lineRule="auto"/>
        <w:jc w:val="center"/>
        <w:rPr>
          <w:rFonts w:asciiTheme="majorBidi" w:hAnsiTheme="majorBidi" w:cstheme="majorBidi"/>
          <w:sz w:val="20"/>
          <w:szCs w:val="20"/>
          <w:bdr w:val="none" w:sz="0" w:space="0" w:color="auto" w:frame="1"/>
          <w:shd w:val="clear" w:color="auto" w:fill="FFFFFF"/>
          <w:lang w:val="en-GB"/>
        </w:rPr>
      </w:pPr>
      <w:r w:rsidRPr="00EF2A33">
        <w:rPr>
          <w:rFonts w:asciiTheme="majorBidi" w:hAnsiTheme="majorBidi" w:cstheme="majorBidi"/>
          <w:sz w:val="20"/>
          <w:szCs w:val="20"/>
          <w:bdr w:val="none" w:sz="0" w:space="0" w:color="auto" w:frame="1"/>
          <w:shd w:val="clear" w:color="auto" w:fill="FFFFFF"/>
        </w:rPr>
        <w:t>Derby Business School</w:t>
      </w:r>
      <w:r w:rsidR="00B017B8" w:rsidRPr="00EF2A33">
        <w:rPr>
          <w:rFonts w:asciiTheme="majorBidi" w:hAnsiTheme="majorBidi" w:cstheme="majorBidi"/>
          <w:sz w:val="20"/>
          <w:szCs w:val="20"/>
          <w:bdr w:val="none" w:sz="0" w:space="0" w:color="auto" w:frame="1"/>
          <w:shd w:val="clear" w:color="auto" w:fill="FFFFFF"/>
        </w:rPr>
        <w:t xml:space="preserve">, </w:t>
      </w:r>
      <w:r w:rsidRPr="00EF2A33">
        <w:rPr>
          <w:rFonts w:asciiTheme="majorBidi" w:hAnsiTheme="majorBidi" w:cstheme="majorBidi"/>
          <w:sz w:val="20"/>
          <w:szCs w:val="20"/>
          <w:bdr w:val="none" w:sz="0" w:space="0" w:color="auto" w:frame="1"/>
          <w:shd w:val="clear" w:color="auto" w:fill="FFFFFF"/>
          <w:lang w:val="en-GB"/>
        </w:rPr>
        <w:t>University of Derby, United Kingdom</w:t>
      </w:r>
      <w:r w:rsidRPr="00EF2A33">
        <w:rPr>
          <w:rFonts w:asciiTheme="majorBidi" w:hAnsiTheme="majorBidi" w:cstheme="majorBidi"/>
          <w:sz w:val="20"/>
          <w:szCs w:val="20"/>
          <w:lang w:val="en-GB"/>
        </w:rPr>
        <w:br/>
      </w:r>
      <w:r w:rsidRPr="00EF2A33">
        <w:rPr>
          <w:rFonts w:asciiTheme="majorBidi" w:hAnsiTheme="majorBidi" w:cstheme="majorBidi"/>
          <w:sz w:val="20"/>
          <w:szCs w:val="20"/>
          <w:bdr w:val="none" w:sz="0" w:space="0" w:color="auto" w:frame="1"/>
          <w:shd w:val="clear" w:color="auto" w:fill="FFFFFF"/>
          <w:lang w:val="en-GB"/>
        </w:rPr>
        <w:t>Email: y.kamal@derby.ac.uk</w:t>
      </w:r>
    </w:p>
    <w:p w14:paraId="39F8D624" w14:textId="77777777" w:rsidR="004E4D34" w:rsidRPr="00EF2A33" w:rsidRDefault="004E4D34" w:rsidP="005C1FCD">
      <w:pPr>
        <w:spacing w:after="0" w:line="240" w:lineRule="auto"/>
        <w:jc w:val="center"/>
        <w:rPr>
          <w:rFonts w:asciiTheme="majorBidi" w:hAnsiTheme="majorBidi" w:cstheme="majorBidi"/>
          <w:bCs/>
          <w:sz w:val="20"/>
          <w:szCs w:val="20"/>
          <w:lang w:val="en-GB"/>
        </w:rPr>
      </w:pPr>
    </w:p>
    <w:p w14:paraId="655F44F4" w14:textId="77777777" w:rsidR="004E4D34" w:rsidRPr="00EF2A33" w:rsidRDefault="004E4D34" w:rsidP="005C1FCD">
      <w:pPr>
        <w:spacing w:after="0" w:line="240" w:lineRule="auto"/>
        <w:jc w:val="center"/>
        <w:rPr>
          <w:rFonts w:asciiTheme="majorBidi" w:eastAsia="Times New Roman" w:hAnsiTheme="majorBidi" w:cstheme="majorBidi"/>
          <w:sz w:val="20"/>
          <w:szCs w:val="20"/>
        </w:rPr>
      </w:pPr>
      <w:r w:rsidRPr="00EF2A33">
        <w:rPr>
          <w:rFonts w:asciiTheme="majorBidi" w:eastAsia="Times New Roman" w:hAnsiTheme="majorBidi" w:cstheme="majorBidi"/>
          <w:sz w:val="20"/>
          <w:szCs w:val="20"/>
        </w:rPr>
        <w:t>Md. Shafiqul Islam</w:t>
      </w:r>
    </w:p>
    <w:p w14:paraId="12E5339D" w14:textId="77777777" w:rsidR="004E4D34" w:rsidRPr="00EF2A33" w:rsidRDefault="004E4D34" w:rsidP="005C1FCD">
      <w:pPr>
        <w:spacing w:after="0" w:line="240" w:lineRule="auto"/>
        <w:jc w:val="center"/>
        <w:rPr>
          <w:rFonts w:asciiTheme="majorBidi" w:eastAsia="Times New Roman" w:hAnsiTheme="majorBidi" w:cstheme="majorBidi"/>
          <w:sz w:val="20"/>
          <w:szCs w:val="20"/>
        </w:rPr>
      </w:pPr>
      <w:r w:rsidRPr="00EF2A33">
        <w:rPr>
          <w:rFonts w:asciiTheme="majorBidi" w:eastAsia="Times New Roman" w:hAnsiTheme="majorBidi" w:cstheme="majorBidi"/>
          <w:sz w:val="20"/>
          <w:szCs w:val="20"/>
        </w:rPr>
        <w:t>Rochester Institute of Technology, USA</w:t>
      </w:r>
    </w:p>
    <w:p w14:paraId="7DF9C1E2" w14:textId="2D8170A0" w:rsidR="004E4D34" w:rsidRPr="00EF2A33" w:rsidRDefault="004E4D34" w:rsidP="005C1FCD">
      <w:pPr>
        <w:spacing w:after="0" w:line="240" w:lineRule="auto"/>
        <w:jc w:val="center"/>
        <w:rPr>
          <w:rFonts w:asciiTheme="majorBidi" w:eastAsia="Times New Roman" w:hAnsiTheme="majorBidi" w:cstheme="majorBidi"/>
          <w:sz w:val="20"/>
          <w:szCs w:val="20"/>
        </w:rPr>
      </w:pPr>
      <w:r w:rsidRPr="00EF2A33">
        <w:rPr>
          <w:rFonts w:asciiTheme="majorBidi" w:eastAsia="Times New Roman" w:hAnsiTheme="majorBidi" w:cstheme="majorBidi"/>
          <w:sz w:val="20"/>
          <w:szCs w:val="20"/>
        </w:rPr>
        <w:t>Email:</w:t>
      </w:r>
      <w:r w:rsidR="00683327" w:rsidRPr="00EF2A33">
        <w:rPr>
          <w:rFonts w:asciiTheme="majorBidi" w:eastAsia="Times New Roman" w:hAnsiTheme="majorBidi" w:cstheme="majorBidi"/>
          <w:sz w:val="20"/>
          <w:szCs w:val="20"/>
        </w:rPr>
        <w:t xml:space="preserve"> fbsshuvo@gmail.com</w:t>
      </w:r>
    </w:p>
    <w:p w14:paraId="0E5D7105" w14:textId="77777777" w:rsidR="006816B5" w:rsidRPr="00EF2A33" w:rsidRDefault="006816B5" w:rsidP="003D243F">
      <w:pPr>
        <w:spacing w:line="276" w:lineRule="auto"/>
        <w:rPr>
          <w:b/>
          <w:bCs/>
        </w:rPr>
      </w:pPr>
    </w:p>
    <w:p w14:paraId="16C912B5" w14:textId="77777777" w:rsidR="006E5B3D" w:rsidRPr="00EF2A33" w:rsidRDefault="006E5B3D" w:rsidP="003D243F">
      <w:pPr>
        <w:spacing w:line="276" w:lineRule="auto"/>
        <w:rPr>
          <w:b/>
          <w:bCs/>
          <w:lang w:val="en-GB"/>
        </w:rPr>
      </w:pPr>
      <w:r w:rsidRPr="00EF2A33">
        <w:rPr>
          <w:b/>
          <w:bCs/>
          <w:lang w:val="en-GB"/>
        </w:rPr>
        <w:t>Abstract</w:t>
      </w:r>
    </w:p>
    <w:p w14:paraId="5A122386" w14:textId="38F9DFC4" w:rsidR="00727256" w:rsidRPr="00EF2A33" w:rsidRDefault="00836A03" w:rsidP="00836A03">
      <w:pPr>
        <w:rPr>
          <w:lang w:val="en-GB"/>
        </w:rPr>
      </w:pPr>
      <w:r w:rsidRPr="00EF2A33">
        <w:rPr>
          <w:lang w:val="en-GB"/>
        </w:rPr>
        <w:t>This empirical study investigates the influence of ownership structure and board characteristics on firm performance in emerging market economies, with a focus on Bangladesh. By using data from DSE30 listed firms on the Dhaka Stock Exchange and applying accounting and market performance measures including return on assets, return on equity, market-to-book, and Tobin’s Q, the study provides comprehensive insights. The research employs industry fixed effects</w:t>
      </w:r>
      <w:r w:rsidR="001C6949" w:rsidRPr="00EF2A33">
        <w:rPr>
          <w:lang w:val="en-GB"/>
        </w:rPr>
        <w:t xml:space="preserve"> panel analysis</w:t>
      </w:r>
      <w:r w:rsidRPr="00EF2A33">
        <w:rPr>
          <w:lang w:val="en-GB"/>
        </w:rPr>
        <w:t xml:space="preserve">, two-stage least squares, and lagged variables to explore these relationships through the lens of agency theory. The results reveal that ownership structures and board characteristics have a mixed impact on firm performance. ROA is positively associated with foreign ownership, sponsor ownership, and board independence but negatively associated with institutional ownership, government ownership, and family firms. ROE is positively influenced by gender diversity and board expertise, whereas government ownership, board size, and family firm ownership have a negative impact. Similarly, Tobin’s Q is positively significant in relation to board size, board independence, gender diversity, and board expertise, while ownership structure shows a negative significance. Our results also confirm that government and family </w:t>
      </w:r>
      <w:r w:rsidR="005127F0" w:rsidRPr="00EF2A33">
        <w:rPr>
          <w:lang w:val="en-GB"/>
        </w:rPr>
        <w:t>ownerships</w:t>
      </w:r>
      <w:r w:rsidRPr="00EF2A33">
        <w:rPr>
          <w:lang w:val="en-GB"/>
        </w:rPr>
        <w:t xml:space="preserve"> negatively impact performance metrics. The primary implication for stakeholders is to </w:t>
      </w:r>
      <w:r w:rsidRPr="00EF2A33">
        <w:rPr>
          <w:lang w:val="en-GB"/>
        </w:rPr>
        <w:lastRenderedPageBreak/>
        <w:t>contemplate both dimensions of firm performance when making investment and financing decisions.</w:t>
      </w:r>
    </w:p>
    <w:p w14:paraId="4BC90E0C" w14:textId="4A03DE5C" w:rsidR="00225D7F" w:rsidRPr="00EF2A33" w:rsidRDefault="00F630B0" w:rsidP="005C1FCD">
      <w:pPr>
        <w:spacing w:line="276" w:lineRule="auto"/>
        <w:rPr>
          <w:b/>
          <w:bCs/>
          <w:lang w:val="en-GB"/>
        </w:rPr>
      </w:pPr>
      <w:r w:rsidRPr="00EF2A33">
        <w:rPr>
          <w:b/>
          <w:bCs/>
          <w:lang w:val="en-GB"/>
        </w:rPr>
        <w:t>Keywords:</w:t>
      </w:r>
      <w:r w:rsidRPr="00EF2A33">
        <w:rPr>
          <w:lang w:val="en-GB"/>
        </w:rPr>
        <w:t xml:space="preserve"> </w:t>
      </w:r>
      <w:r w:rsidR="00F45D3A" w:rsidRPr="00EF2A33">
        <w:rPr>
          <w:lang w:val="en-GB"/>
        </w:rPr>
        <w:t>A</w:t>
      </w:r>
      <w:r w:rsidR="00175219" w:rsidRPr="00EF2A33">
        <w:rPr>
          <w:lang w:val="en-GB"/>
        </w:rPr>
        <w:t xml:space="preserve">ccounting and </w:t>
      </w:r>
      <w:r w:rsidR="00707A2F" w:rsidRPr="00EF2A33">
        <w:rPr>
          <w:lang w:val="en-GB"/>
        </w:rPr>
        <w:t>market-based</w:t>
      </w:r>
      <w:r w:rsidR="00175219" w:rsidRPr="00EF2A33">
        <w:rPr>
          <w:lang w:val="en-GB"/>
        </w:rPr>
        <w:t xml:space="preserve"> firm performance, </w:t>
      </w:r>
      <w:r w:rsidR="00125603" w:rsidRPr="00EF2A33">
        <w:rPr>
          <w:lang w:val="en-GB"/>
        </w:rPr>
        <w:t>o</w:t>
      </w:r>
      <w:r w:rsidRPr="00EF2A33">
        <w:rPr>
          <w:lang w:val="en-GB"/>
        </w:rPr>
        <w:t xml:space="preserve">wnership, </w:t>
      </w:r>
      <w:r w:rsidR="00125603" w:rsidRPr="00EF2A33">
        <w:rPr>
          <w:lang w:val="en-GB"/>
        </w:rPr>
        <w:t>b</w:t>
      </w:r>
      <w:r w:rsidR="003770F7" w:rsidRPr="00EF2A33">
        <w:rPr>
          <w:lang w:val="en-GB"/>
        </w:rPr>
        <w:t xml:space="preserve">oard </w:t>
      </w:r>
      <w:r w:rsidR="00125603" w:rsidRPr="00EF2A33">
        <w:rPr>
          <w:lang w:val="en-GB"/>
        </w:rPr>
        <w:t>c</w:t>
      </w:r>
      <w:r w:rsidR="003770F7" w:rsidRPr="00EF2A33">
        <w:rPr>
          <w:lang w:val="en-GB"/>
        </w:rPr>
        <w:t>haracter</w:t>
      </w:r>
      <w:r w:rsidR="00291786" w:rsidRPr="00EF2A33">
        <w:rPr>
          <w:lang w:val="en-GB"/>
        </w:rPr>
        <w:t>s</w:t>
      </w:r>
      <w:r w:rsidR="003770F7" w:rsidRPr="00EF2A33">
        <w:rPr>
          <w:lang w:val="en-GB"/>
        </w:rPr>
        <w:t xml:space="preserve">, </w:t>
      </w:r>
      <w:r w:rsidR="00291786" w:rsidRPr="00EF2A33">
        <w:rPr>
          <w:lang w:val="en-GB"/>
        </w:rPr>
        <w:t>family control, director education</w:t>
      </w:r>
      <w:bookmarkStart w:id="0" w:name="_Toc60915875"/>
    </w:p>
    <w:p w14:paraId="017825EE" w14:textId="77777777" w:rsidR="005C1FCD" w:rsidRPr="00EF2A33" w:rsidRDefault="005C1FCD" w:rsidP="005C1FCD">
      <w:pPr>
        <w:spacing w:line="276" w:lineRule="auto"/>
        <w:rPr>
          <w:b/>
          <w:bCs/>
          <w:lang w:val="en-GB"/>
        </w:rPr>
      </w:pPr>
    </w:p>
    <w:p w14:paraId="2312ED4B" w14:textId="24BB9828" w:rsidR="00CC77F1" w:rsidRPr="00EF2A33" w:rsidRDefault="003E2B79" w:rsidP="009E55AB">
      <w:pPr>
        <w:spacing w:after="0"/>
        <w:jc w:val="left"/>
        <w:rPr>
          <w:b/>
          <w:bCs/>
          <w:lang w:val="en-GB"/>
        </w:rPr>
      </w:pPr>
      <w:r w:rsidRPr="00EF2A33">
        <w:rPr>
          <w:b/>
          <w:bCs/>
          <w:lang w:val="en-GB"/>
        </w:rPr>
        <w:t xml:space="preserve">1. </w:t>
      </w:r>
      <w:r w:rsidR="00494030" w:rsidRPr="00EF2A33">
        <w:rPr>
          <w:b/>
          <w:bCs/>
          <w:lang w:val="en-GB"/>
        </w:rPr>
        <w:t>Introduction</w:t>
      </w:r>
      <w:bookmarkEnd w:id="0"/>
    </w:p>
    <w:p w14:paraId="2666B79F" w14:textId="14A51BF7" w:rsidR="009C2733" w:rsidRPr="00EF2A33" w:rsidRDefault="00061B7C" w:rsidP="003D243F">
      <w:pPr>
        <w:rPr>
          <w:lang w:val="en-GB"/>
        </w:rPr>
      </w:pPr>
      <w:r w:rsidRPr="00EF2A33">
        <w:rPr>
          <w:lang w:val="en-GB"/>
        </w:rPr>
        <w:t>Corporate b</w:t>
      </w:r>
      <w:r w:rsidR="009C11D6" w:rsidRPr="00EF2A33">
        <w:rPr>
          <w:lang w:val="en-GB"/>
        </w:rPr>
        <w:t>oard and ownership structures</w:t>
      </w:r>
      <w:r w:rsidR="009C2733" w:rsidRPr="00EF2A33">
        <w:rPr>
          <w:lang w:val="en-GB"/>
        </w:rPr>
        <w:t xml:space="preserve"> stand as critical pillar</w:t>
      </w:r>
      <w:r w:rsidR="009C11D6" w:rsidRPr="00EF2A33">
        <w:rPr>
          <w:lang w:val="en-GB"/>
        </w:rPr>
        <w:t>s</w:t>
      </w:r>
      <w:r w:rsidR="009C2733" w:rsidRPr="00EF2A33">
        <w:rPr>
          <w:lang w:val="en-GB"/>
        </w:rPr>
        <w:t xml:space="preserve"> shaping the success and stability of modern businesses. Despite significant advancements in our understanding of the effectiveness of corporate governance mechanisms over the past four decades, there remains a pressing need for further research in this domain (</w:t>
      </w:r>
      <w:r w:rsidR="00580CC6" w:rsidRPr="00EF2A33">
        <w:rPr>
          <w:lang w:val="en-GB"/>
        </w:rPr>
        <w:t>Erena et al.</w:t>
      </w:r>
      <w:r w:rsidR="009C2733" w:rsidRPr="00EF2A33">
        <w:rPr>
          <w:lang w:val="en-GB"/>
        </w:rPr>
        <w:t>, 2021). The advent of corporate scandals and financial crises has underscored the paramount importance of robust governance mechanisms in fostering investor confidence, upholding ethical conduct, and driving sustainable growth. Consequently, researchers, policymakers, and practitioners have increasingly focused on exploring the intricate relationship between corporate governance elements and firm performance.</w:t>
      </w:r>
    </w:p>
    <w:p w14:paraId="782EA8EF" w14:textId="6430AA95" w:rsidR="00211DA4" w:rsidRPr="00EF2A33" w:rsidRDefault="00741089" w:rsidP="003D243F">
      <w:pPr>
        <w:rPr>
          <w:lang w:val="en-GB"/>
        </w:rPr>
      </w:pPr>
      <w:r w:rsidRPr="00EF2A33">
        <w:rPr>
          <w:lang w:val="en-GB"/>
        </w:rPr>
        <w:t>While some studies have investigated the connection between corporate governance and firm performance in isolation, few have delved into the underlying dynamics by combining market and accounting-based performance measures</w:t>
      </w:r>
      <w:r w:rsidR="004E1CF1" w:rsidRPr="00EF2A33">
        <w:rPr>
          <w:lang w:val="en-GB"/>
        </w:rPr>
        <w:t xml:space="preserve"> (Das et al., 2023</w:t>
      </w:r>
      <w:r w:rsidR="00150C1E" w:rsidRPr="00EF2A33">
        <w:rPr>
          <w:lang w:val="en-GB"/>
        </w:rPr>
        <w:t>; Pathak &amp; Chandani, 2023)</w:t>
      </w:r>
      <w:r w:rsidRPr="00EF2A33">
        <w:rPr>
          <w:lang w:val="en-GB"/>
        </w:rPr>
        <w:t xml:space="preserve">. </w:t>
      </w:r>
      <w:r w:rsidR="0043531B" w:rsidRPr="00EF2A33">
        <w:rPr>
          <w:lang w:val="en-GB"/>
        </w:rPr>
        <w:t>B</w:t>
      </w:r>
      <w:r w:rsidRPr="00EF2A33">
        <w:rPr>
          <w:lang w:val="en-GB"/>
        </w:rPr>
        <w:t>oth measures</w:t>
      </w:r>
      <w:r w:rsidR="0043531B" w:rsidRPr="00EF2A33">
        <w:rPr>
          <w:lang w:val="en-GB"/>
        </w:rPr>
        <w:t xml:space="preserve"> were explored separately by</w:t>
      </w:r>
      <w:r w:rsidR="00751686" w:rsidRPr="00EF2A33">
        <w:rPr>
          <w:lang w:val="en-GB"/>
        </w:rPr>
        <w:t xml:space="preserve"> Kyere and Ausloos (2021) </w:t>
      </w:r>
      <w:r w:rsidRPr="00EF2A33">
        <w:rPr>
          <w:lang w:val="en-GB"/>
        </w:rPr>
        <w:t xml:space="preserve">in the </w:t>
      </w:r>
      <w:r w:rsidR="007E163F" w:rsidRPr="00EF2A33">
        <w:rPr>
          <w:lang w:val="en-GB"/>
        </w:rPr>
        <w:t>UK</w:t>
      </w:r>
      <w:r w:rsidR="00240BC8" w:rsidRPr="00EF2A33">
        <w:rPr>
          <w:lang w:val="en-GB"/>
        </w:rPr>
        <w:t>,</w:t>
      </w:r>
      <w:r w:rsidR="00AA5868" w:rsidRPr="00EF2A33">
        <w:rPr>
          <w:lang w:val="en-GB"/>
        </w:rPr>
        <w:t xml:space="preserve"> Saha and Khan (2024a) in </w:t>
      </w:r>
      <w:r w:rsidR="00663E1A" w:rsidRPr="00EF2A33">
        <w:rPr>
          <w:lang w:val="en-GB"/>
        </w:rPr>
        <w:t xml:space="preserve">the </w:t>
      </w:r>
      <w:r w:rsidR="00AA5868" w:rsidRPr="00EF2A33">
        <w:rPr>
          <w:lang w:val="en-GB"/>
        </w:rPr>
        <w:t>Nordic,</w:t>
      </w:r>
      <w:r w:rsidR="00240BC8" w:rsidRPr="00EF2A33">
        <w:rPr>
          <w:lang w:val="en-GB"/>
        </w:rPr>
        <w:t xml:space="preserve"> </w:t>
      </w:r>
      <w:r w:rsidR="00751686" w:rsidRPr="00EF2A33">
        <w:rPr>
          <w:lang w:val="en-GB"/>
        </w:rPr>
        <w:t xml:space="preserve">Christensen et al. (2010) in </w:t>
      </w:r>
      <w:r w:rsidR="00AA5868" w:rsidRPr="00EF2A33">
        <w:rPr>
          <w:lang w:val="en-GB"/>
        </w:rPr>
        <w:t>Australia</w:t>
      </w:r>
      <w:r w:rsidR="00FA7C47" w:rsidRPr="00EF2A33">
        <w:rPr>
          <w:lang w:val="en-GB"/>
        </w:rPr>
        <w:t xml:space="preserve">, and </w:t>
      </w:r>
      <w:proofErr w:type="spellStart"/>
      <w:r w:rsidR="008D19F1" w:rsidRPr="00EF2A33">
        <w:rPr>
          <w:lang w:val="en-GB"/>
        </w:rPr>
        <w:t>Sehrawat</w:t>
      </w:r>
      <w:proofErr w:type="spellEnd"/>
      <w:r w:rsidR="00AE6781" w:rsidRPr="00EF2A33">
        <w:rPr>
          <w:lang w:val="en-GB"/>
        </w:rPr>
        <w:t xml:space="preserve"> et al.</w:t>
      </w:r>
      <w:r w:rsidR="00FA7C47" w:rsidRPr="00EF2A33">
        <w:rPr>
          <w:lang w:val="en-GB"/>
        </w:rPr>
        <w:t xml:space="preserve"> (2020) in </w:t>
      </w:r>
      <w:r w:rsidR="00D07791" w:rsidRPr="00EF2A33">
        <w:rPr>
          <w:lang w:val="en-GB"/>
        </w:rPr>
        <w:t xml:space="preserve">the </w:t>
      </w:r>
      <w:r w:rsidR="00FA7C47" w:rsidRPr="00EF2A33">
        <w:rPr>
          <w:lang w:val="en-GB"/>
        </w:rPr>
        <w:t xml:space="preserve">Indian </w:t>
      </w:r>
      <w:r w:rsidR="00751686" w:rsidRPr="00EF2A33">
        <w:rPr>
          <w:lang w:val="en-GB"/>
        </w:rPr>
        <w:t>context</w:t>
      </w:r>
      <w:r w:rsidR="00240BC8" w:rsidRPr="00EF2A33">
        <w:rPr>
          <w:lang w:val="en-GB"/>
        </w:rPr>
        <w:t>s</w:t>
      </w:r>
      <w:r w:rsidR="00751686" w:rsidRPr="00EF2A33">
        <w:rPr>
          <w:lang w:val="en-GB"/>
        </w:rPr>
        <w:t xml:space="preserve"> </w:t>
      </w:r>
      <w:r w:rsidR="004C41E3" w:rsidRPr="00EF2A33">
        <w:rPr>
          <w:lang w:val="en-GB"/>
        </w:rPr>
        <w:t xml:space="preserve">to </w:t>
      </w:r>
      <w:r w:rsidRPr="00EF2A33">
        <w:rPr>
          <w:lang w:val="en-GB"/>
        </w:rPr>
        <w:t>advocate for reconciling observed differences through governance structures. Building upon th</w:t>
      </w:r>
      <w:r w:rsidR="004C41E3" w:rsidRPr="00EF2A33">
        <w:rPr>
          <w:lang w:val="en-GB"/>
        </w:rPr>
        <w:t>ese</w:t>
      </w:r>
      <w:r w:rsidRPr="00EF2A33">
        <w:rPr>
          <w:lang w:val="en-GB"/>
        </w:rPr>
        <w:t xml:space="preserve"> call</w:t>
      </w:r>
      <w:r w:rsidR="004C41E3" w:rsidRPr="00EF2A33">
        <w:rPr>
          <w:lang w:val="en-GB"/>
        </w:rPr>
        <w:t>s</w:t>
      </w:r>
      <w:r w:rsidRPr="00EF2A33">
        <w:rPr>
          <w:lang w:val="en-GB"/>
        </w:rPr>
        <w:t>, our paper addresses the combination of accounting-based and market-based performance measures, providing novel insights from the perspective of a developing country.</w:t>
      </w:r>
    </w:p>
    <w:p w14:paraId="62CC3382" w14:textId="7EA50851" w:rsidR="00707A2F" w:rsidRPr="00EF2A33" w:rsidRDefault="00707A2F" w:rsidP="003D243F">
      <w:pPr>
        <w:rPr>
          <w:lang w:val="en-GB"/>
        </w:rPr>
      </w:pPr>
      <w:r w:rsidRPr="00EF2A33">
        <w:rPr>
          <w:lang w:val="en-GB"/>
        </w:rPr>
        <w:t>In the early stages of research in this domain, investigations primarily employed a limited set of variables related to firm performance. Commonly used market-based performance ratios included Tobin's Q, while accounting-based metrics encompassed return on equity, return on assets, and economic value added, as noted by Pintea and Fulop (2015). Despite the extensive duration of corporate governance research, certain aspects still lack consensus, underscoring the necessity to scrutini</w:t>
      </w:r>
      <w:r w:rsidR="00182680" w:rsidRPr="00EF2A33">
        <w:rPr>
          <w:lang w:val="en-GB"/>
        </w:rPr>
        <w:t>s</w:t>
      </w:r>
      <w:r w:rsidRPr="00EF2A33">
        <w:rPr>
          <w:lang w:val="en-GB"/>
        </w:rPr>
        <w:t>e the missing links among various variables. As a result, the subsequent generation of performance measures in governance literature should adopt a more comprehensive approach tailored to specific contexts.</w:t>
      </w:r>
      <w:r w:rsidR="00741991" w:rsidRPr="00EF2A33">
        <w:rPr>
          <w:lang w:val="en-GB"/>
        </w:rPr>
        <w:t xml:space="preserve"> </w:t>
      </w:r>
      <w:r w:rsidRPr="00EF2A33">
        <w:rPr>
          <w:lang w:val="en-GB"/>
        </w:rPr>
        <w:t xml:space="preserve">Historically, prior studies were </w:t>
      </w:r>
      <w:r w:rsidRPr="00EF2A33">
        <w:rPr>
          <w:lang w:val="en-GB"/>
        </w:rPr>
        <w:lastRenderedPageBreak/>
        <w:t>predominantly oriented towards either market-based (</w:t>
      </w:r>
      <w:proofErr w:type="spellStart"/>
      <w:r w:rsidR="00A76734" w:rsidRPr="00EF2A33">
        <w:rPr>
          <w:lang w:val="en-GB"/>
        </w:rPr>
        <w:t>Baboukardos</w:t>
      </w:r>
      <w:proofErr w:type="spellEnd"/>
      <w:r w:rsidR="00A76734" w:rsidRPr="00EF2A33">
        <w:rPr>
          <w:lang w:val="en-GB"/>
        </w:rPr>
        <w:t xml:space="preserve"> et al., 2021; </w:t>
      </w:r>
      <w:r w:rsidR="00F71990" w:rsidRPr="00EF2A33">
        <w:rPr>
          <w:lang w:val="en-GB"/>
        </w:rPr>
        <w:t xml:space="preserve">Das et al., 2023; </w:t>
      </w:r>
      <w:proofErr w:type="spellStart"/>
      <w:r w:rsidRPr="00EF2A33">
        <w:rPr>
          <w:lang w:val="en-GB"/>
        </w:rPr>
        <w:t>Demsetz</w:t>
      </w:r>
      <w:proofErr w:type="spellEnd"/>
      <w:r w:rsidRPr="00EF2A33">
        <w:rPr>
          <w:lang w:val="en-GB"/>
        </w:rPr>
        <w:t xml:space="preserve"> and Villalonga, 2001; </w:t>
      </w:r>
      <w:proofErr w:type="spellStart"/>
      <w:r w:rsidRPr="00EF2A33">
        <w:rPr>
          <w:lang w:val="en-GB"/>
        </w:rPr>
        <w:t>Kapopoulos</w:t>
      </w:r>
      <w:proofErr w:type="spellEnd"/>
      <w:r w:rsidRPr="00EF2A33">
        <w:rPr>
          <w:lang w:val="en-GB"/>
        </w:rPr>
        <w:t xml:space="preserve"> and </w:t>
      </w:r>
      <w:proofErr w:type="spellStart"/>
      <w:r w:rsidRPr="00EF2A33">
        <w:rPr>
          <w:lang w:val="en-GB"/>
        </w:rPr>
        <w:t>Lazaretou</w:t>
      </w:r>
      <w:proofErr w:type="spellEnd"/>
      <w:r w:rsidRPr="00EF2A33">
        <w:rPr>
          <w:lang w:val="en-GB"/>
        </w:rPr>
        <w:t>, 2007</w:t>
      </w:r>
      <w:r w:rsidR="00496B32" w:rsidRPr="00EF2A33">
        <w:rPr>
          <w:lang w:val="en-GB"/>
        </w:rPr>
        <w:t>; Rashid, 2018</w:t>
      </w:r>
      <w:r w:rsidRPr="00EF2A33">
        <w:rPr>
          <w:lang w:val="en-GB"/>
        </w:rPr>
        <w:t>) or accounting-based (</w:t>
      </w:r>
      <w:r w:rsidR="0042325B" w:rsidRPr="00EF2A33">
        <w:rPr>
          <w:lang w:val="en-GB"/>
        </w:rPr>
        <w:t xml:space="preserve">Das et al., 2023; </w:t>
      </w:r>
      <w:proofErr w:type="spellStart"/>
      <w:r w:rsidR="00340F5F" w:rsidRPr="00EF2A33">
        <w:rPr>
          <w:lang w:val="en-GB"/>
        </w:rPr>
        <w:t>Nuzul</w:t>
      </w:r>
      <w:proofErr w:type="spellEnd"/>
      <w:r w:rsidR="00340F5F" w:rsidRPr="00EF2A33">
        <w:rPr>
          <w:lang w:val="en-GB"/>
        </w:rPr>
        <w:t xml:space="preserve"> and </w:t>
      </w:r>
      <w:proofErr w:type="spellStart"/>
      <w:r w:rsidR="00340F5F" w:rsidRPr="00EF2A33">
        <w:rPr>
          <w:lang w:val="en-GB"/>
        </w:rPr>
        <w:t>Diyanty</w:t>
      </w:r>
      <w:proofErr w:type="spellEnd"/>
      <w:r w:rsidR="00340F5F" w:rsidRPr="00EF2A33">
        <w:rPr>
          <w:lang w:val="en-GB"/>
        </w:rPr>
        <w:t xml:space="preserve">, 2024; </w:t>
      </w:r>
      <w:r w:rsidRPr="00EF2A33">
        <w:rPr>
          <w:lang w:val="en-GB"/>
        </w:rPr>
        <w:t>Rouf and Hossain, 2018; Sobhan, 2021) assessments of company performance to analy</w:t>
      </w:r>
      <w:r w:rsidR="00182680" w:rsidRPr="00EF2A33">
        <w:rPr>
          <w:lang w:val="en-GB"/>
        </w:rPr>
        <w:t>s</w:t>
      </w:r>
      <w:r w:rsidRPr="00EF2A33">
        <w:rPr>
          <w:lang w:val="en-GB"/>
        </w:rPr>
        <w:t>e the impact of ownership on corporate outcomes. Notably, the number of studies that have concentrated on both accounting-based and market-based performance to analy</w:t>
      </w:r>
      <w:r w:rsidR="00182680" w:rsidRPr="00EF2A33">
        <w:rPr>
          <w:lang w:val="en-GB"/>
        </w:rPr>
        <w:t>s</w:t>
      </w:r>
      <w:r w:rsidRPr="00EF2A33">
        <w:rPr>
          <w:lang w:val="en-GB"/>
        </w:rPr>
        <w:t>e the association is notably scarce, as highlighted by Rashid (2020) and Tam and Tan (2007). In our examination of corporate board attributes,</w:t>
      </w:r>
      <w:r w:rsidR="0001150E" w:rsidRPr="00EF2A33">
        <w:rPr>
          <w:lang w:val="en-GB"/>
        </w:rPr>
        <w:t xml:space="preserve"> we consider</w:t>
      </w:r>
      <w:r w:rsidRPr="00EF2A33">
        <w:rPr>
          <w:lang w:val="en-GB"/>
        </w:rPr>
        <w:t xml:space="preserve"> board size</w:t>
      </w:r>
      <w:r w:rsidR="0001150E" w:rsidRPr="00EF2A33">
        <w:rPr>
          <w:lang w:val="en-GB"/>
        </w:rPr>
        <w:t>,</w:t>
      </w:r>
      <w:r w:rsidRPr="00EF2A33">
        <w:rPr>
          <w:lang w:val="en-GB"/>
        </w:rPr>
        <w:t xml:space="preserve"> independence,</w:t>
      </w:r>
      <w:r w:rsidR="0001150E" w:rsidRPr="00EF2A33">
        <w:rPr>
          <w:lang w:val="en-GB"/>
        </w:rPr>
        <w:t xml:space="preserve"> gender diversity, board </w:t>
      </w:r>
      <w:r w:rsidR="00DF60C4" w:rsidRPr="00EF2A33">
        <w:rPr>
          <w:lang w:val="en-GB"/>
        </w:rPr>
        <w:t>expertise</w:t>
      </w:r>
      <w:r w:rsidR="0001150E" w:rsidRPr="00EF2A33">
        <w:rPr>
          <w:lang w:val="en-GB"/>
        </w:rPr>
        <w:t xml:space="preserve">, </w:t>
      </w:r>
      <w:r w:rsidR="008F54BA" w:rsidRPr="00EF2A33">
        <w:rPr>
          <w:lang w:val="en-GB"/>
        </w:rPr>
        <w:t>directors’</w:t>
      </w:r>
      <w:r w:rsidR="00B24CCA" w:rsidRPr="00EF2A33">
        <w:rPr>
          <w:lang w:val="en-GB"/>
        </w:rPr>
        <w:t xml:space="preserve"> </w:t>
      </w:r>
      <w:r w:rsidR="0001150E" w:rsidRPr="00EF2A33">
        <w:rPr>
          <w:lang w:val="en-GB"/>
        </w:rPr>
        <w:t>education and family control with a view to</w:t>
      </w:r>
      <w:r w:rsidRPr="00EF2A33">
        <w:rPr>
          <w:lang w:val="en-GB"/>
        </w:rPr>
        <w:t xml:space="preserve"> </w:t>
      </w:r>
      <w:r w:rsidR="00182680" w:rsidRPr="00EF2A33">
        <w:rPr>
          <w:lang w:val="en-GB"/>
        </w:rPr>
        <w:t>uncovering</w:t>
      </w:r>
      <w:r w:rsidRPr="00EF2A33">
        <w:rPr>
          <w:lang w:val="en-GB"/>
        </w:rPr>
        <w:t xml:space="preserve"> their influence on the interplay between firm performance and ownership structure.</w:t>
      </w:r>
    </w:p>
    <w:p w14:paraId="098CCABE" w14:textId="4479865D" w:rsidR="00741991" w:rsidRPr="00EF2A33" w:rsidRDefault="00182680" w:rsidP="003D243F">
      <w:pPr>
        <w:rPr>
          <w:lang w:val="en-GB"/>
        </w:rPr>
      </w:pPr>
      <w:bookmarkStart w:id="1" w:name="_Hlk53515187"/>
      <w:r w:rsidRPr="00EF2A33">
        <w:rPr>
          <w:lang w:val="en-GB"/>
        </w:rPr>
        <w:t xml:space="preserve">This type of study is relatively limited in Bangladesh, as earlier research has only covered a few board characteristics, such as board size and independence. However, our study extends beyond these parameters by considering additional attributes, including gender diversity, board expertise, directors' education, and family control. Moreover, our study delves into the role of ownership structure, examining institutional ownership, sponsor ownership, foreign ownership, and government ownership. </w:t>
      </w:r>
      <w:r w:rsidR="00A278E3" w:rsidRPr="00EF2A33">
        <w:rPr>
          <w:lang w:val="en-GB"/>
        </w:rPr>
        <w:t>Bangladesh, as an emerging economy, has been diligently crafting its corporate governance framework by drawing inspiration from established best practices. This journey began in 2006 with the introduction of initial corporate governance rules, followed by the adoption of Corporate Governance Guidelines in 2012 and the implementation of the Corporate Governance Code in 2018 (Biswas, 2015). However, directly transplanting models from developed countries raises practical concerns, given the significant variations in legal and economic systems, cultural norms, capital market dynamics, and governance practices (Kang et al., 2007; Zulkifli et al., 2017). Consequently, conducting research specific to Bangladesh's unique context becomes crucial for unravelling the intricate nuances of its evolving corporate governance landscape (Mangena et al., 2012).</w:t>
      </w:r>
    </w:p>
    <w:p w14:paraId="0F928000" w14:textId="40AFB022" w:rsidR="003E2B79" w:rsidRPr="00EF2A33" w:rsidRDefault="00CB3599" w:rsidP="003D243F">
      <w:pPr>
        <w:rPr>
          <w:lang w:val="en-GB"/>
        </w:rPr>
      </w:pPr>
      <w:r w:rsidRPr="00EF2A33">
        <w:rPr>
          <w:lang w:val="en-GB"/>
        </w:rPr>
        <w:t>Bangladesh was selected as the focus of this study due to its remarkable economic growth, making it a standout player in Asia and the Pacific (</w:t>
      </w:r>
      <w:r w:rsidR="00CF7B83" w:rsidRPr="00EF2A33">
        <w:rPr>
          <w:lang w:val="en-GB"/>
        </w:rPr>
        <w:t>Asian Development Bank</w:t>
      </w:r>
      <w:r w:rsidRPr="00EF2A33">
        <w:rPr>
          <w:lang w:val="en-GB"/>
        </w:rPr>
        <w:t xml:space="preserve">, 2020). However, concerns about government interference in </w:t>
      </w:r>
      <w:r w:rsidR="0055799D" w:rsidRPr="00EF2A33">
        <w:rPr>
          <w:lang w:val="en-GB"/>
        </w:rPr>
        <w:t xml:space="preserve">the </w:t>
      </w:r>
      <w:r w:rsidRPr="00EF2A33">
        <w:rPr>
          <w:lang w:val="en-GB"/>
        </w:rPr>
        <w:t xml:space="preserve">private </w:t>
      </w:r>
      <w:r w:rsidR="0055799D" w:rsidRPr="00EF2A33">
        <w:rPr>
          <w:lang w:val="en-GB"/>
        </w:rPr>
        <w:t>sector</w:t>
      </w:r>
      <w:r w:rsidRPr="00EF2A33">
        <w:rPr>
          <w:lang w:val="en-GB"/>
        </w:rPr>
        <w:t xml:space="preserve"> underscore the need for effective corporate governance practices to sustain this growth (</w:t>
      </w:r>
      <w:proofErr w:type="spellStart"/>
      <w:r w:rsidRPr="00EF2A33">
        <w:rPr>
          <w:lang w:val="en-GB"/>
        </w:rPr>
        <w:t>Muttakin</w:t>
      </w:r>
      <w:proofErr w:type="spellEnd"/>
      <w:r w:rsidRPr="00EF2A33">
        <w:rPr>
          <w:lang w:val="en-GB"/>
        </w:rPr>
        <w:t xml:space="preserve"> et al., 2015; Rashid, 2018). As Bangladesh transitions from a Least Developed Country to a Lower-Middle-Income Country, projections place it among the world's top 23 economies by 2050, with significant influence on the global stage (</w:t>
      </w:r>
      <w:r w:rsidR="00FB684D" w:rsidRPr="00EF2A33">
        <w:rPr>
          <w:lang w:val="en-GB"/>
        </w:rPr>
        <w:t>Saha and Khan, 2024b</w:t>
      </w:r>
      <w:r w:rsidRPr="00EF2A33">
        <w:rPr>
          <w:lang w:val="en-GB"/>
        </w:rPr>
        <w:t xml:space="preserve">). The study's examination of the DSE30 index fills a critical gap in the literature, offering insights into how </w:t>
      </w:r>
      <w:r w:rsidRPr="00EF2A33">
        <w:rPr>
          <w:lang w:val="en-GB"/>
        </w:rPr>
        <w:lastRenderedPageBreak/>
        <w:t>board attributes influence firm performance in Bangladesh's market. Furthermore, this research facilitates comparisons with other economies, presenting valuable findings for investors and academics worldwide (Islam, 2021). Understanding the impact of board qualities on a company's success can lead to improved corporate governance practices, contributing to sustainable economic growth in Bangladesh and beyond.</w:t>
      </w:r>
      <w:r w:rsidR="00D370EE" w:rsidRPr="00EF2A33">
        <w:rPr>
          <w:lang w:val="en-GB"/>
        </w:rPr>
        <w:t xml:space="preserve"> </w:t>
      </w:r>
      <w:bookmarkStart w:id="2" w:name="2._Institutional_background_of_corporate"/>
      <w:bookmarkStart w:id="3" w:name="_Toc60915876"/>
      <w:bookmarkEnd w:id="2"/>
    </w:p>
    <w:p w14:paraId="773E37EB" w14:textId="325C4339" w:rsidR="006A3712" w:rsidRPr="00EF2A33" w:rsidRDefault="001B4B46" w:rsidP="003D243F">
      <w:pPr>
        <w:spacing w:before="240"/>
        <w:rPr>
          <w:lang w:val="en-GB"/>
        </w:rPr>
      </w:pPr>
      <w:r w:rsidRPr="00EF2A33">
        <w:rPr>
          <w:lang w:val="en-GB"/>
        </w:rPr>
        <w:t>The rest</w:t>
      </w:r>
      <w:r w:rsidR="00205B12" w:rsidRPr="00EF2A33">
        <w:rPr>
          <w:lang w:val="en-GB"/>
        </w:rPr>
        <w:t xml:space="preserve"> of this paper is organized as follows: </w:t>
      </w:r>
      <w:r w:rsidR="00A278E3" w:rsidRPr="00EF2A33">
        <w:rPr>
          <w:lang w:val="en-GB"/>
        </w:rPr>
        <w:t>S</w:t>
      </w:r>
      <w:r w:rsidR="00205B12" w:rsidRPr="00EF2A33">
        <w:rPr>
          <w:lang w:val="en-GB"/>
        </w:rPr>
        <w:t xml:space="preserve">ection </w:t>
      </w:r>
      <w:r w:rsidR="00A278E3" w:rsidRPr="00EF2A33">
        <w:rPr>
          <w:lang w:val="en-GB"/>
        </w:rPr>
        <w:t xml:space="preserve">2 </w:t>
      </w:r>
      <w:r w:rsidR="00205B12" w:rsidRPr="00EF2A33">
        <w:rPr>
          <w:lang w:val="en-GB"/>
        </w:rPr>
        <w:t xml:space="preserve">provides an overview of the </w:t>
      </w:r>
      <w:r w:rsidR="00241CAA" w:rsidRPr="00EF2A33">
        <w:rPr>
          <w:lang w:val="en-GB"/>
        </w:rPr>
        <w:t xml:space="preserve">regulatory influence through </w:t>
      </w:r>
      <w:r w:rsidR="00A566CA" w:rsidRPr="00EF2A33">
        <w:rPr>
          <w:lang w:val="en-GB"/>
        </w:rPr>
        <w:t xml:space="preserve">the </w:t>
      </w:r>
      <w:r w:rsidR="00E4781E" w:rsidRPr="00EF2A33">
        <w:rPr>
          <w:lang w:val="en-GB"/>
        </w:rPr>
        <w:t>revisions</w:t>
      </w:r>
      <w:r w:rsidR="00A566CA" w:rsidRPr="00EF2A33">
        <w:rPr>
          <w:lang w:val="en-GB"/>
        </w:rPr>
        <w:t xml:space="preserve"> in </w:t>
      </w:r>
      <w:r w:rsidR="00205B12" w:rsidRPr="00EF2A33">
        <w:rPr>
          <w:lang w:val="en-GB"/>
        </w:rPr>
        <w:t xml:space="preserve">corporate governance </w:t>
      </w:r>
      <w:r w:rsidR="00A566CA" w:rsidRPr="00EF2A33">
        <w:rPr>
          <w:lang w:val="en-GB"/>
        </w:rPr>
        <w:t>laws</w:t>
      </w:r>
      <w:r w:rsidR="00205B12" w:rsidRPr="00EF2A33">
        <w:rPr>
          <w:lang w:val="en-GB"/>
        </w:rPr>
        <w:t xml:space="preserve"> in Bangladesh. Following that, the conceptual framework is delineated, highlighting the key relationships to be investigated. Section 4 systematically organizes the literature review and the development of hypotheses. </w:t>
      </w:r>
      <w:r w:rsidR="00931B54" w:rsidRPr="00EF2A33">
        <w:rPr>
          <w:lang w:val="en-GB"/>
        </w:rPr>
        <w:t>Section 5</w:t>
      </w:r>
      <w:r w:rsidR="00205B12" w:rsidRPr="00EF2A33">
        <w:rPr>
          <w:lang w:val="en-GB"/>
        </w:rPr>
        <w:t xml:space="preserve"> delves into the research methodology. Subsequently, </w:t>
      </w:r>
      <w:r w:rsidR="00A278E3" w:rsidRPr="00EF2A33">
        <w:rPr>
          <w:lang w:val="en-GB"/>
        </w:rPr>
        <w:t>Section 6</w:t>
      </w:r>
      <w:r w:rsidR="00205B12" w:rsidRPr="00EF2A33">
        <w:rPr>
          <w:lang w:val="en-GB"/>
        </w:rPr>
        <w:t xml:space="preserve"> present</w:t>
      </w:r>
      <w:r w:rsidR="00A278E3" w:rsidRPr="00EF2A33">
        <w:rPr>
          <w:lang w:val="en-GB"/>
        </w:rPr>
        <w:t>s</w:t>
      </w:r>
      <w:r w:rsidR="00205B12" w:rsidRPr="00EF2A33">
        <w:rPr>
          <w:lang w:val="en-GB"/>
        </w:rPr>
        <w:t xml:space="preserve"> and </w:t>
      </w:r>
      <w:r w:rsidR="00A278E3" w:rsidRPr="00EF2A33">
        <w:rPr>
          <w:lang w:val="en-GB"/>
        </w:rPr>
        <w:t>discusses</w:t>
      </w:r>
      <w:r w:rsidR="00205B12" w:rsidRPr="00EF2A33">
        <w:rPr>
          <w:lang w:val="en-GB"/>
        </w:rPr>
        <w:t xml:space="preserve"> the findings, culminating in the conclusion</w:t>
      </w:r>
      <w:r w:rsidR="00A278E3" w:rsidRPr="00EF2A33">
        <w:rPr>
          <w:lang w:val="en-GB"/>
        </w:rPr>
        <w:t xml:space="preserve"> in Section 7</w:t>
      </w:r>
      <w:r w:rsidR="00205B12" w:rsidRPr="00EF2A33">
        <w:rPr>
          <w:lang w:val="en-GB"/>
        </w:rPr>
        <w:t>, where we discuss implications and suggest avenues for future research.</w:t>
      </w:r>
    </w:p>
    <w:p w14:paraId="474CE9C4" w14:textId="77A6DD48" w:rsidR="00083302" w:rsidRPr="00EF2A33" w:rsidRDefault="003E2B79" w:rsidP="009E55AB">
      <w:pPr>
        <w:spacing w:after="0"/>
        <w:rPr>
          <w:b/>
          <w:bCs/>
          <w:lang w:val="en-GB"/>
        </w:rPr>
      </w:pPr>
      <w:r w:rsidRPr="00EF2A33">
        <w:rPr>
          <w:b/>
          <w:bCs/>
          <w:lang w:val="en-GB"/>
        </w:rPr>
        <w:t xml:space="preserve">2. </w:t>
      </w:r>
      <w:r w:rsidR="00057301" w:rsidRPr="00EF2A33">
        <w:rPr>
          <w:b/>
          <w:bCs/>
          <w:lang w:val="en-GB"/>
        </w:rPr>
        <w:t>B</w:t>
      </w:r>
      <w:r w:rsidR="006F755B" w:rsidRPr="00EF2A33">
        <w:rPr>
          <w:b/>
          <w:bCs/>
          <w:lang w:val="en-GB"/>
        </w:rPr>
        <w:t xml:space="preserve">ackground </w:t>
      </w:r>
      <w:bookmarkEnd w:id="3"/>
    </w:p>
    <w:p w14:paraId="031F4D70" w14:textId="381D260C" w:rsidR="00414A3C" w:rsidRPr="00EF2A33" w:rsidRDefault="00414A3C" w:rsidP="003D243F">
      <w:pPr>
        <w:rPr>
          <w:lang w:val="en-GB"/>
        </w:rPr>
      </w:pPr>
      <w:r w:rsidRPr="00EF2A33">
        <w:rPr>
          <w:lang w:val="en-GB"/>
        </w:rPr>
        <w:t>The institutional background of corporate practices in Bangladesh has been shaped by its historical ties and regulatory framework. During its 200 years under British rule, the country's corporate governance system adopted several elements from the UK, including parliamentary democracy, the Companies Act, and a centrali</w:t>
      </w:r>
      <w:r w:rsidR="00755B87" w:rsidRPr="00EF2A33">
        <w:rPr>
          <w:lang w:val="en-GB"/>
        </w:rPr>
        <w:t>s</w:t>
      </w:r>
      <w:r w:rsidRPr="00EF2A33">
        <w:rPr>
          <w:lang w:val="en-GB"/>
        </w:rPr>
        <w:t>ed bureaucracy (Al Farooque et al., 2007). Family businesses have emerged as the dominant ownership model, and political affiliations play a significant role in the corporate landscape (</w:t>
      </w:r>
      <w:proofErr w:type="spellStart"/>
      <w:r w:rsidRPr="00EF2A33">
        <w:rPr>
          <w:lang w:val="en-GB"/>
        </w:rPr>
        <w:t>Muttakin</w:t>
      </w:r>
      <w:proofErr w:type="spellEnd"/>
      <w:r w:rsidRPr="00EF2A33">
        <w:rPr>
          <w:lang w:val="en-GB"/>
        </w:rPr>
        <w:t xml:space="preserve"> et al., 2015). The board of directors, as insiders, wields substantial control over most companies in Bangladesh, with many directors holding significant ownership stakes.</w:t>
      </w:r>
    </w:p>
    <w:p w14:paraId="31057F7F" w14:textId="4121F9E5" w:rsidR="00643D2D" w:rsidRPr="00EF2A33" w:rsidRDefault="008559C6" w:rsidP="003D243F">
      <w:pPr>
        <w:rPr>
          <w:lang w:val="en-GB"/>
        </w:rPr>
      </w:pPr>
      <w:r w:rsidRPr="00EF2A33">
        <w:rPr>
          <w:lang w:val="en-GB"/>
        </w:rPr>
        <w:t xml:space="preserve">In a bid to enhance corporate governance practices, the Bangladesh Securities and Exchange Commission (BSEC) introduced several corporate governance codes, undergoing revisions in 2006, 2012, and 2018. Noteworthy among these codes is the stipulation that one-fifth of the board should consist of non-investor members, </w:t>
      </w:r>
      <w:r w:rsidR="00A53A42" w:rsidRPr="00EF2A33">
        <w:rPr>
          <w:lang w:val="en-GB"/>
        </w:rPr>
        <w:t>to augment</w:t>
      </w:r>
      <w:r w:rsidRPr="00EF2A33">
        <w:rPr>
          <w:lang w:val="en-GB"/>
        </w:rPr>
        <w:t xml:space="preserve"> external oversight (BSEC, 2018). Additionally, the codes mandate the segregation of the roles of the chairman of the board and the CEO, a measure aimed at promoting accountability (BSEC, 2018). Furthermore, specific qualifications for directors are outlined, and there are specified ranges for the minimum and maximum number of individuals on the board (BSEC, 2018). This amalgamation of internal and external control mechanisms contributes to the overall corporate governance structure in Bangladesh, as noted by Rashid (2020)</w:t>
      </w:r>
      <w:r w:rsidR="001E0BAB" w:rsidRPr="00EF2A33">
        <w:rPr>
          <w:lang w:val="en-GB"/>
        </w:rPr>
        <w:t xml:space="preserve"> and Saha </w:t>
      </w:r>
      <w:r w:rsidR="00A40FD7" w:rsidRPr="00EF2A33">
        <w:rPr>
          <w:lang w:val="en-GB"/>
        </w:rPr>
        <w:t xml:space="preserve">and Khan </w:t>
      </w:r>
      <w:r w:rsidR="001E0BAB" w:rsidRPr="00EF2A33">
        <w:rPr>
          <w:lang w:val="en-GB"/>
        </w:rPr>
        <w:t>(2024b)</w:t>
      </w:r>
      <w:r w:rsidRPr="00EF2A33">
        <w:rPr>
          <w:lang w:val="en-GB"/>
        </w:rPr>
        <w:t>.</w:t>
      </w:r>
    </w:p>
    <w:p w14:paraId="0759AC8E" w14:textId="29FD4EFE" w:rsidR="00D6230A" w:rsidRPr="00EF2A33" w:rsidRDefault="003E2B79" w:rsidP="009E55AB">
      <w:pPr>
        <w:spacing w:after="0"/>
        <w:rPr>
          <w:b/>
          <w:bCs/>
          <w:lang w:val="en-GB"/>
        </w:rPr>
      </w:pPr>
      <w:r w:rsidRPr="00EF2A33">
        <w:rPr>
          <w:b/>
          <w:bCs/>
          <w:lang w:val="en-GB"/>
        </w:rPr>
        <w:t xml:space="preserve">3. </w:t>
      </w:r>
      <w:r w:rsidR="00D6230A" w:rsidRPr="00EF2A33">
        <w:rPr>
          <w:b/>
          <w:bCs/>
          <w:lang w:val="en-GB"/>
        </w:rPr>
        <w:t>Theoretical Framework</w:t>
      </w:r>
    </w:p>
    <w:p w14:paraId="0E7FA389" w14:textId="77777777" w:rsidR="00AA4DA9" w:rsidRPr="00EF2A33" w:rsidRDefault="00AA4DA9" w:rsidP="00AA4DA9">
      <w:pPr>
        <w:rPr>
          <w:lang w:val="en-GB"/>
        </w:rPr>
      </w:pPr>
      <w:bookmarkStart w:id="4" w:name="_Toc60915877"/>
      <w:r w:rsidRPr="00EF2A33">
        <w:rPr>
          <w:lang w:val="en-GB"/>
        </w:rPr>
        <w:lastRenderedPageBreak/>
        <w:t>Agency theory provides a crucial lens through which to understand corporate governance mechanisms, particularly in the context of emerging markets like Bangladesh (</w:t>
      </w:r>
      <w:proofErr w:type="spellStart"/>
      <w:r w:rsidRPr="00EF2A33">
        <w:rPr>
          <w:lang w:val="en-GB"/>
        </w:rPr>
        <w:t>Boshnak</w:t>
      </w:r>
      <w:proofErr w:type="spellEnd"/>
      <w:r w:rsidRPr="00EF2A33">
        <w:rPr>
          <w:lang w:val="en-GB"/>
        </w:rPr>
        <w:t>, 2023; Bachiller, 2015). In such environments, where economic, legal, and cultural factors may differ significantly from those of developed economies, the agency problem takes on unique dimensions. Previous research has highlighted the challenges faced by shareholders in monitoring and controlling managers, particularly in environments with weak institutional frameworks and information asymmetry (</w:t>
      </w:r>
      <w:proofErr w:type="spellStart"/>
      <w:r w:rsidRPr="00EF2A33">
        <w:rPr>
          <w:lang w:val="en-GB"/>
        </w:rPr>
        <w:t>Boshnak</w:t>
      </w:r>
      <w:proofErr w:type="spellEnd"/>
      <w:r w:rsidRPr="00EF2A33">
        <w:rPr>
          <w:lang w:val="en-GB"/>
        </w:rPr>
        <w:t>, 2023).</w:t>
      </w:r>
    </w:p>
    <w:p w14:paraId="1E8FD709" w14:textId="77777777" w:rsidR="00AA4DA9" w:rsidRPr="00EF2A33" w:rsidRDefault="00AA4DA9" w:rsidP="00AA4DA9">
      <w:pPr>
        <w:rPr>
          <w:lang w:val="en-GB"/>
        </w:rPr>
      </w:pPr>
      <w:r w:rsidRPr="00EF2A33">
        <w:rPr>
          <w:lang w:val="en-GB"/>
        </w:rPr>
        <w:t>In Bangladesh, where corporate governance practices are still evolving, agency theory offers valuable insights into the challenges and opportunities inherent in balancing the interests of shareholders and managers. As the nation strives to align its governance practices with international standards, understanding the role of ownership structures and corporate boards becomes paramount (</w:t>
      </w:r>
      <w:proofErr w:type="spellStart"/>
      <w:r w:rsidRPr="00EF2A33">
        <w:rPr>
          <w:lang w:val="en-GB"/>
        </w:rPr>
        <w:t>Boshnak</w:t>
      </w:r>
      <w:proofErr w:type="spellEnd"/>
      <w:r w:rsidRPr="00EF2A33">
        <w:rPr>
          <w:lang w:val="en-GB"/>
        </w:rPr>
        <w:t>, 2023; Bachiller, 2015).</w:t>
      </w:r>
    </w:p>
    <w:p w14:paraId="22AD4E69" w14:textId="77777777" w:rsidR="00AA4DA9" w:rsidRPr="00EF2A33" w:rsidRDefault="00AA4DA9" w:rsidP="00AA4DA9">
      <w:pPr>
        <w:rPr>
          <w:lang w:val="en-GB"/>
        </w:rPr>
      </w:pPr>
      <w:r w:rsidRPr="00EF2A33">
        <w:rPr>
          <w:lang w:val="en-GB"/>
        </w:rPr>
        <w:t>One of the key dilemmas facing investors in emerging markets like Bangladesh is ensuring that their investments are safeguarded and utilized effectively. The agency problem, rooted in the separation of ownership and management, exacerbates these challenges by creating potential conflicts of interest between principals and agents (</w:t>
      </w:r>
      <w:proofErr w:type="spellStart"/>
      <w:r w:rsidRPr="00EF2A33">
        <w:rPr>
          <w:lang w:val="en-GB"/>
        </w:rPr>
        <w:t>Boshnak</w:t>
      </w:r>
      <w:proofErr w:type="spellEnd"/>
      <w:r w:rsidRPr="00EF2A33">
        <w:rPr>
          <w:lang w:val="en-GB"/>
        </w:rPr>
        <w:t xml:space="preserve">, 2023; Shleifer and </w:t>
      </w:r>
      <w:proofErr w:type="spellStart"/>
      <w:r w:rsidRPr="00EF2A33">
        <w:rPr>
          <w:lang w:val="en-GB"/>
        </w:rPr>
        <w:t>Vishny</w:t>
      </w:r>
      <w:proofErr w:type="spellEnd"/>
      <w:r w:rsidRPr="00EF2A33">
        <w:rPr>
          <w:lang w:val="en-GB"/>
        </w:rPr>
        <w:t>, 1997). Effective corporate governance mechanisms, including robust ownership structures and competent corporate boards, are essential for mitigating these agency costs and enhancing firm performance in the Bangladeshi context.</w:t>
      </w:r>
    </w:p>
    <w:p w14:paraId="25C70A67" w14:textId="77777777" w:rsidR="001B4B46" w:rsidRPr="00EF2A33" w:rsidRDefault="0013188F" w:rsidP="001B4B46">
      <w:pPr>
        <w:spacing w:after="0"/>
        <w:rPr>
          <w:lang w:val="en-GB"/>
        </w:rPr>
      </w:pPr>
      <w:r w:rsidRPr="00EF2A33">
        <w:rPr>
          <w:lang w:val="en-GB"/>
        </w:rPr>
        <w:t xml:space="preserve">Figure 1 illustrates the </w:t>
      </w:r>
      <w:r w:rsidR="007A36A1" w:rsidRPr="00EF2A33">
        <w:rPr>
          <w:lang w:val="en-GB"/>
        </w:rPr>
        <w:t>a</w:t>
      </w:r>
      <w:r w:rsidR="00D63030" w:rsidRPr="00EF2A33">
        <w:rPr>
          <w:lang w:val="en-GB"/>
        </w:rPr>
        <w:t xml:space="preserve">gency </w:t>
      </w:r>
      <w:r w:rsidRPr="00EF2A33">
        <w:rPr>
          <w:lang w:val="en-GB"/>
        </w:rPr>
        <w:t xml:space="preserve">relationship between </w:t>
      </w:r>
      <w:r w:rsidR="00D63030" w:rsidRPr="00EF2A33">
        <w:rPr>
          <w:lang w:val="en-GB"/>
        </w:rPr>
        <w:t>ownership structure</w:t>
      </w:r>
      <w:r w:rsidR="004A0EBB" w:rsidRPr="00EF2A33">
        <w:rPr>
          <w:lang w:val="en-GB"/>
        </w:rPr>
        <w:t xml:space="preserve">, </w:t>
      </w:r>
      <w:r w:rsidR="00504B87" w:rsidRPr="00EF2A33">
        <w:rPr>
          <w:lang w:val="en-GB"/>
        </w:rPr>
        <w:t>director</w:t>
      </w:r>
      <w:r w:rsidR="00CC3E29" w:rsidRPr="00EF2A33">
        <w:rPr>
          <w:lang w:val="en-GB"/>
        </w:rPr>
        <w:t xml:space="preserve"> </w:t>
      </w:r>
      <w:r w:rsidR="00504B87" w:rsidRPr="00EF2A33">
        <w:rPr>
          <w:lang w:val="en-GB"/>
        </w:rPr>
        <w:t>characteristics</w:t>
      </w:r>
      <w:r w:rsidRPr="00EF2A33">
        <w:rPr>
          <w:lang w:val="en-GB"/>
        </w:rPr>
        <w:t xml:space="preserve"> and </w:t>
      </w:r>
      <w:r w:rsidR="0061657D" w:rsidRPr="00EF2A33">
        <w:rPr>
          <w:lang w:val="en-GB"/>
        </w:rPr>
        <w:t>firm performances</w:t>
      </w:r>
      <w:r w:rsidRPr="00EF2A33">
        <w:rPr>
          <w:lang w:val="en-GB"/>
        </w:rPr>
        <w:t xml:space="preserve"> used in this study.</w:t>
      </w:r>
    </w:p>
    <w:p w14:paraId="55B8E4C1" w14:textId="428FE813" w:rsidR="002129E5" w:rsidRPr="00EF2A33" w:rsidRDefault="00790325" w:rsidP="001B4B46">
      <w:pPr>
        <w:spacing w:after="0"/>
        <w:rPr>
          <w:lang w:val="en-GB"/>
        </w:rPr>
      </w:pPr>
      <w:r w:rsidRPr="00EF2A33">
        <w:rPr>
          <w:noProof/>
          <w:lang w:val="en-GB" w:eastAsia="en-GB"/>
        </w:rPr>
        <mc:AlternateContent>
          <mc:Choice Requires="wpg">
            <w:drawing>
              <wp:anchor distT="0" distB="0" distL="114300" distR="114300" simplePos="0" relativeHeight="251660288" behindDoc="0" locked="0" layoutInCell="1" allowOverlap="1" wp14:anchorId="7729FB91" wp14:editId="3CB8EBCD">
                <wp:simplePos x="0" y="0"/>
                <wp:positionH relativeFrom="column">
                  <wp:posOffset>76200</wp:posOffset>
                </wp:positionH>
                <wp:positionV relativeFrom="paragraph">
                  <wp:posOffset>271145</wp:posOffset>
                </wp:positionV>
                <wp:extent cx="6048375" cy="3571875"/>
                <wp:effectExtent l="0" t="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8375" cy="3571875"/>
                          <a:chOff x="0" y="0"/>
                          <a:chExt cx="7486651" cy="3619500"/>
                        </a:xfrm>
                      </wpg:grpSpPr>
                      <wps:wsp>
                        <wps:cNvPr id="2" name="Rectangle 2"/>
                        <wps:cNvSpPr/>
                        <wps:spPr>
                          <a:xfrm>
                            <a:off x="1819276" y="19049"/>
                            <a:ext cx="2238375" cy="1448054"/>
                          </a:xfrm>
                          <a:prstGeom prst="rect">
                            <a:avLst/>
                          </a:prstGeom>
                          <a:noFill/>
                          <a:ln w="1905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457701" y="19050"/>
                            <a:ext cx="1154339" cy="3600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B9BDC" w14:textId="77777777" w:rsidR="00657D84" w:rsidRPr="00013DDA" w:rsidRDefault="00657D84" w:rsidP="002129E5">
                              <w:pPr>
                                <w:jc w:val="center"/>
                                <w:rPr>
                                  <w:color w:val="000000" w:themeColor="text1"/>
                                  <w:sz w:val="20"/>
                                  <w:szCs w:val="20"/>
                                </w:rPr>
                              </w:pPr>
                              <w:r w:rsidRPr="00013DDA">
                                <w:rPr>
                                  <w:color w:val="000000" w:themeColor="text1"/>
                                  <w:sz w:val="20"/>
                                  <w:szCs w:val="20"/>
                                </w:rPr>
                                <w:t>Agency Framework</w:t>
                              </w:r>
                            </w:p>
                            <w:p w14:paraId="52F706FC" w14:textId="77777777" w:rsidR="00657D84" w:rsidRDefault="00657D84" w:rsidP="00212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121801" y="0"/>
                            <a:ext cx="1364850" cy="36195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3D6FF" w14:textId="77777777" w:rsidR="00657D84" w:rsidRPr="00013DDA" w:rsidRDefault="00657D84" w:rsidP="002129E5">
                              <w:pPr>
                                <w:jc w:val="center"/>
                                <w:rPr>
                                  <w:color w:val="000000" w:themeColor="text1"/>
                                  <w:sz w:val="20"/>
                                  <w:szCs w:val="20"/>
                                </w:rPr>
                              </w:pPr>
                              <w:r w:rsidRPr="00013DDA">
                                <w:rPr>
                                  <w:color w:val="000000" w:themeColor="text1"/>
                                  <w:sz w:val="20"/>
                                  <w:szCs w:val="20"/>
                                </w:rPr>
                                <w:t>Firm performance</w:t>
                              </w:r>
                            </w:p>
                            <w:p w14:paraId="7EEBF296" w14:textId="77777777" w:rsidR="00657D84" w:rsidRPr="00013DDA" w:rsidRDefault="00657D84" w:rsidP="002129E5">
                              <w:pPr>
                                <w:jc w:val="center"/>
                                <w:rPr>
                                  <w:color w:val="000000" w:themeColor="text1"/>
                                  <w:sz w:val="20"/>
                                  <w:szCs w:val="20"/>
                                </w:rPr>
                              </w:pPr>
                              <w:r w:rsidRPr="00013DDA">
                                <w:rPr>
                                  <w:color w:val="000000" w:themeColor="text1"/>
                                  <w:sz w:val="20"/>
                                  <w:szCs w:val="20"/>
                                </w:rPr>
                                <w:t>(Accounting and Market based)</w:t>
                              </w:r>
                            </w:p>
                            <w:p w14:paraId="3CC671A8" w14:textId="77777777" w:rsidR="00657D84" w:rsidRDefault="00657D84" w:rsidP="00212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706970" name="Rectangle 7"/>
                        <wps:cNvSpPr>
                          <a:spLocks noChangeArrowheads="1"/>
                        </wps:cNvSpPr>
                        <wps:spPr bwMode="auto">
                          <a:xfrm>
                            <a:off x="1952625" y="133350"/>
                            <a:ext cx="197167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24031BF7" w14:textId="77777777" w:rsidR="00657D84" w:rsidRPr="00F40AF5" w:rsidRDefault="00657D84" w:rsidP="002129E5">
                              <w:pPr>
                                <w:spacing w:after="0" w:line="240" w:lineRule="auto"/>
                                <w:jc w:val="center"/>
                                <w:rPr>
                                  <w:color w:val="000000" w:themeColor="text1"/>
                                  <w:sz w:val="20"/>
                                  <w:szCs w:val="20"/>
                                </w:rPr>
                              </w:pPr>
                              <w:r w:rsidRPr="00F40AF5">
                                <w:rPr>
                                  <w:color w:val="000000" w:themeColor="text1"/>
                                  <w:sz w:val="20"/>
                                  <w:szCs w:val="20"/>
                                </w:rPr>
                                <w:t>Institutional ownership</w:t>
                              </w:r>
                            </w:p>
                            <w:p w14:paraId="265495B8" w14:textId="77777777" w:rsidR="00657D84"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5" name="Rectangle 7"/>
                        <wps:cNvSpPr>
                          <a:spLocks noChangeArrowheads="1"/>
                        </wps:cNvSpPr>
                        <wps:spPr bwMode="auto">
                          <a:xfrm>
                            <a:off x="1952625" y="447675"/>
                            <a:ext cx="197167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16007628" w14:textId="77777777" w:rsidR="00657D84" w:rsidRDefault="00657D84" w:rsidP="002129E5">
                              <w:pPr>
                                <w:spacing w:after="0" w:line="240" w:lineRule="auto"/>
                                <w:jc w:val="center"/>
                                <w:rPr>
                                  <w:color w:val="000000" w:themeColor="text1"/>
                                  <w:sz w:val="20"/>
                                  <w:szCs w:val="20"/>
                                </w:rPr>
                              </w:pPr>
                              <w:r w:rsidRPr="00F40AF5">
                                <w:rPr>
                                  <w:color w:val="000000" w:themeColor="text1"/>
                                  <w:sz w:val="20"/>
                                  <w:szCs w:val="20"/>
                                </w:rPr>
                                <w:t xml:space="preserve">Foreign </w:t>
                              </w:r>
                              <w:r>
                                <w:rPr>
                                  <w:color w:val="000000" w:themeColor="text1"/>
                                  <w:sz w:val="20"/>
                                  <w:szCs w:val="20"/>
                                </w:rPr>
                                <w:t>ownership</w:t>
                              </w:r>
                            </w:p>
                            <w:p w14:paraId="2AC1ACDB" w14:textId="77777777" w:rsidR="00657D84"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6" name="Rectangle 7"/>
                        <wps:cNvSpPr>
                          <a:spLocks noChangeArrowheads="1"/>
                        </wps:cNvSpPr>
                        <wps:spPr bwMode="auto">
                          <a:xfrm>
                            <a:off x="1952625" y="785029"/>
                            <a:ext cx="1971674" cy="228430"/>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63111C9B" w14:textId="77777777" w:rsidR="00657D84" w:rsidRPr="00F40AF5" w:rsidRDefault="00657D84" w:rsidP="002129E5">
                              <w:pPr>
                                <w:spacing w:after="0" w:line="240" w:lineRule="auto"/>
                                <w:jc w:val="center"/>
                                <w:rPr>
                                  <w:color w:val="000000" w:themeColor="text1"/>
                                  <w:sz w:val="20"/>
                                  <w:szCs w:val="20"/>
                                </w:rPr>
                              </w:pPr>
                              <w:r w:rsidRPr="00F40AF5">
                                <w:rPr>
                                  <w:color w:val="000000" w:themeColor="text1"/>
                                  <w:sz w:val="20"/>
                                  <w:szCs w:val="20"/>
                                </w:rPr>
                                <w:t>Director and sponsor ownership</w:t>
                              </w:r>
                            </w:p>
                            <w:p w14:paraId="2283585A" w14:textId="77777777" w:rsidR="00657D84" w:rsidRPr="00F40AF5"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7" name="Rectangle 7"/>
                        <wps:cNvSpPr>
                          <a:spLocks noChangeArrowheads="1"/>
                        </wps:cNvSpPr>
                        <wps:spPr bwMode="auto">
                          <a:xfrm>
                            <a:off x="1952625" y="1085596"/>
                            <a:ext cx="1971675" cy="284988"/>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23E139B5" w14:textId="77777777" w:rsidR="00657D84" w:rsidRPr="006C2646" w:rsidRDefault="00657D84" w:rsidP="002129E5">
                              <w:pPr>
                                <w:spacing w:after="0" w:line="240" w:lineRule="auto"/>
                                <w:jc w:val="center"/>
                                <w:rPr>
                                  <w:color w:val="00B050"/>
                                  <w:sz w:val="20"/>
                                  <w:szCs w:val="20"/>
                                </w:rPr>
                              </w:pPr>
                              <w:r w:rsidRPr="006C2646">
                                <w:rPr>
                                  <w:color w:val="00B050"/>
                                  <w:sz w:val="20"/>
                                  <w:szCs w:val="20"/>
                                </w:rPr>
                                <w:t>Government ownership</w:t>
                              </w:r>
                            </w:p>
                            <w:p w14:paraId="126F9366" w14:textId="77777777" w:rsidR="00657D84" w:rsidRPr="00F40AF5"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8" name="Rectangle 8"/>
                        <wps:cNvSpPr/>
                        <wps:spPr>
                          <a:xfrm>
                            <a:off x="1819275" y="1581150"/>
                            <a:ext cx="2238375" cy="1990725"/>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7"/>
                        <wps:cNvSpPr>
                          <a:spLocks noChangeArrowheads="1"/>
                        </wps:cNvSpPr>
                        <wps:spPr bwMode="auto">
                          <a:xfrm>
                            <a:off x="1981200" y="1933575"/>
                            <a:ext cx="181927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5D765DD6" w14:textId="77777777" w:rsidR="00657D84" w:rsidRPr="006F1E62" w:rsidRDefault="00657D84" w:rsidP="002129E5">
                              <w:pPr>
                                <w:jc w:val="center"/>
                                <w:rPr>
                                  <w:color w:val="000000" w:themeColor="text1"/>
                                  <w:sz w:val="20"/>
                                  <w:szCs w:val="20"/>
                                </w:rPr>
                              </w:pPr>
                              <w:r w:rsidRPr="006F1E62">
                                <w:rPr>
                                  <w:color w:val="000000" w:themeColor="text1"/>
                                  <w:sz w:val="20"/>
                                  <w:szCs w:val="20"/>
                                </w:rPr>
                                <w:t xml:space="preserve">Board Independence </w:t>
                              </w:r>
                            </w:p>
                            <w:p w14:paraId="20FAB3E9" w14:textId="77777777" w:rsidR="00657D84"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10" name="Rectangle 7"/>
                        <wps:cNvSpPr>
                          <a:spLocks noChangeArrowheads="1"/>
                        </wps:cNvSpPr>
                        <wps:spPr bwMode="auto">
                          <a:xfrm>
                            <a:off x="1990725" y="2247900"/>
                            <a:ext cx="178117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4CD4AAF7" w14:textId="77777777" w:rsidR="00657D84" w:rsidRPr="00C07BE3" w:rsidRDefault="00657D84" w:rsidP="002129E5">
                              <w:pPr>
                                <w:jc w:val="center"/>
                                <w:rPr>
                                  <w:color w:val="000000" w:themeColor="text1"/>
                                  <w:sz w:val="20"/>
                                  <w:szCs w:val="20"/>
                                </w:rPr>
                              </w:pPr>
                              <w:r w:rsidRPr="00C07BE3">
                                <w:rPr>
                                  <w:color w:val="00B050"/>
                                  <w:sz w:val="20"/>
                                  <w:szCs w:val="20"/>
                                  <w:lang w:bidi="bn-BD"/>
                                </w:rPr>
                                <w:t>Board Gender Diversity</w:t>
                              </w:r>
                            </w:p>
                          </w:txbxContent>
                        </wps:txbx>
                        <wps:bodyPr rot="0" vert="horz" wrap="square" lIns="91440" tIns="45720" rIns="91440" bIns="45720" anchor="ctr" anchorCtr="0" upright="1">
                          <a:noAutofit/>
                        </wps:bodyPr>
                      </wps:wsp>
                      <wps:wsp>
                        <wps:cNvPr id="11" name="Rectangle 7"/>
                        <wps:cNvSpPr>
                          <a:spLocks noChangeArrowheads="1"/>
                        </wps:cNvSpPr>
                        <wps:spPr bwMode="auto">
                          <a:xfrm>
                            <a:off x="1990725" y="2562225"/>
                            <a:ext cx="178117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15AF9DD9" w14:textId="77777777" w:rsidR="00657D84" w:rsidRPr="00105453" w:rsidRDefault="00657D84" w:rsidP="002129E5">
                              <w:pPr>
                                <w:jc w:val="center"/>
                                <w:rPr>
                                  <w:color w:val="000000" w:themeColor="text1"/>
                                  <w:sz w:val="20"/>
                                  <w:szCs w:val="20"/>
                                </w:rPr>
                              </w:pPr>
                              <w:r w:rsidRPr="00105453">
                                <w:rPr>
                                  <w:color w:val="00B050"/>
                                  <w:sz w:val="20"/>
                                  <w:szCs w:val="20"/>
                                  <w:lang w:bidi="bn-BD"/>
                                </w:rPr>
                                <w:t>Board Meeting</w:t>
                              </w:r>
                            </w:p>
                          </w:txbxContent>
                        </wps:txbx>
                        <wps:bodyPr rot="0" vert="horz" wrap="square" lIns="91440" tIns="45720" rIns="91440" bIns="45720" anchor="ctr" anchorCtr="0" upright="1">
                          <a:noAutofit/>
                        </wps:bodyPr>
                      </wps:wsp>
                      <wps:wsp>
                        <wps:cNvPr id="12" name="Rectangle 12"/>
                        <wps:cNvSpPr>
                          <a:spLocks noChangeArrowheads="1"/>
                        </wps:cNvSpPr>
                        <wps:spPr bwMode="auto">
                          <a:xfrm>
                            <a:off x="2019300" y="2867025"/>
                            <a:ext cx="1752600"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0D4758B0" w14:textId="77777777" w:rsidR="00657D84" w:rsidRPr="00F8508A" w:rsidRDefault="00657D84" w:rsidP="002129E5">
                              <w:pPr>
                                <w:jc w:val="center"/>
                                <w:rPr>
                                  <w:color w:val="000000" w:themeColor="text1"/>
                                  <w:sz w:val="20"/>
                                  <w:szCs w:val="20"/>
                                </w:rPr>
                              </w:pPr>
                              <w:r w:rsidRPr="00F8508A">
                                <w:rPr>
                                  <w:color w:val="00B050"/>
                                  <w:sz w:val="20"/>
                                  <w:szCs w:val="20"/>
                                </w:rPr>
                                <w:t>Family Ownership</w:t>
                              </w:r>
                            </w:p>
                          </w:txbxContent>
                        </wps:txbx>
                        <wps:bodyPr rot="0" vert="horz" wrap="square" lIns="91440" tIns="45720" rIns="91440" bIns="45720" anchor="ctr" anchorCtr="0" upright="1">
                          <a:noAutofit/>
                        </wps:bodyPr>
                      </wps:wsp>
                      <wps:wsp>
                        <wps:cNvPr id="13" name="Rectangle 7"/>
                        <wps:cNvSpPr>
                          <a:spLocks noChangeArrowheads="1"/>
                        </wps:cNvSpPr>
                        <wps:spPr bwMode="auto">
                          <a:xfrm>
                            <a:off x="1981200" y="1647825"/>
                            <a:ext cx="1790700"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05221D06" w14:textId="77777777" w:rsidR="00657D84" w:rsidRPr="006F1E62" w:rsidRDefault="00657D84" w:rsidP="002129E5">
                              <w:pPr>
                                <w:jc w:val="center"/>
                                <w:rPr>
                                  <w:color w:val="000000" w:themeColor="text1"/>
                                  <w:sz w:val="20"/>
                                  <w:szCs w:val="20"/>
                                </w:rPr>
                              </w:pPr>
                              <w:r w:rsidRPr="006F1E62">
                                <w:rPr>
                                  <w:color w:val="000000" w:themeColor="text1"/>
                                  <w:sz w:val="20"/>
                                  <w:szCs w:val="20"/>
                                </w:rPr>
                                <w:t>Board Size</w:t>
                              </w:r>
                            </w:p>
                            <w:p w14:paraId="08C034CB" w14:textId="77777777" w:rsidR="00657D84"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14" name="Rectangle 14"/>
                        <wps:cNvSpPr>
                          <a:spLocks noChangeArrowheads="1"/>
                        </wps:cNvSpPr>
                        <wps:spPr bwMode="auto">
                          <a:xfrm>
                            <a:off x="2047875" y="3181350"/>
                            <a:ext cx="1724025" cy="23431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50B5F968" w14:textId="77777777" w:rsidR="00657D84" w:rsidRPr="00415A7D" w:rsidRDefault="00657D84" w:rsidP="002129E5">
                              <w:pPr>
                                <w:jc w:val="center"/>
                                <w:rPr>
                                  <w:color w:val="000000" w:themeColor="text1"/>
                                  <w:sz w:val="20"/>
                                  <w:szCs w:val="20"/>
                                </w:rPr>
                              </w:pPr>
                              <w:r w:rsidRPr="00415A7D">
                                <w:rPr>
                                  <w:color w:val="00B050"/>
                                  <w:sz w:val="20"/>
                                  <w:szCs w:val="20"/>
                                </w:rPr>
                                <w:t>Education</w:t>
                              </w:r>
                            </w:p>
                          </w:txbxContent>
                        </wps:txbx>
                        <wps:bodyPr rot="0" vert="horz" wrap="square" lIns="91440" tIns="45720" rIns="91440" bIns="45720" anchor="ctr" anchorCtr="0" upright="1">
                          <a:noAutofit/>
                        </wps:bodyPr>
                      </wps:wsp>
                      <wps:wsp>
                        <wps:cNvPr id="17" name="Straight Arrow Connector 17"/>
                        <wps:cNvCnPr/>
                        <wps:spPr>
                          <a:xfrm>
                            <a:off x="1343025" y="752475"/>
                            <a:ext cx="4762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Rectangle 7"/>
                        <wps:cNvSpPr>
                          <a:spLocks noChangeArrowheads="1"/>
                        </wps:cNvSpPr>
                        <wps:spPr bwMode="auto">
                          <a:xfrm>
                            <a:off x="0" y="371475"/>
                            <a:ext cx="1352550" cy="2425065"/>
                          </a:xfrm>
                          <a:prstGeom prst="rect">
                            <a:avLst/>
                          </a:prstGeom>
                          <a:solidFill>
                            <a:schemeClr val="bg1">
                              <a:lumMod val="100000"/>
                              <a:lumOff val="0"/>
                            </a:schemeClr>
                          </a:solidFill>
                          <a:ln w="0">
                            <a:solidFill>
                              <a:schemeClr val="tx1">
                                <a:lumMod val="100000"/>
                                <a:lumOff val="0"/>
                              </a:schemeClr>
                            </a:solidFill>
                            <a:miter lim="800000"/>
                            <a:headEnd/>
                            <a:tailEnd/>
                          </a:ln>
                        </wps:spPr>
                        <wps:txbx>
                          <w:txbxContent>
                            <w:p w14:paraId="702DE451" w14:textId="77777777" w:rsidR="00657D84" w:rsidRPr="00F40AF5" w:rsidRDefault="00657D84" w:rsidP="002129E5">
                              <w:pPr>
                                <w:spacing w:after="0" w:line="240" w:lineRule="auto"/>
                                <w:jc w:val="center"/>
                                <w:rPr>
                                  <w:color w:val="000000" w:themeColor="text1"/>
                                  <w:sz w:val="20"/>
                                  <w:szCs w:val="20"/>
                                </w:rPr>
                              </w:pPr>
                              <w:r>
                                <w:rPr>
                                  <w:color w:val="000000" w:themeColor="text1"/>
                                  <w:sz w:val="20"/>
                                  <w:szCs w:val="20"/>
                                </w:rPr>
                                <w:t>CG Guidelines and Regulatory Influence</w:t>
                              </w:r>
                            </w:p>
                            <w:p w14:paraId="2B9CF9F4" w14:textId="77777777" w:rsidR="00657D84" w:rsidRDefault="00657D84" w:rsidP="002129E5">
                              <w:pPr>
                                <w:jc w:val="center"/>
                                <w:rPr>
                                  <w:color w:val="000000" w:themeColor="text1"/>
                                  <w:sz w:val="20"/>
                                  <w:szCs w:val="20"/>
                                </w:rPr>
                              </w:pPr>
                            </w:p>
                          </w:txbxContent>
                        </wps:txbx>
                        <wps:bodyPr rot="0" vert="horz" wrap="square" lIns="91440" tIns="45720" rIns="91440" bIns="45720" anchor="ctr" anchorCtr="0" upright="1">
                          <a:noAutofit/>
                        </wps:bodyPr>
                      </wps:wsp>
                      <wps:wsp>
                        <wps:cNvPr id="19" name="Straight Arrow Connector 19"/>
                        <wps:cNvCnPr/>
                        <wps:spPr>
                          <a:xfrm>
                            <a:off x="1362075" y="2171700"/>
                            <a:ext cx="4572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057650" y="753364"/>
                            <a:ext cx="407993"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057650" y="2218690"/>
                            <a:ext cx="4000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5631135" y="1590675"/>
                            <a:ext cx="4552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29FB91" id="Group 1" o:spid="_x0000_s1026" style="position:absolute;left:0;text-align:left;margin-left:6pt;margin-top:21.35pt;width:476.25pt;height:281.25pt;z-index:251660288;mso-width-relative:margin;mso-height-relative:margin" coordsize="7486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">
                <v:rect id="Rectangle 2" o:spid="_x0000_s1027" style="position:absolute;left:18192;top:190;width:22384;height:1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" filled="f" strokecolor="black [3213]" strokeweight="1.5pt">
                  <v:stroke dashstyle="3 1"/>
                </v:rect>
                <v:rect id="Rectangle 3" o:spid="_x0000_s1028" style="position:absolute;left:44577;top:190;width:11543;height:3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textbox>
                    <w:txbxContent>
                      <w:p w14:paraId="1BDB9BDC" w14:textId="77777777" w:rsidR="00657D84" w:rsidRPr="00013DDA" w:rsidRDefault="00657D84" w:rsidP="002129E5">
                        <w:pPr>
                          <w:jc w:val="center"/>
                          <w:rPr>
                            <w:color w:val="000000" w:themeColor="text1"/>
                            <w:sz w:val="20"/>
                            <w:szCs w:val="20"/>
                          </w:rPr>
                        </w:pPr>
                        <w:r w:rsidRPr="00013DDA">
                          <w:rPr>
                            <w:color w:val="000000" w:themeColor="text1"/>
                            <w:sz w:val="20"/>
                            <w:szCs w:val="20"/>
                          </w:rPr>
                          <w:t>Agency Framework</w:t>
                        </w:r>
                      </w:p>
                      <w:p w14:paraId="52F706FC" w14:textId="77777777" w:rsidR="00657D84" w:rsidRDefault="00657D84" w:rsidP="002129E5">
                        <w:pPr>
                          <w:jc w:val="center"/>
                        </w:pPr>
                      </w:p>
                    </w:txbxContent>
                  </v:textbox>
                </v:rect>
                <v:rect id="Rectangle 4" o:spid="_x0000_s1029" style="position:absolute;left:61218;width:13648;height:36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14:paraId="69D3D6FF" w14:textId="77777777" w:rsidR="00657D84" w:rsidRPr="00013DDA" w:rsidRDefault="00657D84" w:rsidP="002129E5">
                        <w:pPr>
                          <w:jc w:val="center"/>
                          <w:rPr>
                            <w:color w:val="000000" w:themeColor="text1"/>
                            <w:sz w:val="20"/>
                            <w:szCs w:val="20"/>
                          </w:rPr>
                        </w:pPr>
                        <w:r w:rsidRPr="00013DDA">
                          <w:rPr>
                            <w:color w:val="000000" w:themeColor="text1"/>
                            <w:sz w:val="20"/>
                            <w:szCs w:val="20"/>
                          </w:rPr>
                          <w:t>Firm performance</w:t>
                        </w:r>
                      </w:p>
                      <w:p w14:paraId="7EEBF296" w14:textId="77777777" w:rsidR="00657D84" w:rsidRPr="00013DDA" w:rsidRDefault="00657D84" w:rsidP="002129E5">
                        <w:pPr>
                          <w:jc w:val="center"/>
                          <w:rPr>
                            <w:color w:val="000000" w:themeColor="text1"/>
                            <w:sz w:val="20"/>
                            <w:szCs w:val="20"/>
                          </w:rPr>
                        </w:pPr>
                        <w:r w:rsidRPr="00013DDA">
                          <w:rPr>
                            <w:color w:val="000000" w:themeColor="text1"/>
                            <w:sz w:val="20"/>
                            <w:szCs w:val="20"/>
                          </w:rPr>
                          <w:t>(Accounting and Market based)</w:t>
                        </w:r>
                      </w:p>
                      <w:p w14:paraId="3CC671A8" w14:textId="77777777" w:rsidR="00657D84" w:rsidRDefault="00657D84" w:rsidP="002129E5">
                        <w:pPr>
                          <w:jc w:val="center"/>
                        </w:pPr>
                      </w:p>
                    </w:txbxContent>
                  </v:textbox>
                </v:rect>
                <v:rect id="Rectangle 7" o:spid="_x0000_s1030" style="position:absolute;left:19526;top:1333;width:19717;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" fillcolor="white [3212]" strokecolor="black [3213]" strokeweight="1pt">
                  <v:textbox>
                    <w:txbxContent>
                      <w:p w14:paraId="24031BF7" w14:textId="77777777" w:rsidR="00657D84" w:rsidRPr="00F40AF5" w:rsidRDefault="00657D84" w:rsidP="002129E5">
                        <w:pPr>
                          <w:spacing w:after="0" w:line="240" w:lineRule="auto"/>
                          <w:jc w:val="center"/>
                          <w:rPr>
                            <w:color w:val="000000" w:themeColor="text1"/>
                            <w:sz w:val="20"/>
                            <w:szCs w:val="20"/>
                          </w:rPr>
                        </w:pPr>
                        <w:r w:rsidRPr="00F40AF5">
                          <w:rPr>
                            <w:color w:val="000000" w:themeColor="text1"/>
                            <w:sz w:val="20"/>
                            <w:szCs w:val="20"/>
                          </w:rPr>
                          <w:t>Institutional ownership</w:t>
                        </w:r>
                      </w:p>
                      <w:p w14:paraId="265495B8" w14:textId="77777777" w:rsidR="00657D84" w:rsidRDefault="00657D84" w:rsidP="002129E5">
                        <w:pPr>
                          <w:jc w:val="center"/>
                          <w:rPr>
                            <w:color w:val="000000" w:themeColor="text1"/>
                            <w:sz w:val="20"/>
                            <w:szCs w:val="20"/>
                          </w:rPr>
                        </w:pPr>
                      </w:p>
                    </w:txbxContent>
                  </v:textbox>
                </v:rect>
                <v:rect id="Rectangle 7" o:spid="_x0000_s1031" style="position:absolute;left:19526;top:4476;width:19717;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14:paraId="16007628" w14:textId="77777777" w:rsidR="00657D84" w:rsidRDefault="00657D84" w:rsidP="002129E5">
                        <w:pPr>
                          <w:spacing w:after="0" w:line="240" w:lineRule="auto"/>
                          <w:jc w:val="center"/>
                          <w:rPr>
                            <w:color w:val="000000" w:themeColor="text1"/>
                            <w:sz w:val="20"/>
                            <w:szCs w:val="20"/>
                          </w:rPr>
                        </w:pPr>
                        <w:r w:rsidRPr="00F40AF5">
                          <w:rPr>
                            <w:color w:val="000000" w:themeColor="text1"/>
                            <w:sz w:val="20"/>
                            <w:szCs w:val="20"/>
                          </w:rPr>
                          <w:t xml:space="preserve">Foreign </w:t>
                        </w:r>
                        <w:r>
                          <w:rPr>
                            <w:color w:val="000000" w:themeColor="text1"/>
                            <w:sz w:val="20"/>
                            <w:szCs w:val="20"/>
                          </w:rPr>
                          <w:t>ownership</w:t>
                        </w:r>
                      </w:p>
                      <w:p w14:paraId="2AC1ACDB" w14:textId="77777777" w:rsidR="00657D84" w:rsidRDefault="00657D84" w:rsidP="002129E5">
                        <w:pPr>
                          <w:jc w:val="center"/>
                          <w:rPr>
                            <w:color w:val="000000" w:themeColor="text1"/>
                            <w:sz w:val="20"/>
                            <w:szCs w:val="20"/>
                          </w:rPr>
                        </w:pPr>
                      </w:p>
                    </w:txbxContent>
                  </v:textbox>
                </v:rect>
                <v:rect id="Rectangle 7" o:spid="_x0000_s1032" style="position:absolute;left:19526;top:7850;width:19716;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textbox>
                    <w:txbxContent>
                      <w:p w14:paraId="63111C9B" w14:textId="77777777" w:rsidR="00657D84" w:rsidRPr="00F40AF5" w:rsidRDefault="00657D84" w:rsidP="002129E5">
                        <w:pPr>
                          <w:spacing w:after="0" w:line="240" w:lineRule="auto"/>
                          <w:jc w:val="center"/>
                          <w:rPr>
                            <w:color w:val="000000" w:themeColor="text1"/>
                            <w:sz w:val="20"/>
                            <w:szCs w:val="20"/>
                          </w:rPr>
                        </w:pPr>
                        <w:r w:rsidRPr="00F40AF5">
                          <w:rPr>
                            <w:color w:val="000000" w:themeColor="text1"/>
                            <w:sz w:val="20"/>
                            <w:szCs w:val="20"/>
                          </w:rPr>
                          <w:t>Director and sponsor ownership</w:t>
                        </w:r>
                      </w:p>
                      <w:p w14:paraId="2283585A" w14:textId="77777777" w:rsidR="00657D84" w:rsidRPr="00F40AF5" w:rsidRDefault="00657D84" w:rsidP="002129E5">
                        <w:pPr>
                          <w:jc w:val="center"/>
                          <w:rPr>
                            <w:color w:val="000000" w:themeColor="text1"/>
                            <w:sz w:val="20"/>
                            <w:szCs w:val="20"/>
                          </w:rPr>
                        </w:pPr>
                      </w:p>
                    </w:txbxContent>
                  </v:textbox>
                </v:rect>
                <v:rect id="Rectangle 7" o:spid="_x0000_s1033" style="position:absolute;left:19526;top:10855;width:19717;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textbox>
                    <w:txbxContent>
                      <w:p w14:paraId="23E139B5" w14:textId="77777777" w:rsidR="00657D84" w:rsidRPr="006C2646" w:rsidRDefault="00657D84" w:rsidP="002129E5">
                        <w:pPr>
                          <w:spacing w:after="0" w:line="240" w:lineRule="auto"/>
                          <w:jc w:val="center"/>
                          <w:rPr>
                            <w:color w:val="00B050"/>
                            <w:sz w:val="20"/>
                            <w:szCs w:val="20"/>
                          </w:rPr>
                        </w:pPr>
                        <w:r w:rsidRPr="006C2646">
                          <w:rPr>
                            <w:color w:val="00B050"/>
                            <w:sz w:val="20"/>
                            <w:szCs w:val="20"/>
                          </w:rPr>
                          <w:t>Government ownership</w:t>
                        </w:r>
                      </w:p>
                      <w:p w14:paraId="126F9366" w14:textId="77777777" w:rsidR="00657D84" w:rsidRPr="00F40AF5" w:rsidRDefault="00657D84" w:rsidP="002129E5">
                        <w:pPr>
                          <w:jc w:val="center"/>
                          <w:rPr>
                            <w:color w:val="000000" w:themeColor="text1"/>
                            <w:sz w:val="20"/>
                            <w:szCs w:val="20"/>
                          </w:rPr>
                        </w:pPr>
                      </w:p>
                    </w:txbxContent>
                  </v:textbox>
                </v:rect>
                <v:rect id="Rectangle 8" o:spid="_x0000_s1034" style="position:absolute;left:18192;top:15811;width:22384;height:1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" filled="f" strokecolor="black [3213]" strokeweight="1.5pt">
                  <v:stroke dashstyle="3 1"/>
                </v:rect>
                <v:rect id="Rectangle 7" o:spid="_x0000_s1035" style="position:absolute;left:19812;top:19335;width:18192;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textbox>
                    <w:txbxContent>
                      <w:p w14:paraId="5D765DD6" w14:textId="77777777" w:rsidR="00657D84" w:rsidRPr="006F1E62" w:rsidRDefault="00657D84" w:rsidP="002129E5">
                        <w:pPr>
                          <w:jc w:val="center"/>
                          <w:rPr>
                            <w:color w:val="000000" w:themeColor="text1"/>
                            <w:sz w:val="20"/>
                            <w:szCs w:val="20"/>
                          </w:rPr>
                        </w:pPr>
                        <w:r w:rsidRPr="006F1E62">
                          <w:rPr>
                            <w:color w:val="000000" w:themeColor="text1"/>
                            <w:sz w:val="20"/>
                            <w:szCs w:val="20"/>
                          </w:rPr>
                          <w:t xml:space="preserve">Board Independence </w:t>
                        </w:r>
                      </w:p>
                      <w:p w14:paraId="20FAB3E9" w14:textId="77777777" w:rsidR="00657D84" w:rsidRDefault="00657D84" w:rsidP="002129E5">
                        <w:pPr>
                          <w:jc w:val="center"/>
                          <w:rPr>
                            <w:color w:val="000000" w:themeColor="text1"/>
                            <w:sz w:val="20"/>
                            <w:szCs w:val="20"/>
                          </w:rPr>
                        </w:pPr>
                      </w:p>
                    </w:txbxContent>
                  </v:textbox>
                </v:rect>
                <v:rect id="Rectangle 7" o:spid="_x0000_s1036" style="position:absolute;left:19907;top:22479;width:17812;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textbox>
                    <w:txbxContent>
                      <w:p w14:paraId="4CD4AAF7" w14:textId="77777777" w:rsidR="00657D84" w:rsidRPr="00C07BE3" w:rsidRDefault="00657D84" w:rsidP="002129E5">
                        <w:pPr>
                          <w:jc w:val="center"/>
                          <w:rPr>
                            <w:color w:val="000000" w:themeColor="text1"/>
                            <w:sz w:val="20"/>
                            <w:szCs w:val="20"/>
                          </w:rPr>
                        </w:pPr>
                        <w:r w:rsidRPr="00C07BE3">
                          <w:rPr>
                            <w:color w:val="00B050"/>
                            <w:sz w:val="20"/>
                            <w:szCs w:val="20"/>
                            <w:lang w:bidi="bn-BD"/>
                          </w:rPr>
                          <w:t>Board Gender Diversity</w:t>
                        </w:r>
                      </w:p>
                    </w:txbxContent>
                  </v:textbox>
                </v:rect>
                <v:rect id="Rectangle 7" o:spid="_x0000_s1037" style="position:absolute;left:19907;top:25622;width:17812;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" fillcolor="white [3212]" strokecolor="black [3213]" strokeweight="1pt">
                  <v:textbox>
                    <w:txbxContent>
                      <w:p w14:paraId="15AF9DD9" w14:textId="77777777" w:rsidR="00657D84" w:rsidRPr="00105453" w:rsidRDefault="00657D84" w:rsidP="002129E5">
                        <w:pPr>
                          <w:jc w:val="center"/>
                          <w:rPr>
                            <w:color w:val="000000" w:themeColor="text1"/>
                            <w:sz w:val="20"/>
                            <w:szCs w:val="20"/>
                          </w:rPr>
                        </w:pPr>
                        <w:r w:rsidRPr="00105453">
                          <w:rPr>
                            <w:color w:val="00B050"/>
                            <w:sz w:val="20"/>
                            <w:szCs w:val="20"/>
                            <w:lang w:bidi="bn-BD"/>
                          </w:rPr>
                          <w:t>Board Meeting</w:t>
                        </w:r>
                      </w:p>
                    </w:txbxContent>
                  </v:textbox>
                </v:rect>
                <v:rect id="Rectangle 12" o:spid="_x0000_s1038" style="position:absolute;left:20193;top:28670;width:17526;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textbox>
                    <w:txbxContent>
                      <w:p w14:paraId="0D4758B0" w14:textId="77777777" w:rsidR="00657D84" w:rsidRPr="00F8508A" w:rsidRDefault="00657D84" w:rsidP="002129E5">
                        <w:pPr>
                          <w:jc w:val="center"/>
                          <w:rPr>
                            <w:color w:val="000000" w:themeColor="text1"/>
                            <w:sz w:val="20"/>
                            <w:szCs w:val="20"/>
                          </w:rPr>
                        </w:pPr>
                        <w:r w:rsidRPr="00F8508A">
                          <w:rPr>
                            <w:color w:val="00B050"/>
                            <w:sz w:val="20"/>
                            <w:szCs w:val="20"/>
                          </w:rPr>
                          <w:t>Family Ownership</w:t>
                        </w:r>
                      </w:p>
                    </w:txbxContent>
                  </v:textbox>
                </v:rect>
                <v:rect id="Rectangle 7" o:spid="_x0000_s1039" style="position:absolute;left:19812;top:16478;width:17907;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05221D06" w14:textId="77777777" w:rsidR="00657D84" w:rsidRPr="006F1E62" w:rsidRDefault="00657D84" w:rsidP="002129E5">
                        <w:pPr>
                          <w:jc w:val="center"/>
                          <w:rPr>
                            <w:color w:val="000000" w:themeColor="text1"/>
                            <w:sz w:val="20"/>
                            <w:szCs w:val="20"/>
                          </w:rPr>
                        </w:pPr>
                        <w:r w:rsidRPr="006F1E62">
                          <w:rPr>
                            <w:color w:val="000000" w:themeColor="text1"/>
                            <w:sz w:val="20"/>
                            <w:szCs w:val="20"/>
                          </w:rPr>
                          <w:t>Board Size</w:t>
                        </w:r>
                      </w:p>
                      <w:p w14:paraId="08C034CB" w14:textId="77777777" w:rsidR="00657D84" w:rsidRDefault="00657D84" w:rsidP="002129E5">
                        <w:pPr>
                          <w:jc w:val="center"/>
                          <w:rPr>
                            <w:color w:val="000000" w:themeColor="text1"/>
                            <w:sz w:val="20"/>
                            <w:szCs w:val="20"/>
                          </w:rPr>
                        </w:pPr>
                      </w:p>
                    </w:txbxContent>
                  </v:textbox>
                </v:rect>
                <v:rect id="Rectangle 14" o:spid="_x0000_s1040" style="position:absolute;left:20478;top:31813;width:17241;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vgvwAAANsAAAAPAAAAZHJzL2Rvd25yZXYueG1sRE9La8JA&#10;EL4L/odlBG+6UcR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CXevvgvwAAANsAAAAPAAAAAAAA&#10;AAAAAAAAAAcCAABkcnMvZG93bnJldi54bWxQSwUGAAAAAAMAAwC3AAAA8wIAAAAA&#10;" fillcolor="white [3212]" strokecolor="black [3213]" strokeweight="1pt">
                  <v:textbox>
                    <w:txbxContent>
                      <w:p w14:paraId="50B5F968" w14:textId="77777777" w:rsidR="00657D84" w:rsidRPr="00415A7D" w:rsidRDefault="00657D84" w:rsidP="002129E5">
                        <w:pPr>
                          <w:jc w:val="center"/>
                          <w:rPr>
                            <w:color w:val="000000" w:themeColor="text1"/>
                            <w:sz w:val="20"/>
                            <w:szCs w:val="20"/>
                          </w:rPr>
                        </w:pPr>
                        <w:r w:rsidRPr="00415A7D">
                          <w:rPr>
                            <w:color w:val="00B050"/>
                            <w:sz w:val="20"/>
                            <w:szCs w:val="20"/>
                          </w:rPr>
                          <w:t>Education</w:t>
                        </w:r>
                      </w:p>
                    </w:txbxContent>
                  </v:textbox>
                </v:rect>
                <v:shapetype id="_x0000_t32" coordsize="21600,21600" o:spt="32" o:oned="t" path="m,l21600,21600e" filled="f">
                  <v:path arrowok="t" fillok="f" o:connecttype="none"/>
                  <o:lock v:ext="edit" shapetype="t"/>
                </v:shapetype>
                <v:shape id="Straight Arrow Connector 17" o:spid="_x0000_s1041" type="#_x0000_t32" style="position:absolute;left:13430;top:7524;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" strokecolor="black [3213]" strokeweight="1.5pt">
                  <v:stroke endarrow="open" joinstyle="miter"/>
                </v:shape>
                <v:rect id="Rectangle 7" o:spid="_x0000_s1042" style="position:absolute;top:3714;width:13525;height:2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" fillcolor="white [3212]" strokecolor="black [3213]" strokeweight="0">
                  <v:textbox>
                    <w:txbxContent>
                      <w:p w14:paraId="702DE451" w14:textId="77777777" w:rsidR="00657D84" w:rsidRPr="00F40AF5" w:rsidRDefault="00657D84" w:rsidP="002129E5">
                        <w:pPr>
                          <w:spacing w:after="0" w:line="240" w:lineRule="auto"/>
                          <w:jc w:val="center"/>
                          <w:rPr>
                            <w:color w:val="000000" w:themeColor="text1"/>
                            <w:sz w:val="20"/>
                            <w:szCs w:val="20"/>
                          </w:rPr>
                        </w:pPr>
                        <w:r>
                          <w:rPr>
                            <w:color w:val="000000" w:themeColor="text1"/>
                            <w:sz w:val="20"/>
                            <w:szCs w:val="20"/>
                          </w:rPr>
                          <w:t>CG Guidelines and Regulatory Influence</w:t>
                        </w:r>
                      </w:p>
                      <w:p w14:paraId="2B9CF9F4" w14:textId="77777777" w:rsidR="00657D84" w:rsidRDefault="00657D84" w:rsidP="002129E5">
                        <w:pPr>
                          <w:jc w:val="center"/>
                          <w:rPr>
                            <w:color w:val="000000" w:themeColor="text1"/>
                            <w:sz w:val="20"/>
                            <w:szCs w:val="20"/>
                          </w:rPr>
                        </w:pPr>
                      </w:p>
                    </w:txbxContent>
                  </v:textbox>
                </v:rect>
                <v:shape id="Straight Arrow Connector 19" o:spid="_x0000_s1043" type="#_x0000_t32" style="position:absolute;left:13620;top:21717;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" strokecolor="black [3213]" strokeweight="1.5pt">
                  <v:stroke endarrow="open" joinstyle="miter"/>
                </v:shape>
                <v:shape id="Straight Arrow Connector 20" o:spid="_x0000_s1044" type="#_x0000_t32" style="position:absolute;left:40576;top:7533;width:4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" strokecolor="black [3213]" strokeweight="1.5pt">
                  <v:stroke endarrow="open" joinstyle="miter"/>
                </v:shape>
                <v:shape id="Straight Arrow Connector 21" o:spid="_x0000_s1045" type="#_x0000_t32" style="position:absolute;left:40576;top:22186;width:4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" strokecolor="black [3213]" strokeweight="1.5pt">
                  <v:stroke endarrow="open" joinstyle="miter"/>
                </v:shape>
                <v:shape id="Straight Arrow Connector 22" o:spid="_x0000_s1046" type="#_x0000_t32" style="position:absolute;left:56311;top:15906;width:4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" strokecolor="black [3213]" strokeweight="1.5pt">
                  <v:stroke endarrow="open" joinstyle="miter"/>
                </v:shape>
              </v:group>
            </w:pict>
          </mc:Fallback>
        </mc:AlternateContent>
      </w:r>
    </w:p>
    <w:p w14:paraId="312CB3A7" w14:textId="77777777" w:rsidR="002129E5" w:rsidRPr="00EF2A33" w:rsidRDefault="002129E5" w:rsidP="003D243F">
      <w:pPr>
        <w:rPr>
          <w:lang w:val="en-GB"/>
        </w:rPr>
      </w:pPr>
    </w:p>
    <w:p w14:paraId="1AF4EAF5" w14:textId="77777777" w:rsidR="002129E5" w:rsidRPr="00EF2A33" w:rsidRDefault="002129E5" w:rsidP="003D243F">
      <w:pPr>
        <w:rPr>
          <w:lang w:val="en-GB"/>
        </w:rPr>
      </w:pPr>
    </w:p>
    <w:p w14:paraId="40E671F3" w14:textId="77777777" w:rsidR="002129E5" w:rsidRPr="00EF2A33" w:rsidRDefault="002129E5" w:rsidP="003D243F">
      <w:pPr>
        <w:rPr>
          <w:lang w:val="en-GB"/>
        </w:rPr>
      </w:pPr>
    </w:p>
    <w:p w14:paraId="63AE52EA" w14:textId="77777777" w:rsidR="002129E5" w:rsidRPr="00EF2A33" w:rsidRDefault="002129E5" w:rsidP="003D243F">
      <w:pPr>
        <w:rPr>
          <w:lang w:val="en-GB"/>
        </w:rPr>
      </w:pPr>
    </w:p>
    <w:p w14:paraId="31AFBA78" w14:textId="77777777" w:rsidR="002129E5" w:rsidRPr="00EF2A33" w:rsidRDefault="002129E5" w:rsidP="003D243F">
      <w:pPr>
        <w:rPr>
          <w:lang w:val="en-GB"/>
        </w:rPr>
      </w:pPr>
    </w:p>
    <w:p w14:paraId="4F61E3D4" w14:textId="4CB647B8" w:rsidR="0013188F" w:rsidRPr="00EF2A33" w:rsidRDefault="0013188F" w:rsidP="003D243F">
      <w:pPr>
        <w:rPr>
          <w:b/>
          <w:bCs/>
          <w:lang w:val="en-GB"/>
        </w:rPr>
      </w:pPr>
    </w:p>
    <w:p w14:paraId="1EDCE734" w14:textId="77777777" w:rsidR="00C629EF" w:rsidRPr="00EF2A33" w:rsidRDefault="00C629EF" w:rsidP="003D243F">
      <w:pPr>
        <w:rPr>
          <w:b/>
          <w:bCs/>
          <w:lang w:val="en-GB"/>
        </w:rPr>
      </w:pPr>
    </w:p>
    <w:p w14:paraId="07EA4792" w14:textId="77777777" w:rsidR="002129E5" w:rsidRPr="00EF2A33" w:rsidRDefault="002129E5" w:rsidP="003D243F">
      <w:pPr>
        <w:rPr>
          <w:b/>
          <w:bCs/>
          <w:lang w:val="en-GB"/>
        </w:rPr>
      </w:pPr>
    </w:p>
    <w:p w14:paraId="41C86AD4" w14:textId="77777777" w:rsidR="002129E5" w:rsidRPr="00EF2A33" w:rsidRDefault="002129E5" w:rsidP="003D243F">
      <w:pPr>
        <w:rPr>
          <w:b/>
          <w:bCs/>
          <w:lang w:val="en-GB"/>
        </w:rPr>
      </w:pPr>
    </w:p>
    <w:p w14:paraId="66E2E5AB" w14:textId="77777777" w:rsidR="00AA4DA9" w:rsidRPr="00EF2A33" w:rsidRDefault="00AA4DA9" w:rsidP="003D243F">
      <w:pPr>
        <w:rPr>
          <w:b/>
          <w:bCs/>
          <w:lang w:val="en-GB"/>
        </w:rPr>
      </w:pPr>
    </w:p>
    <w:p w14:paraId="57111592" w14:textId="4FE72D1D" w:rsidR="00ED6AC3" w:rsidRPr="00EF2A33" w:rsidRDefault="0013188F" w:rsidP="003D243F">
      <w:pPr>
        <w:rPr>
          <w:bCs/>
          <w:lang w:val="en-GB"/>
        </w:rPr>
      </w:pPr>
      <w:r w:rsidRPr="00EF2A33">
        <w:rPr>
          <w:b/>
          <w:bCs/>
          <w:lang w:val="en-GB"/>
        </w:rPr>
        <w:t>Figure 1.</w:t>
      </w:r>
      <w:r w:rsidRPr="00EF2A33">
        <w:rPr>
          <w:bCs/>
          <w:lang w:val="en-GB"/>
        </w:rPr>
        <w:t xml:space="preserve"> </w:t>
      </w:r>
      <w:r w:rsidR="001B4B46" w:rsidRPr="00EF2A33">
        <w:rPr>
          <w:bCs/>
          <w:lang w:val="en-GB"/>
        </w:rPr>
        <w:t xml:space="preserve">The </w:t>
      </w:r>
      <w:r w:rsidR="00CA349C" w:rsidRPr="00EF2A33">
        <w:rPr>
          <w:bCs/>
          <w:lang w:val="en-GB"/>
        </w:rPr>
        <w:t>Agency framework</w:t>
      </w:r>
      <w:r w:rsidRPr="00EF2A33">
        <w:rPr>
          <w:bCs/>
          <w:lang w:val="en-GB"/>
        </w:rPr>
        <w:t xml:space="preserve"> works through </w:t>
      </w:r>
      <w:r w:rsidR="00CA349C" w:rsidRPr="00EF2A33">
        <w:rPr>
          <w:bCs/>
          <w:lang w:val="en-GB"/>
        </w:rPr>
        <w:t xml:space="preserve">ownership structure and </w:t>
      </w:r>
      <w:r w:rsidRPr="00EF2A33">
        <w:rPr>
          <w:bCs/>
          <w:lang w:val="en-GB"/>
        </w:rPr>
        <w:t xml:space="preserve">board characteristics on </w:t>
      </w:r>
      <w:r w:rsidR="00CA349C" w:rsidRPr="00EF2A33">
        <w:rPr>
          <w:bCs/>
          <w:lang w:val="en-GB"/>
        </w:rPr>
        <w:t>financial performance</w:t>
      </w:r>
    </w:p>
    <w:p w14:paraId="499EAF43" w14:textId="3C53AE23" w:rsidR="007A314A" w:rsidRPr="00EF2A33" w:rsidRDefault="00A95595" w:rsidP="007A314A">
      <w:pPr>
        <w:spacing w:after="0"/>
        <w:rPr>
          <w:bCs/>
          <w:lang w:val="en-GB"/>
        </w:rPr>
      </w:pPr>
      <w:r w:rsidRPr="00EF2A33">
        <w:rPr>
          <w:sz w:val="20"/>
          <w:szCs w:val="20"/>
        </w:rPr>
        <w:t>Source: Authors’ own work</w:t>
      </w:r>
    </w:p>
    <w:p w14:paraId="291F9995" w14:textId="77777777" w:rsidR="00A95595" w:rsidRPr="00EF2A33" w:rsidRDefault="00A95595" w:rsidP="007A314A">
      <w:pPr>
        <w:spacing w:after="0"/>
        <w:rPr>
          <w:bCs/>
          <w:lang w:val="en-GB"/>
        </w:rPr>
      </w:pPr>
    </w:p>
    <w:p w14:paraId="6D67B90E" w14:textId="4A23B62F" w:rsidR="008E2E3E" w:rsidRPr="00EF2A33" w:rsidRDefault="003E2B79" w:rsidP="003D243F">
      <w:pPr>
        <w:rPr>
          <w:b/>
          <w:bCs/>
          <w:lang w:val="en-GB"/>
        </w:rPr>
      </w:pPr>
      <w:r w:rsidRPr="00EF2A33">
        <w:rPr>
          <w:b/>
          <w:bCs/>
          <w:lang w:val="en-GB"/>
        </w:rPr>
        <w:t xml:space="preserve">4. </w:t>
      </w:r>
      <w:r w:rsidR="006F755B" w:rsidRPr="00EF2A33">
        <w:rPr>
          <w:b/>
          <w:bCs/>
          <w:lang w:val="en-GB"/>
        </w:rPr>
        <w:t xml:space="preserve">Literature </w:t>
      </w:r>
      <w:r w:rsidR="00057301" w:rsidRPr="00EF2A33">
        <w:rPr>
          <w:b/>
          <w:bCs/>
          <w:lang w:val="en-GB"/>
        </w:rPr>
        <w:t>R</w:t>
      </w:r>
      <w:r w:rsidR="006F755B" w:rsidRPr="00EF2A33">
        <w:rPr>
          <w:b/>
          <w:bCs/>
          <w:lang w:val="en-GB"/>
        </w:rPr>
        <w:t xml:space="preserve">eview and </w:t>
      </w:r>
      <w:r w:rsidR="00057301" w:rsidRPr="00EF2A33">
        <w:rPr>
          <w:b/>
          <w:bCs/>
          <w:lang w:val="en-GB"/>
        </w:rPr>
        <w:t>H</w:t>
      </w:r>
      <w:r w:rsidR="006F755B" w:rsidRPr="00EF2A33">
        <w:rPr>
          <w:b/>
          <w:bCs/>
          <w:lang w:val="en-GB"/>
        </w:rPr>
        <w:t xml:space="preserve">ypothesis </w:t>
      </w:r>
      <w:r w:rsidR="00057301" w:rsidRPr="00EF2A33">
        <w:rPr>
          <w:b/>
          <w:bCs/>
          <w:lang w:val="en-GB"/>
        </w:rPr>
        <w:t>D</w:t>
      </w:r>
      <w:r w:rsidR="006F755B" w:rsidRPr="00EF2A33">
        <w:rPr>
          <w:b/>
          <w:bCs/>
          <w:lang w:val="en-GB"/>
        </w:rPr>
        <w:t>evelopment</w:t>
      </w:r>
      <w:bookmarkStart w:id="5" w:name="_Toc60915878"/>
      <w:bookmarkEnd w:id="4"/>
    </w:p>
    <w:p w14:paraId="426DA6E6" w14:textId="60F335E7" w:rsidR="00184720" w:rsidRPr="00EF2A33" w:rsidRDefault="003E2B79" w:rsidP="003D243F">
      <w:pPr>
        <w:rPr>
          <w:b/>
          <w:bCs/>
          <w:i/>
          <w:iCs/>
          <w:lang w:val="en-GB"/>
        </w:rPr>
      </w:pPr>
      <w:r w:rsidRPr="00EF2A33">
        <w:rPr>
          <w:b/>
          <w:bCs/>
          <w:i/>
          <w:iCs/>
          <w:lang w:val="en-GB"/>
        </w:rPr>
        <w:t>4</w:t>
      </w:r>
      <w:r w:rsidR="0032082D" w:rsidRPr="00EF2A33">
        <w:rPr>
          <w:b/>
          <w:bCs/>
          <w:i/>
          <w:iCs/>
          <w:lang w:val="en-GB"/>
        </w:rPr>
        <w:t xml:space="preserve">.1 </w:t>
      </w:r>
      <w:bookmarkEnd w:id="5"/>
      <w:r w:rsidR="00376485" w:rsidRPr="00EF2A33">
        <w:rPr>
          <w:b/>
          <w:bCs/>
          <w:i/>
          <w:iCs/>
          <w:lang w:val="en-GB"/>
        </w:rPr>
        <w:t>Institutional Ownership and Firm Performance</w:t>
      </w:r>
    </w:p>
    <w:p w14:paraId="4375DFA0" w14:textId="088D8FC3" w:rsidR="000E0535" w:rsidRPr="00EF2A33" w:rsidRDefault="000E0535" w:rsidP="000E0535">
      <w:pPr>
        <w:rPr>
          <w:lang w:val="en-GB"/>
        </w:rPr>
      </w:pPr>
      <w:r w:rsidRPr="00EF2A33">
        <w:rPr>
          <w:lang w:val="en-GB"/>
        </w:rPr>
        <w:t xml:space="preserve">Institutional investors, entrusted with managing funds on behalf of beneficial owners, play a crucial role in monitoring portfolio performance and ensuring the financial stability of invested companies (Andreou et al. 2022; </w:t>
      </w:r>
      <w:r w:rsidR="00FC5929" w:rsidRPr="00EF2A33">
        <w:rPr>
          <w:lang w:val="en-GB"/>
        </w:rPr>
        <w:t xml:space="preserve">Das et al., 2023; </w:t>
      </w:r>
      <w:proofErr w:type="spellStart"/>
      <w:r w:rsidRPr="00EF2A33">
        <w:rPr>
          <w:lang w:val="en-GB"/>
        </w:rPr>
        <w:t>Nuzul</w:t>
      </w:r>
      <w:proofErr w:type="spellEnd"/>
      <w:r w:rsidRPr="00EF2A33">
        <w:rPr>
          <w:lang w:val="en-GB"/>
        </w:rPr>
        <w:t xml:space="preserve"> and </w:t>
      </w:r>
      <w:proofErr w:type="spellStart"/>
      <w:r w:rsidRPr="00EF2A33">
        <w:rPr>
          <w:lang w:val="en-GB"/>
        </w:rPr>
        <w:t>Diyanty</w:t>
      </w:r>
      <w:proofErr w:type="spellEnd"/>
      <w:r w:rsidRPr="00EF2A33">
        <w:rPr>
          <w:lang w:val="en-GB"/>
        </w:rPr>
        <w:t>, 2024; Kaimal &amp; Uzma, 2024). By actively overseeing managerial activities and aligning interests with stakeholders, institutional investors help minimise information asymmetry, manage agency costs, and ultimately reduce the likelihood of financial distress (Gerged et al., 2022; Kaimal &amp; Uzma, 2024).</w:t>
      </w:r>
    </w:p>
    <w:p w14:paraId="4E07E869" w14:textId="77777777" w:rsidR="000E0535" w:rsidRPr="00EF2A33" w:rsidRDefault="000E0535" w:rsidP="000E0535">
      <w:pPr>
        <w:rPr>
          <w:lang w:val="en-GB"/>
        </w:rPr>
      </w:pPr>
      <w:r w:rsidRPr="00EF2A33">
        <w:rPr>
          <w:lang w:val="en-GB"/>
        </w:rPr>
        <w:t xml:space="preserve">Research consistently advocates for concentrating ownership among select shareholders to regulate management conduct and enhance overall company performance (Andreou et al. 2022; </w:t>
      </w:r>
      <w:proofErr w:type="spellStart"/>
      <w:r w:rsidRPr="00EF2A33">
        <w:rPr>
          <w:lang w:val="en-GB"/>
        </w:rPr>
        <w:t>Colpan</w:t>
      </w:r>
      <w:proofErr w:type="spellEnd"/>
      <w:r w:rsidRPr="00EF2A33">
        <w:rPr>
          <w:lang w:val="en-GB"/>
        </w:rPr>
        <w:t xml:space="preserve"> and Yoshikawa, 2012; </w:t>
      </w:r>
      <w:proofErr w:type="spellStart"/>
      <w:r w:rsidRPr="00EF2A33">
        <w:rPr>
          <w:lang w:val="en-GB"/>
        </w:rPr>
        <w:t>Nuzul</w:t>
      </w:r>
      <w:proofErr w:type="spellEnd"/>
      <w:r w:rsidRPr="00EF2A33">
        <w:rPr>
          <w:lang w:val="en-GB"/>
        </w:rPr>
        <w:t xml:space="preserve"> and </w:t>
      </w:r>
      <w:proofErr w:type="spellStart"/>
      <w:r w:rsidRPr="00EF2A33">
        <w:rPr>
          <w:lang w:val="en-GB"/>
        </w:rPr>
        <w:t>Diyanty</w:t>
      </w:r>
      <w:proofErr w:type="spellEnd"/>
      <w:r w:rsidRPr="00EF2A33">
        <w:rPr>
          <w:lang w:val="en-GB"/>
        </w:rPr>
        <w:t xml:space="preserve">, 2024; </w:t>
      </w:r>
      <w:proofErr w:type="spellStart"/>
      <w:r w:rsidRPr="00EF2A33">
        <w:rPr>
          <w:lang w:val="en-GB"/>
        </w:rPr>
        <w:t>Schnatterly</w:t>
      </w:r>
      <w:proofErr w:type="spellEnd"/>
      <w:r w:rsidRPr="00EF2A33">
        <w:rPr>
          <w:lang w:val="en-GB"/>
        </w:rPr>
        <w:t xml:space="preserve"> et al., 2008). This concentrated control shifts the agency problem from owners and managers to non-controlling and controlling owners (Hutchinson et al., 2015; Shleifer and </w:t>
      </w:r>
      <w:proofErr w:type="spellStart"/>
      <w:r w:rsidRPr="00EF2A33">
        <w:rPr>
          <w:lang w:val="en-GB"/>
        </w:rPr>
        <w:t>Vishny</w:t>
      </w:r>
      <w:proofErr w:type="spellEnd"/>
      <w:r w:rsidRPr="00EF2A33">
        <w:rPr>
          <w:lang w:val="en-GB"/>
        </w:rPr>
        <w:t>, 1997; Yeh, 2019), thereby promoting transparency, accountability, and stakeholder value (Da Silveira, 2010; Fama and Jensen, 1983).</w:t>
      </w:r>
    </w:p>
    <w:p w14:paraId="645E07A8" w14:textId="77777777" w:rsidR="000E0535" w:rsidRPr="00EF2A33" w:rsidRDefault="000E0535" w:rsidP="000E0535">
      <w:pPr>
        <w:rPr>
          <w:lang w:val="en-GB"/>
        </w:rPr>
      </w:pPr>
      <w:r w:rsidRPr="00EF2A33">
        <w:rPr>
          <w:lang w:val="en-GB"/>
        </w:rPr>
        <w:t>However, contrasting perspectives exist regarding the impact of ownership structure on company performance. While institutional ownership is often associated with better monitoring and reduced financial distress (Gerged et al., 2023), it may also lead to managerial dominance, potentially affecting company performance and investor perceptions (La Porta et al., 1999; Wei et al., 2005). Despite these debates, the literature generally supports the notion that robust corporate governance, including institutional ownership, positively influences capital market outcomes (Black et al., 2015).</w:t>
      </w:r>
    </w:p>
    <w:p w14:paraId="13A692B9" w14:textId="35991C6D" w:rsidR="000E0535" w:rsidRPr="00EF2A33" w:rsidRDefault="000E0535" w:rsidP="000E0535">
      <w:pPr>
        <w:rPr>
          <w:lang w:val="en-GB"/>
        </w:rPr>
      </w:pPr>
      <w:r w:rsidRPr="00EF2A33">
        <w:rPr>
          <w:lang w:val="en-GB"/>
        </w:rPr>
        <w:t xml:space="preserve">Drawing on these discussions and agency theory, our study hypothesises a positive relationship between institutional ownership and firm performance. This hypothesis is </w:t>
      </w:r>
      <w:r w:rsidRPr="00EF2A33">
        <w:rPr>
          <w:lang w:val="en-GB"/>
        </w:rPr>
        <w:lastRenderedPageBreak/>
        <w:t>supported by previous research suggesting a correlation between institutional ownership and favourable company performance outcomes. Given the professional nature and extended investment horizons of institutional shareholders, alongside the benefits of good corporate governance, their presence is expected to enhance market perceptions and lead to positive firm performance. Hence, our first hypothesis posits:</w:t>
      </w:r>
    </w:p>
    <w:p w14:paraId="6D6A250E" w14:textId="505C7321" w:rsidR="00494057" w:rsidRPr="00EF2A33" w:rsidRDefault="000E0535" w:rsidP="000E0535">
      <w:pPr>
        <w:rPr>
          <w:i/>
          <w:iCs/>
          <w:lang w:val="en-GB"/>
        </w:rPr>
      </w:pPr>
      <w:r w:rsidRPr="00EF2A33">
        <w:rPr>
          <w:i/>
          <w:iCs/>
          <w:lang w:val="en-GB"/>
        </w:rPr>
        <w:t>Hypothesis 1: Ceteris paribus, institutional ownership has a positive relationship with firm performance.</w:t>
      </w:r>
    </w:p>
    <w:p w14:paraId="09F86A71" w14:textId="77777777" w:rsidR="008E2E3E" w:rsidRPr="00EF2A33" w:rsidRDefault="00376485" w:rsidP="003D243F">
      <w:pPr>
        <w:rPr>
          <w:b/>
          <w:bCs/>
          <w:i/>
          <w:iCs/>
          <w:lang w:val="en-GB"/>
        </w:rPr>
      </w:pPr>
      <w:r w:rsidRPr="00EF2A33">
        <w:rPr>
          <w:b/>
          <w:bCs/>
          <w:i/>
          <w:iCs/>
          <w:lang w:val="en-GB"/>
        </w:rPr>
        <w:t>4.2 Foreign Ownership and Firm Performance</w:t>
      </w:r>
    </w:p>
    <w:p w14:paraId="789B5E04" w14:textId="3C079A26" w:rsidR="003F729E" w:rsidRPr="00EF2A33" w:rsidRDefault="003F729E" w:rsidP="003F729E">
      <w:pPr>
        <w:rPr>
          <w:lang w:val="en-GB"/>
        </w:rPr>
      </w:pPr>
      <w:r w:rsidRPr="00EF2A33">
        <w:rPr>
          <w:lang w:val="en-GB"/>
        </w:rPr>
        <w:t>In the view of potential investors, the involvement of foreign investors in a company's capital structure typically garners positive regard (</w:t>
      </w:r>
      <w:r w:rsidR="008C3623" w:rsidRPr="00EF2A33">
        <w:rPr>
          <w:lang w:val="en-GB"/>
        </w:rPr>
        <w:t xml:space="preserve">Das et al., 2023; </w:t>
      </w:r>
      <w:r w:rsidRPr="00EF2A33">
        <w:rPr>
          <w:lang w:val="en-GB"/>
        </w:rPr>
        <w:t xml:space="preserve">Kaimal &amp; Uzma, 2024; Khanna and Palepu, 2000; Douma et al., 2006; Kao et al., 2018). An extensive body of prior research consistently supports the idea that foreign ownership correlates positively with company performance (Douma et al., 2006; Kaimal &amp; Uzma, 2024; Omran et al., 2008; Ferreira and Matos, 2008; </w:t>
      </w:r>
      <w:proofErr w:type="spellStart"/>
      <w:r w:rsidRPr="00EF2A33">
        <w:rPr>
          <w:lang w:val="en-GB"/>
        </w:rPr>
        <w:t>Bentivogli</w:t>
      </w:r>
      <w:proofErr w:type="spellEnd"/>
      <w:r w:rsidRPr="00EF2A33">
        <w:rPr>
          <w:lang w:val="en-GB"/>
        </w:rPr>
        <w:t xml:space="preserve"> and Mirenda, 2017; Kao et al., 2018). Moreover, foreign ownership enhances firm performance and eliminates agency problems (Nugroho et al., 2020). For instance, Douma et al. (2006) demonstrated that substantial foreign stock investors, displaying strong commitment and engagement with the firm, tend to exert a positive influence on company performance.</w:t>
      </w:r>
    </w:p>
    <w:p w14:paraId="7B382CE6" w14:textId="77777777" w:rsidR="003F729E" w:rsidRPr="00EF2A33" w:rsidRDefault="003F729E" w:rsidP="003F729E">
      <w:pPr>
        <w:rPr>
          <w:lang w:val="en-GB"/>
        </w:rPr>
      </w:pPr>
      <w:r w:rsidRPr="00EF2A33">
        <w:rPr>
          <w:lang w:val="en-GB"/>
        </w:rPr>
        <w:t xml:space="preserve">Based on agency theory, foreign institutional ownership will mitigate asymmetric agency and information problems by improving transparent corporate and financial governance (Nugroho et al., 2020). Studies suggest that in emerging economies, the involvement of foreign investors in monitoring and controlling managerial activities reduces agency conflict (Jusoh, 2015). Furthermore, </w:t>
      </w:r>
      <w:proofErr w:type="spellStart"/>
      <w:r w:rsidRPr="00EF2A33">
        <w:rPr>
          <w:lang w:val="en-GB"/>
        </w:rPr>
        <w:t>Demsetz</w:t>
      </w:r>
      <w:proofErr w:type="spellEnd"/>
      <w:r w:rsidRPr="00EF2A33">
        <w:rPr>
          <w:lang w:val="en-GB"/>
        </w:rPr>
        <w:t xml:space="preserve"> and Leh (1985) state that agency costs can be decreased and activity monitoring enhanced through foreign ownership with substantial control. Foreign owners are typically single block shareholders who make long-term investments, thereby stabilizing governance structures and fostering sustained performance improvements (</w:t>
      </w:r>
      <w:proofErr w:type="spellStart"/>
      <w:r w:rsidRPr="00EF2A33">
        <w:rPr>
          <w:lang w:val="en-GB"/>
        </w:rPr>
        <w:t>Demsetz</w:t>
      </w:r>
      <w:proofErr w:type="spellEnd"/>
      <w:r w:rsidRPr="00EF2A33">
        <w:rPr>
          <w:lang w:val="en-GB"/>
        </w:rPr>
        <w:t xml:space="preserve"> and Leh, 1985; Douma et al., 2006).</w:t>
      </w:r>
    </w:p>
    <w:p w14:paraId="0F449248" w14:textId="77777777" w:rsidR="003F729E" w:rsidRPr="00EF2A33" w:rsidRDefault="003F729E" w:rsidP="003F729E">
      <w:pPr>
        <w:rPr>
          <w:lang w:val="en-GB"/>
        </w:rPr>
      </w:pPr>
      <w:r w:rsidRPr="00EF2A33">
        <w:rPr>
          <w:lang w:val="en-GB"/>
        </w:rPr>
        <w:t xml:space="preserve">Foreign investors, often less connected to domestic shareholders and possessing comparatively limited company information, exhibit increased motivation to closely monitor the firm's operations (Chen et al., 2009). They specifically seek companies with market liquidity, significant assets, and substantial media exposure (Saha, 2019). Before making investments, foreign investors conduct meticulous analyses due to their constrained </w:t>
      </w:r>
      <w:r w:rsidRPr="00EF2A33">
        <w:rPr>
          <w:lang w:val="en-GB"/>
        </w:rPr>
        <w:lastRenderedPageBreak/>
        <w:t>information access compared to their domestic counterparts. This thorough scrutiny and commitment toward the company's stocks, evidenced by increased stock prices, result from foreign investors' diligent monitoring and active engagement with the firm.</w:t>
      </w:r>
    </w:p>
    <w:p w14:paraId="18E24547" w14:textId="77777777" w:rsidR="003F729E" w:rsidRPr="00EF2A33" w:rsidRDefault="003F729E" w:rsidP="003F729E">
      <w:pPr>
        <w:rPr>
          <w:lang w:val="en-GB"/>
        </w:rPr>
      </w:pPr>
      <w:r w:rsidRPr="00EF2A33">
        <w:rPr>
          <w:lang w:val="en-GB"/>
        </w:rPr>
        <w:t>Consequently, this study posits a positive relationship between company performance and foreign ownership. The commitment and analytical skills of foreign investors, along with their inclination towards firms with substantial assets, liquidity, and media coverage, attract other investors and enhance overall firm performance and stock prices. Therefore, the second hypothesis for this study is:</w:t>
      </w:r>
    </w:p>
    <w:p w14:paraId="53B8B942" w14:textId="4985462F" w:rsidR="00961FB5" w:rsidRPr="00EF2A33" w:rsidRDefault="007975B2" w:rsidP="003F729E">
      <w:pPr>
        <w:rPr>
          <w:i/>
          <w:iCs/>
          <w:lang w:val="en-GB"/>
        </w:rPr>
      </w:pPr>
      <w:r w:rsidRPr="00EF2A33">
        <w:rPr>
          <w:i/>
          <w:iCs/>
          <w:lang w:val="en-GB"/>
        </w:rPr>
        <w:t>Hypothesis</w:t>
      </w:r>
      <w:r w:rsidR="00764D30" w:rsidRPr="00EF2A33">
        <w:rPr>
          <w:i/>
          <w:iCs/>
          <w:lang w:val="en-GB"/>
        </w:rPr>
        <w:t xml:space="preserve"> 2: </w:t>
      </w:r>
      <w:r w:rsidR="00EF2689" w:rsidRPr="00EF2A33">
        <w:rPr>
          <w:i/>
          <w:iCs/>
          <w:lang w:val="en-GB"/>
        </w:rPr>
        <w:t xml:space="preserve">Ceteris paribus, </w:t>
      </w:r>
      <w:r w:rsidR="00327166" w:rsidRPr="00EF2A33">
        <w:rPr>
          <w:i/>
          <w:iCs/>
          <w:lang w:val="en-GB"/>
        </w:rPr>
        <w:t>foreign ownership has a positive relationship with firm</w:t>
      </w:r>
      <w:r w:rsidR="000913EE" w:rsidRPr="00EF2A33">
        <w:rPr>
          <w:i/>
          <w:iCs/>
          <w:lang w:val="en-GB"/>
        </w:rPr>
        <w:t xml:space="preserve"> performance</w:t>
      </w:r>
      <w:r w:rsidR="00327166" w:rsidRPr="00EF2A33">
        <w:rPr>
          <w:i/>
          <w:iCs/>
          <w:lang w:val="en-GB"/>
        </w:rPr>
        <w:t>.</w:t>
      </w:r>
    </w:p>
    <w:p w14:paraId="569DC277" w14:textId="7381958F" w:rsidR="00577F5F" w:rsidRPr="00EF2A33" w:rsidRDefault="00577F5F" w:rsidP="003D243F">
      <w:pPr>
        <w:rPr>
          <w:b/>
          <w:bCs/>
          <w:i/>
          <w:iCs/>
          <w:lang w:val="en-GB"/>
        </w:rPr>
      </w:pPr>
      <w:r w:rsidRPr="00EF2A33">
        <w:rPr>
          <w:b/>
          <w:bCs/>
          <w:i/>
          <w:iCs/>
          <w:lang w:val="en-GB"/>
        </w:rPr>
        <w:t>4.3 Director and Sponsor Ownership and Firm Performance</w:t>
      </w:r>
    </w:p>
    <w:p w14:paraId="750FA336" w14:textId="77777777" w:rsidR="003F729E" w:rsidRPr="00EF2A33" w:rsidRDefault="003F729E" w:rsidP="003F729E">
      <w:pPr>
        <w:rPr>
          <w:lang w:val="en-GB"/>
        </w:rPr>
      </w:pPr>
      <w:r w:rsidRPr="00EF2A33">
        <w:rPr>
          <w:lang w:val="en-GB"/>
        </w:rPr>
        <w:t xml:space="preserve">Previous studies have presented varying findings regarding the impact of director and sponsor ownership on company performance (Al Farooque et al., 2007; </w:t>
      </w:r>
      <w:proofErr w:type="spellStart"/>
      <w:r w:rsidRPr="00EF2A33">
        <w:rPr>
          <w:lang w:val="en-GB"/>
        </w:rPr>
        <w:t>Boshnak</w:t>
      </w:r>
      <w:proofErr w:type="spellEnd"/>
      <w:r w:rsidRPr="00EF2A33">
        <w:rPr>
          <w:lang w:val="en-GB"/>
        </w:rPr>
        <w:t xml:space="preserve">, 2023; Tam and Tan, 2007; </w:t>
      </w:r>
      <w:proofErr w:type="spellStart"/>
      <w:r w:rsidRPr="00EF2A33">
        <w:rPr>
          <w:lang w:val="en-GB"/>
        </w:rPr>
        <w:t>Muttakin</w:t>
      </w:r>
      <w:proofErr w:type="spellEnd"/>
      <w:r w:rsidRPr="00EF2A33">
        <w:rPr>
          <w:lang w:val="en-GB"/>
        </w:rPr>
        <w:t xml:space="preserve"> et al., 2012; Yeh, 2019). For example, Al Farooque et al. (2007) discovered no significant relationship between company performance and director ownership, whereas </w:t>
      </w:r>
      <w:proofErr w:type="spellStart"/>
      <w:r w:rsidRPr="00EF2A33">
        <w:rPr>
          <w:lang w:val="en-GB"/>
        </w:rPr>
        <w:t>Muttakin</w:t>
      </w:r>
      <w:proofErr w:type="spellEnd"/>
      <w:r w:rsidRPr="00EF2A33">
        <w:rPr>
          <w:lang w:val="en-GB"/>
        </w:rPr>
        <w:t xml:space="preserve"> et al. (2012) reported a negative correlation between company performance and board ownership, employing return on assets (ROA) as a measure. However, contrasting outcomes have been more prevalent in earlier literature, with numerous studies suggesting a positive impact on profitability attributable to director ownership (Ahmed &amp; Gábor, 2012; Westman, 2011). This positive impact was further supported by Bhagat and Bolton (2013) and Farrer and Ramsay (1998), who documented a notably positive influence on company performance arising from direct ownership.</w:t>
      </w:r>
    </w:p>
    <w:p w14:paraId="24F77ECD" w14:textId="77777777" w:rsidR="003F729E" w:rsidRPr="00EF2A33" w:rsidRDefault="003F729E" w:rsidP="003F729E">
      <w:pPr>
        <w:rPr>
          <w:lang w:val="en-GB"/>
        </w:rPr>
      </w:pPr>
      <w:r w:rsidRPr="00EF2A33">
        <w:rPr>
          <w:lang w:val="en-GB"/>
        </w:rPr>
        <w:t>Recent research has reiterated this positive relationship, encompassing both market and accounting-based company performance with director ownership (Kao et al., 2018; Hanafi et al., 2018). The impetus to concentrate a significant stock portion among a few stakeholders lies in their capacity to oversee and govern managerial activities, aligning with stakeholder interests and mitigating agency problems (</w:t>
      </w:r>
      <w:proofErr w:type="spellStart"/>
      <w:r w:rsidRPr="00EF2A33">
        <w:rPr>
          <w:lang w:val="en-GB"/>
        </w:rPr>
        <w:t>Schnatterly</w:t>
      </w:r>
      <w:proofErr w:type="spellEnd"/>
      <w:r w:rsidRPr="00EF2A33">
        <w:rPr>
          <w:lang w:val="en-GB"/>
        </w:rPr>
        <w:t xml:space="preserve"> et al., 2008; </w:t>
      </w:r>
      <w:proofErr w:type="spellStart"/>
      <w:r w:rsidRPr="00EF2A33">
        <w:rPr>
          <w:lang w:val="en-GB"/>
        </w:rPr>
        <w:t>Colpan</w:t>
      </w:r>
      <w:proofErr w:type="spellEnd"/>
      <w:r w:rsidRPr="00EF2A33">
        <w:rPr>
          <w:lang w:val="en-GB"/>
        </w:rPr>
        <w:t xml:space="preserve"> and Yoshikawa, 2012). Board members, vested with a direct interest in the company's well-being, are inclined to closely monitor and manage the firm's operations to augment its value (Farrer and Ramsay, 1998; Bhagat and Bolton, 2013).</w:t>
      </w:r>
    </w:p>
    <w:p w14:paraId="03ECBD7B" w14:textId="77777777" w:rsidR="003F729E" w:rsidRPr="00EF2A33" w:rsidRDefault="003F729E" w:rsidP="003F729E">
      <w:pPr>
        <w:rPr>
          <w:lang w:val="en-GB"/>
        </w:rPr>
      </w:pPr>
      <w:r w:rsidRPr="00EF2A33">
        <w:rPr>
          <w:lang w:val="en-GB"/>
        </w:rPr>
        <w:lastRenderedPageBreak/>
        <w:t>Given the arguments from agency theory and the outcomes of these studies, the current research is inclined to posit that company performance positively relates to director and sponsor ownership. The ability to oversee managers, coupled with the directors' vested interest in the company's well-being, is seen as contributing to a reduction in agency problems. Thus, this leads to the formulation of the third hypothesis:</w:t>
      </w:r>
    </w:p>
    <w:p w14:paraId="7D85BF09" w14:textId="291774E8" w:rsidR="00CC62D0" w:rsidRPr="00EF2A33" w:rsidRDefault="007975B2" w:rsidP="003F729E">
      <w:pPr>
        <w:rPr>
          <w:i/>
          <w:iCs/>
          <w:lang w:val="en-GB"/>
        </w:rPr>
      </w:pPr>
      <w:r w:rsidRPr="00EF2A33">
        <w:rPr>
          <w:i/>
          <w:iCs/>
          <w:lang w:val="en-GB"/>
        </w:rPr>
        <w:t>Hypothesis</w:t>
      </w:r>
      <w:r w:rsidR="003535AE" w:rsidRPr="00EF2A33">
        <w:rPr>
          <w:i/>
          <w:iCs/>
          <w:lang w:val="en-GB"/>
        </w:rPr>
        <w:t xml:space="preserve"> 3: </w:t>
      </w:r>
      <w:r w:rsidR="00EF2689" w:rsidRPr="00EF2A33">
        <w:rPr>
          <w:i/>
          <w:iCs/>
          <w:lang w:val="en-GB"/>
        </w:rPr>
        <w:t xml:space="preserve">Ceteris paribus, </w:t>
      </w:r>
      <w:r w:rsidR="00E64D2C" w:rsidRPr="00EF2A33">
        <w:rPr>
          <w:i/>
          <w:iCs/>
          <w:lang w:val="en-GB"/>
        </w:rPr>
        <w:t>d</w:t>
      </w:r>
      <w:r w:rsidR="00577F5F" w:rsidRPr="00EF2A33">
        <w:rPr>
          <w:i/>
          <w:iCs/>
          <w:lang w:val="en-GB"/>
        </w:rPr>
        <w:t xml:space="preserve">irector and sponsor ownership </w:t>
      </w:r>
      <w:r w:rsidR="00383123" w:rsidRPr="00EF2A33">
        <w:rPr>
          <w:i/>
          <w:iCs/>
          <w:lang w:val="en-GB"/>
        </w:rPr>
        <w:t>have</w:t>
      </w:r>
      <w:r w:rsidR="00577F5F" w:rsidRPr="00EF2A33">
        <w:rPr>
          <w:i/>
          <w:iCs/>
          <w:lang w:val="en-GB"/>
        </w:rPr>
        <w:t xml:space="preserve"> a positive relationship with firm</w:t>
      </w:r>
      <w:r w:rsidR="00B73D16" w:rsidRPr="00EF2A33">
        <w:rPr>
          <w:i/>
          <w:iCs/>
          <w:lang w:val="en-GB"/>
        </w:rPr>
        <w:t xml:space="preserve"> performance</w:t>
      </w:r>
      <w:r w:rsidR="00577F5F" w:rsidRPr="00EF2A33">
        <w:rPr>
          <w:i/>
          <w:iCs/>
          <w:lang w:val="en-GB"/>
        </w:rPr>
        <w:t>.</w:t>
      </w:r>
      <w:bookmarkStart w:id="6" w:name="3.2_Mediating_role_of_corporate_board_ch"/>
      <w:bookmarkStart w:id="7" w:name="_Toc60915879"/>
      <w:bookmarkEnd w:id="6"/>
    </w:p>
    <w:p w14:paraId="7F8EA7B5" w14:textId="3EB1DFED" w:rsidR="005A4FCA" w:rsidRPr="00EF2A33" w:rsidRDefault="005A4FCA" w:rsidP="005A4FCA">
      <w:pPr>
        <w:rPr>
          <w:b/>
          <w:bCs/>
          <w:i/>
          <w:iCs/>
          <w:lang w:val="en-GB"/>
        </w:rPr>
      </w:pPr>
      <w:r w:rsidRPr="00EF2A33">
        <w:rPr>
          <w:b/>
          <w:bCs/>
          <w:i/>
          <w:iCs/>
          <w:lang w:val="en-GB"/>
        </w:rPr>
        <w:t>4.4 Government Ownership and Firm Performance</w:t>
      </w:r>
    </w:p>
    <w:p w14:paraId="3E380CB1" w14:textId="5271BA3A" w:rsidR="004836A3" w:rsidRPr="00EF2A33" w:rsidRDefault="004836A3" w:rsidP="004836A3">
      <w:r w:rsidRPr="00EF2A33">
        <w:t xml:space="preserve">Government ownership refers to the scenario where the government holds a stake in a company </w:t>
      </w:r>
      <w:r w:rsidR="004B7DBF" w:rsidRPr="00EF2A33">
        <w:t>by</w:t>
      </w:r>
      <w:r w:rsidRPr="00EF2A33">
        <w:t xml:space="preserve"> controlling shares and appoints several influential representatives on its board of directors (Jaffar &amp; Abdul-Shukor, 2016; Kaimal &amp; Uzma, 2024). The government plays a crucial role in enhancing the country’s economic development by creating new avenues and strengthening and supporting businesses (Jaffar &amp; Abdul-Shukor, 2016; Kaimal &amp; Uzma, 2024). From the agency theory perspective, the government can maintain strong relationships with powerful stakeholders, which might help achieve positive financial outcomes as government ownership influences firms' decisions (Kaimal &amp; Uzma, 2024; Zulkifli et al., 2017). However, government ownership sometimes negatively impacts firms’ wealth, as it has long been considered controversial by investors, especially when the government appears to use firms' wealth for its own purposes (Zulkifli et al., 2017).</w:t>
      </w:r>
    </w:p>
    <w:p w14:paraId="7E8C0D9C" w14:textId="6EC81FE5" w:rsidR="004836A3" w:rsidRPr="00EF2A33" w:rsidRDefault="004836A3" w:rsidP="004836A3">
      <w:pPr>
        <w:rPr>
          <w:noProof/>
          <w:lang w:val="en-GB"/>
        </w:rPr>
      </w:pPr>
      <w:r w:rsidRPr="00EF2A33">
        <w:rPr>
          <w:noProof/>
          <w:lang w:val="en-GB"/>
        </w:rPr>
        <w:t>There are prior studies that found a positive and significant association between government ownership and firms’ market performance (Kaimal &amp; Uzma, 2024; Lau &amp; Tong 2008; Bhatt, 2016). Moreover, existing research reports that government-owned firms’ performance is sometimes jeopardi</w:t>
      </w:r>
      <w:r w:rsidR="00B12B39" w:rsidRPr="00EF2A33">
        <w:rPr>
          <w:noProof/>
          <w:lang w:val="en-GB"/>
        </w:rPr>
        <w:t>s</w:t>
      </w:r>
      <w:r w:rsidRPr="00EF2A33">
        <w:rPr>
          <w:noProof/>
          <w:lang w:val="en-GB"/>
        </w:rPr>
        <w:t xml:space="preserve">ed because most political </w:t>
      </w:r>
      <w:r w:rsidR="00F266B7" w:rsidRPr="00EF2A33">
        <w:rPr>
          <w:noProof/>
          <w:lang w:val="en-GB"/>
        </w:rPr>
        <w:t>persons</w:t>
      </w:r>
      <w:r w:rsidRPr="00EF2A33">
        <w:rPr>
          <w:noProof/>
          <w:lang w:val="en-GB"/>
        </w:rPr>
        <w:t xml:space="preserve"> appointed as board members </w:t>
      </w:r>
      <w:r w:rsidR="00A26D53" w:rsidRPr="00EF2A33">
        <w:rPr>
          <w:noProof/>
          <w:lang w:val="en-GB"/>
        </w:rPr>
        <w:t>might</w:t>
      </w:r>
      <w:r w:rsidRPr="00EF2A33">
        <w:rPr>
          <w:noProof/>
          <w:lang w:val="en-GB"/>
        </w:rPr>
        <w:t xml:space="preserve"> not have the right experience and expertise to effectively monitor firms’ activities (Jaffar &amp; Abdul-Shukor, 2016). </w:t>
      </w:r>
      <w:r w:rsidR="007D7D57" w:rsidRPr="00EF2A33">
        <w:rPr>
          <w:noProof/>
          <w:lang w:val="en-GB"/>
        </w:rPr>
        <w:t>In contrary,</w:t>
      </w:r>
      <w:r w:rsidRPr="00EF2A33">
        <w:rPr>
          <w:noProof/>
          <w:lang w:val="en-GB"/>
        </w:rPr>
        <w:t xml:space="preserve"> government intervention</w:t>
      </w:r>
      <w:r w:rsidR="007D7D57" w:rsidRPr="00EF2A33">
        <w:rPr>
          <w:noProof/>
          <w:lang w:val="en-GB"/>
        </w:rPr>
        <w:t xml:space="preserve"> can be useful in assisting</w:t>
      </w:r>
      <w:r w:rsidR="00DD748B" w:rsidRPr="00EF2A33">
        <w:rPr>
          <w:noProof/>
          <w:lang w:val="en-GB"/>
        </w:rPr>
        <w:t xml:space="preserve"> to solve</w:t>
      </w:r>
      <w:r w:rsidRPr="00EF2A33">
        <w:rPr>
          <w:noProof/>
          <w:lang w:val="en-GB"/>
        </w:rPr>
        <w:t xml:space="preserve"> firms’ problems earlier than usual, such as easier access to financial assistance from inside and outside of the country, assisting firms in obtaining large-scale government projects, and other assistance that can enhance firm performance more quickly.</w:t>
      </w:r>
    </w:p>
    <w:p w14:paraId="2439A7C8" w14:textId="4E39705C" w:rsidR="004836A3" w:rsidRPr="00EF2A33" w:rsidRDefault="004836A3" w:rsidP="004836A3">
      <w:r w:rsidRPr="00EF2A33">
        <w:t xml:space="preserve">Nevertheless, prior studies also found evidence indicating inefficiency in </w:t>
      </w:r>
      <w:r w:rsidR="00946164" w:rsidRPr="00EF2A33">
        <w:t>managing</w:t>
      </w:r>
      <w:r w:rsidR="00F31E47" w:rsidRPr="00EF2A33">
        <w:t xml:space="preserve"> </w:t>
      </w:r>
      <w:r w:rsidR="00A96AA6" w:rsidRPr="00EF2A33">
        <w:t>government-owned</w:t>
      </w:r>
      <w:r w:rsidRPr="00EF2A33">
        <w:t xml:space="preserve"> firms (Zulkifli et al., 2017). One possibility could be that firms’ management on behalf of the government was represented by individuals not serious </w:t>
      </w:r>
      <w:r w:rsidR="00A7434D" w:rsidRPr="00EF2A33">
        <w:t>about</w:t>
      </w:r>
      <w:r w:rsidRPr="00EF2A33">
        <w:t xml:space="preserve"> undertaking their responsibilities because they did not have the relevant experience or </w:t>
      </w:r>
      <w:r w:rsidRPr="00EF2A33">
        <w:lastRenderedPageBreak/>
        <w:t>expertise to do the job (Jaffar &amp; Abdul-Shukor, 2016). Other studies have found that firms with government ownership showed poorer performance compared to other ownership structures (Mollah et al., 2012). Additionally, studies have found that an increase in government ownership results in lower firm performance (Jaffar &amp; Abdul-Shukor, 2016), which also shows the possibility of stakeholders not being convinced about the supporting role of the government as firms’ owners. Based on these discussions, the fourth hypothesis of this study is formulated as follows:</w:t>
      </w:r>
    </w:p>
    <w:p w14:paraId="0296CFF1" w14:textId="57AD08DB" w:rsidR="00A12468" w:rsidRPr="00EF2A33" w:rsidRDefault="00A12468" w:rsidP="004836A3">
      <w:pPr>
        <w:rPr>
          <w:i/>
          <w:iCs/>
          <w:lang w:val="en-GB"/>
        </w:rPr>
      </w:pPr>
      <w:r w:rsidRPr="00EF2A33">
        <w:rPr>
          <w:i/>
          <w:iCs/>
          <w:lang w:val="en-GB"/>
        </w:rPr>
        <w:t xml:space="preserve">Hypothesis 4: Ceteris paribus, government ownership has a </w:t>
      </w:r>
      <w:r w:rsidR="00B71DC8" w:rsidRPr="00EF2A33">
        <w:rPr>
          <w:i/>
          <w:iCs/>
          <w:lang w:val="en-GB"/>
        </w:rPr>
        <w:t>positive</w:t>
      </w:r>
      <w:r w:rsidRPr="00EF2A33">
        <w:rPr>
          <w:i/>
          <w:iCs/>
          <w:lang w:val="en-GB"/>
        </w:rPr>
        <w:t xml:space="preserve"> relationship with firm performance.</w:t>
      </w:r>
    </w:p>
    <w:p w14:paraId="5C3EE0EC" w14:textId="6E9D5255" w:rsidR="00D94F56" w:rsidRPr="00EF2A33" w:rsidRDefault="00805D97" w:rsidP="003D243F">
      <w:pPr>
        <w:rPr>
          <w:b/>
          <w:bCs/>
          <w:i/>
          <w:iCs/>
          <w:lang w:val="en-GB"/>
        </w:rPr>
      </w:pPr>
      <w:r w:rsidRPr="00EF2A33">
        <w:rPr>
          <w:b/>
          <w:bCs/>
          <w:i/>
          <w:iCs/>
          <w:lang w:val="en-GB"/>
        </w:rPr>
        <w:t>4</w:t>
      </w:r>
      <w:r w:rsidR="00312270" w:rsidRPr="00EF2A33">
        <w:rPr>
          <w:b/>
          <w:bCs/>
          <w:i/>
          <w:iCs/>
          <w:lang w:val="en-GB"/>
        </w:rPr>
        <w:t>.</w:t>
      </w:r>
      <w:r w:rsidR="00C20823" w:rsidRPr="00EF2A33">
        <w:rPr>
          <w:b/>
          <w:bCs/>
          <w:i/>
          <w:iCs/>
          <w:lang w:val="en-GB"/>
        </w:rPr>
        <w:t>5</w:t>
      </w:r>
      <w:r w:rsidR="00312270" w:rsidRPr="00EF2A33">
        <w:rPr>
          <w:b/>
          <w:bCs/>
          <w:i/>
          <w:iCs/>
          <w:lang w:val="en-GB"/>
        </w:rPr>
        <w:t xml:space="preserve"> </w:t>
      </w:r>
      <w:bookmarkEnd w:id="7"/>
      <w:r w:rsidRPr="00EF2A33">
        <w:rPr>
          <w:b/>
          <w:bCs/>
          <w:i/>
          <w:iCs/>
          <w:lang w:val="en-GB"/>
        </w:rPr>
        <w:t>Board Size and Firm Performance</w:t>
      </w:r>
    </w:p>
    <w:p w14:paraId="581ABAC7" w14:textId="72969213" w:rsidR="0035001E" w:rsidRPr="00EF2A33" w:rsidRDefault="0035001E" w:rsidP="0035001E">
      <w:pPr>
        <w:rPr>
          <w:lang w:val="en-GB"/>
        </w:rPr>
      </w:pPr>
      <w:r w:rsidRPr="00EF2A33">
        <w:rPr>
          <w:lang w:val="en-GB"/>
        </w:rPr>
        <w:t>As indicated by earlier research, a firm's performance can be significantly influenced by board characteristics. Larger boards with diverse experiences and knowledge from different backgrounds contribute to enhanced observation and oversight of management actions (Saha, 2019). The corporate board is recogni</w:t>
      </w:r>
      <w:r w:rsidR="004A4B00" w:rsidRPr="00EF2A33">
        <w:rPr>
          <w:lang w:val="en-GB"/>
        </w:rPr>
        <w:t>s</w:t>
      </w:r>
      <w:r w:rsidRPr="00EF2A33">
        <w:rPr>
          <w:lang w:val="en-GB"/>
        </w:rPr>
        <w:t>ed as a key internal corporate governance mechanism (Brennan, 2006) with substantial authority to monitor and supervise the actions of managers (Jonsson, 2005; Terjesen et al., 2016). The board of directors assumes various roles, including liaising with the external environment, setting goals and strategies, allocating resources, and regulating executive actions (Bachiller, 2015; Vu et al., 2018). Several board characteristics, such as board size and the proportion of independent/external members, serve as determinants of the effectiveness of corporate boards in influencing company performance.</w:t>
      </w:r>
    </w:p>
    <w:p w14:paraId="7DFDE94C" w14:textId="77777777" w:rsidR="0035001E" w:rsidRPr="00EF2A33" w:rsidRDefault="0035001E" w:rsidP="0035001E">
      <w:pPr>
        <w:rPr>
          <w:lang w:val="en-GB"/>
        </w:rPr>
      </w:pPr>
      <w:r w:rsidRPr="00EF2A33">
        <w:rPr>
          <w:lang w:val="en-GB"/>
        </w:rPr>
        <w:t xml:space="preserve">Previous studies (Kaimal &amp; Uzma, 2024; </w:t>
      </w:r>
      <w:proofErr w:type="spellStart"/>
      <w:r w:rsidRPr="00EF2A33">
        <w:rPr>
          <w:lang w:val="en-GB"/>
        </w:rPr>
        <w:t>Muttakin</w:t>
      </w:r>
      <w:proofErr w:type="spellEnd"/>
      <w:r w:rsidRPr="00EF2A33">
        <w:rPr>
          <w:lang w:val="en-GB"/>
        </w:rPr>
        <w:t xml:space="preserve"> et al., 2012; Terjesen et al., 2016; Kao et al., 2018) have documented significant effects on company performance resulting from various board characteristics. Larger boards, for instance, have been associated with favourable impacts on a company’s performance by observing and supervising management actions, as found by Choi et al. (2007), Coles et al. (2008), and </w:t>
      </w:r>
      <w:proofErr w:type="spellStart"/>
      <w:r w:rsidRPr="00EF2A33">
        <w:rPr>
          <w:lang w:val="en-GB"/>
        </w:rPr>
        <w:t>Adeabah</w:t>
      </w:r>
      <w:proofErr w:type="spellEnd"/>
      <w:r w:rsidRPr="00EF2A33">
        <w:rPr>
          <w:lang w:val="en-GB"/>
        </w:rPr>
        <w:t xml:space="preserve"> et al. (2019). Coles et al. (2008) discovered that a sizable board of directors, due to their heightened observation and oversight of executive actions, can positively contribute to the advancement of company performance. Moreover, larger corporate boards typically comprise members from diverse backgrounds with various experiences and knowledge, which can assist a company in acquiring critical assets and resources </w:t>
      </w:r>
      <w:proofErr w:type="gramStart"/>
      <w:r w:rsidRPr="00EF2A33">
        <w:rPr>
          <w:lang w:val="en-GB"/>
        </w:rPr>
        <w:t>and also</w:t>
      </w:r>
      <w:proofErr w:type="gramEnd"/>
      <w:r w:rsidRPr="00EF2A33">
        <w:rPr>
          <w:lang w:val="en-GB"/>
        </w:rPr>
        <w:t xml:space="preserve"> mitigate uncertainties stemming from the environment in various situations (Bachiller, 2015; Kaimal &amp; Uzma, 2024; Kao et al., 2018).</w:t>
      </w:r>
    </w:p>
    <w:p w14:paraId="57F9EEA7" w14:textId="001E947C" w:rsidR="00CF6D1B" w:rsidRPr="00EF2A33" w:rsidRDefault="0035001E" w:rsidP="003D243F">
      <w:pPr>
        <w:rPr>
          <w:lang w:val="en-GB"/>
        </w:rPr>
      </w:pPr>
      <w:r w:rsidRPr="00EF2A33">
        <w:rPr>
          <w:lang w:val="en-GB"/>
        </w:rPr>
        <w:lastRenderedPageBreak/>
        <w:t xml:space="preserve">On the other hand, </w:t>
      </w:r>
      <w:r w:rsidR="00CC6275" w:rsidRPr="00EF2A33">
        <w:rPr>
          <w:lang w:val="en-GB"/>
        </w:rPr>
        <w:t>several</w:t>
      </w:r>
      <w:r w:rsidRPr="00EF2A33">
        <w:rPr>
          <w:lang w:val="en-GB"/>
        </w:rPr>
        <w:t xml:space="preserve"> studies have shown that large boards are not as efficient as small ones in terms of company performance. An unfavourable correlation between board size and business results has been highlighted, indicating that larger boards might suffer from inefficiencies (Bachiller, 2015). When a board has many directors, it is more likely that some of them will adopt a "free rider" mentality and refrain from actively participating in board activities (Bachiller, 2015). </w:t>
      </w:r>
      <w:r w:rsidR="00CF6D1B" w:rsidRPr="00EF2A33">
        <w:rPr>
          <w:lang w:val="en-GB"/>
        </w:rPr>
        <w:t xml:space="preserve">Based on these discussions, the </w:t>
      </w:r>
      <w:r w:rsidR="00DD5AFA" w:rsidRPr="00EF2A33">
        <w:rPr>
          <w:lang w:val="en-GB"/>
        </w:rPr>
        <w:t>fifth</w:t>
      </w:r>
      <w:r w:rsidR="00CF6D1B" w:rsidRPr="00EF2A33">
        <w:rPr>
          <w:lang w:val="en-GB"/>
        </w:rPr>
        <w:t xml:space="preserve"> hypothesis of this study is formulated as follows:</w:t>
      </w:r>
    </w:p>
    <w:p w14:paraId="31D50B8B" w14:textId="499DF531" w:rsidR="00FC00B1" w:rsidRPr="00EF2A33" w:rsidRDefault="00E94B61" w:rsidP="003D243F">
      <w:pPr>
        <w:rPr>
          <w:i/>
          <w:iCs/>
          <w:lang w:val="en-GB"/>
        </w:rPr>
      </w:pPr>
      <w:r w:rsidRPr="00EF2A33">
        <w:rPr>
          <w:i/>
          <w:iCs/>
          <w:lang w:val="en-GB"/>
        </w:rPr>
        <w:t xml:space="preserve">Hypothesis </w:t>
      </w:r>
      <w:r w:rsidR="00A12468" w:rsidRPr="00EF2A33">
        <w:rPr>
          <w:i/>
          <w:iCs/>
          <w:lang w:val="en-GB"/>
        </w:rPr>
        <w:t>5</w:t>
      </w:r>
      <w:r w:rsidRPr="00EF2A33">
        <w:rPr>
          <w:i/>
          <w:iCs/>
          <w:lang w:val="en-GB"/>
        </w:rPr>
        <w:t xml:space="preserve">: </w:t>
      </w:r>
      <w:r w:rsidR="00F72C5C" w:rsidRPr="00EF2A33">
        <w:rPr>
          <w:i/>
          <w:iCs/>
          <w:lang w:val="en-GB"/>
        </w:rPr>
        <w:t xml:space="preserve">Ceteris paribus, </w:t>
      </w:r>
      <w:r w:rsidR="00E64D2C" w:rsidRPr="00EF2A33">
        <w:rPr>
          <w:i/>
          <w:iCs/>
          <w:lang w:val="en-GB"/>
        </w:rPr>
        <w:t>b</w:t>
      </w:r>
      <w:r w:rsidRPr="00EF2A33">
        <w:rPr>
          <w:i/>
          <w:iCs/>
          <w:lang w:val="en-GB"/>
        </w:rPr>
        <w:t>oard size has a positive relationship with firm performance</w:t>
      </w:r>
      <w:r w:rsidR="00FC00B1" w:rsidRPr="00EF2A33">
        <w:rPr>
          <w:i/>
          <w:iCs/>
          <w:lang w:val="en-GB"/>
        </w:rPr>
        <w:t>.</w:t>
      </w:r>
    </w:p>
    <w:p w14:paraId="7AC7A15B" w14:textId="1CEB4704" w:rsidR="005F0110" w:rsidRPr="00EF2A33" w:rsidRDefault="00A12468" w:rsidP="003D243F">
      <w:pPr>
        <w:rPr>
          <w:b/>
          <w:bCs/>
          <w:i/>
          <w:iCs/>
          <w:lang w:val="en-GB"/>
        </w:rPr>
      </w:pPr>
      <w:r w:rsidRPr="00EF2A33">
        <w:rPr>
          <w:b/>
          <w:bCs/>
          <w:i/>
          <w:iCs/>
          <w:lang w:val="en-GB"/>
        </w:rPr>
        <w:t>4.6</w:t>
      </w:r>
      <w:r w:rsidR="00805D97" w:rsidRPr="00EF2A33">
        <w:rPr>
          <w:b/>
          <w:bCs/>
          <w:i/>
          <w:iCs/>
          <w:lang w:val="en-GB"/>
        </w:rPr>
        <w:t xml:space="preserve"> Board Independence and Firm Performance</w:t>
      </w:r>
    </w:p>
    <w:p w14:paraId="1BC66E91" w14:textId="11FDC797" w:rsidR="009E19CB" w:rsidRPr="00EF2A33" w:rsidRDefault="0035001E" w:rsidP="003D243F">
      <w:pPr>
        <w:rPr>
          <w:lang w:val="en-GB"/>
        </w:rPr>
      </w:pPr>
      <w:r w:rsidRPr="00EF2A33">
        <w:rPr>
          <w:lang w:val="en-GB"/>
        </w:rPr>
        <w:t xml:space="preserve">In corporate governance, agency theory highlights </w:t>
      </w:r>
      <w:r w:rsidR="00324B09" w:rsidRPr="00EF2A33">
        <w:rPr>
          <w:lang w:val="en-GB"/>
        </w:rPr>
        <w:t>concern</w:t>
      </w:r>
      <w:r w:rsidRPr="00EF2A33">
        <w:rPr>
          <w:lang w:val="en-GB"/>
        </w:rPr>
        <w:t xml:space="preserve"> about managers prioritizing their interests over stakeholders'. Independent board members play a crucial role in safeguarding shareholders' interests by addressing unexpected management actions</w:t>
      </w:r>
      <w:r w:rsidR="003F5737" w:rsidRPr="00EF2A33">
        <w:rPr>
          <w:lang w:val="en-GB"/>
        </w:rPr>
        <w:t xml:space="preserve"> (</w:t>
      </w:r>
      <w:proofErr w:type="spellStart"/>
      <w:r w:rsidR="003F5737" w:rsidRPr="00EF2A33">
        <w:rPr>
          <w:lang w:val="en-GB"/>
        </w:rPr>
        <w:t>Lahyani</w:t>
      </w:r>
      <w:proofErr w:type="spellEnd"/>
      <w:r w:rsidR="003F5737" w:rsidRPr="00EF2A33">
        <w:rPr>
          <w:lang w:val="en-GB"/>
        </w:rPr>
        <w:t xml:space="preserve"> &amp; Ayadi, 2024)</w:t>
      </w:r>
      <w:r w:rsidRPr="00EF2A33">
        <w:rPr>
          <w:lang w:val="en-GB"/>
        </w:rPr>
        <w:t>. According to the Bangladesh Securities and Exchange Commission (BSEC) Corporate Governance codes, independent board members are expected to bring expertise gained from at least 12 years of experience in business, accounting, legal, or economic fields. This expertise is aimed at enhancing the board’s oversight capabilities, as mandated by regulatory standards and supported by theoretical perspectives. Moreover, a board with a significant number of external directors is deemed independent and capable of providing impartial advice to managers to further shareholder interests. However, Rashid (2018) suggested that the relationship between board independence and firm economic performance might not always be positive, raising questions about the effectiveness of independent directors. Given these considerations, we propose the following hypothesis:</w:t>
      </w:r>
    </w:p>
    <w:p w14:paraId="29BE8B49" w14:textId="35D98A98" w:rsidR="009F53F6" w:rsidRPr="00EF2A33" w:rsidRDefault="007B3F97" w:rsidP="003D243F">
      <w:pPr>
        <w:rPr>
          <w:i/>
          <w:iCs/>
          <w:lang w:val="en-GB"/>
        </w:rPr>
      </w:pPr>
      <w:r w:rsidRPr="00EF2A33">
        <w:rPr>
          <w:i/>
          <w:iCs/>
          <w:lang w:val="en-GB"/>
        </w:rPr>
        <w:t>Hypothesis 6</w:t>
      </w:r>
      <w:r w:rsidR="00250A33" w:rsidRPr="00EF2A33">
        <w:rPr>
          <w:i/>
          <w:iCs/>
          <w:lang w:val="en-GB"/>
        </w:rPr>
        <w:t xml:space="preserve">: </w:t>
      </w:r>
      <w:r w:rsidR="00E0098A" w:rsidRPr="00EF2A33">
        <w:rPr>
          <w:i/>
          <w:iCs/>
          <w:lang w:val="en-GB"/>
        </w:rPr>
        <w:t xml:space="preserve">Ceteris paribus, </w:t>
      </w:r>
      <w:r w:rsidR="00E64D2C" w:rsidRPr="00EF2A33">
        <w:rPr>
          <w:i/>
          <w:iCs/>
          <w:lang w:val="en-GB"/>
        </w:rPr>
        <w:t>b</w:t>
      </w:r>
      <w:r w:rsidR="00250A33" w:rsidRPr="00EF2A33">
        <w:rPr>
          <w:i/>
          <w:iCs/>
          <w:lang w:val="en-GB"/>
        </w:rPr>
        <w:t>oard independence has a positive relationship with firm performance.</w:t>
      </w:r>
      <w:bookmarkStart w:id="8" w:name="_Toc60915880"/>
    </w:p>
    <w:p w14:paraId="5B8E21F8" w14:textId="2B4DBAC7" w:rsidR="007B3F97" w:rsidRPr="00EF2A33" w:rsidRDefault="007B3F97" w:rsidP="007B3F97">
      <w:pPr>
        <w:rPr>
          <w:b/>
          <w:bCs/>
          <w:i/>
          <w:iCs/>
          <w:lang w:val="en-GB"/>
        </w:rPr>
      </w:pPr>
      <w:r w:rsidRPr="00EF2A33">
        <w:rPr>
          <w:b/>
          <w:bCs/>
          <w:i/>
          <w:iCs/>
          <w:lang w:val="en-GB"/>
        </w:rPr>
        <w:t>4.7 Gender Diversity and Firm Performance</w:t>
      </w:r>
    </w:p>
    <w:p w14:paraId="7C49FA0B" w14:textId="2D51923F" w:rsidR="00083CC1" w:rsidRPr="00EF2A33" w:rsidRDefault="000816E1" w:rsidP="000816E1">
      <w:pPr>
        <w:rPr>
          <w:lang w:val="en-GB"/>
        </w:rPr>
      </w:pPr>
      <w:r w:rsidRPr="00EF2A33">
        <w:rPr>
          <w:lang w:val="en-GB"/>
        </w:rPr>
        <w:t xml:space="preserve">Board gender diversity is a framework that encompasses a range of attributes that may exist among members of the board who provide knowledge, expertise, and experiences that influence management effectiveness and have an impact on business decisions, particularly those related to firm performance </w:t>
      </w:r>
      <w:r w:rsidR="00FB1D03" w:rsidRPr="00EF2A33">
        <w:rPr>
          <w:lang w:val="en-GB"/>
        </w:rPr>
        <w:t>(</w:t>
      </w:r>
      <w:r w:rsidR="00123413" w:rsidRPr="00EF2A33">
        <w:rPr>
          <w:lang w:val="en-GB"/>
        </w:rPr>
        <w:t xml:space="preserve">Ali, 2014; </w:t>
      </w:r>
      <w:r w:rsidR="000146E6" w:rsidRPr="00EF2A33">
        <w:rPr>
          <w:lang w:val="en-GB"/>
        </w:rPr>
        <w:t xml:space="preserve">Kaimal &amp; Uzma, 2024; </w:t>
      </w:r>
      <w:r w:rsidR="00D876D7" w:rsidRPr="00EF2A33">
        <w:rPr>
          <w:lang w:val="en-GB"/>
        </w:rPr>
        <w:t>Mazumder, 2024</w:t>
      </w:r>
      <w:r w:rsidR="008A2620" w:rsidRPr="00EF2A33">
        <w:rPr>
          <w:lang w:val="en-GB"/>
        </w:rPr>
        <w:t>;</w:t>
      </w:r>
      <w:r w:rsidR="00D876D7" w:rsidRPr="00EF2A33">
        <w:rPr>
          <w:lang w:val="en-GB"/>
        </w:rPr>
        <w:t xml:space="preserve"> </w:t>
      </w:r>
      <w:r w:rsidR="00FB1D03" w:rsidRPr="00EF2A33">
        <w:rPr>
          <w:lang w:val="en-GB"/>
        </w:rPr>
        <w:t>Liu et al., 2014</w:t>
      </w:r>
      <w:r w:rsidR="002E11CD" w:rsidRPr="00EF2A33">
        <w:rPr>
          <w:lang w:val="en-GB"/>
        </w:rPr>
        <w:t>, Loulou-</w:t>
      </w:r>
      <w:proofErr w:type="spellStart"/>
      <w:r w:rsidR="002E11CD" w:rsidRPr="00EF2A33">
        <w:rPr>
          <w:lang w:val="en-GB"/>
        </w:rPr>
        <w:t>Baklouti</w:t>
      </w:r>
      <w:proofErr w:type="spellEnd"/>
      <w:r w:rsidR="002E11CD" w:rsidRPr="00EF2A33">
        <w:rPr>
          <w:lang w:val="en-GB"/>
        </w:rPr>
        <w:t>, 2023</w:t>
      </w:r>
      <w:r w:rsidR="00FB1D03" w:rsidRPr="00EF2A33">
        <w:rPr>
          <w:lang w:val="en-GB"/>
        </w:rPr>
        <w:t xml:space="preserve">). </w:t>
      </w:r>
      <w:r w:rsidR="009E55AB" w:rsidRPr="00EF2A33">
        <w:rPr>
          <w:lang w:val="en-GB"/>
        </w:rPr>
        <w:t>So,</w:t>
      </w:r>
      <w:r w:rsidR="006B0D35" w:rsidRPr="00EF2A33">
        <w:rPr>
          <w:lang w:val="en-GB"/>
        </w:rPr>
        <w:t xml:space="preserve"> diversity characteristics can be those which are apparent in terms of gender, ethnicity, age, and nationality as well as those that are less </w:t>
      </w:r>
      <w:r w:rsidR="006B0D35" w:rsidRPr="00EF2A33">
        <w:rPr>
          <w:lang w:val="en-GB"/>
        </w:rPr>
        <w:lastRenderedPageBreak/>
        <w:t>obvious such as religion, education, employment or culture)</w:t>
      </w:r>
      <w:r w:rsidR="005324FE" w:rsidRPr="00EF2A33">
        <w:rPr>
          <w:lang w:val="en-GB"/>
        </w:rPr>
        <w:t xml:space="preserve"> (</w:t>
      </w:r>
      <w:r w:rsidR="00A24397" w:rsidRPr="00EF2A33">
        <w:rPr>
          <w:lang w:val="en-GB"/>
        </w:rPr>
        <w:t>Fernández-Temprano &amp; Tejerina-</w:t>
      </w:r>
      <w:proofErr w:type="spellStart"/>
      <w:r w:rsidR="00A24397" w:rsidRPr="00EF2A33">
        <w:rPr>
          <w:lang w:val="en-GB"/>
        </w:rPr>
        <w:t>Gaite</w:t>
      </w:r>
      <w:proofErr w:type="spellEnd"/>
      <w:r w:rsidR="00A24397" w:rsidRPr="00EF2A33">
        <w:rPr>
          <w:lang w:val="en-GB"/>
        </w:rPr>
        <w:t xml:space="preserve">, 2020; </w:t>
      </w:r>
      <w:r w:rsidR="005324FE" w:rsidRPr="00EF2A33">
        <w:t>Vairavan and Zhang, 2020)</w:t>
      </w:r>
      <w:r w:rsidR="006B0D35" w:rsidRPr="00EF2A33">
        <w:rPr>
          <w:lang w:val="en-GB"/>
        </w:rPr>
        <w:t>; however, we consider the proportion of female directors in our current study (Haque, 2017).</w:t>
      </w:r>
      <w:r w:rsidR="00C17116" w:rsidRPr="00EF2A33">
        <w:rPr>
          <w:lang w:val="en-GB"/>
        </w:rPr>
        <w:t xml:space="preserve"> </w:t>
      </w:r>
      <w:r w:rsidR="0035001E" w:rsidRPr="00EF2A33">
        <w:rPr>
          <w:lang w:val="en-GB"/>
        </w:rPr>
        <w:t>Agency theory suggests that boards with diverse gender backgrounds can enhance shareholder efficiency by improving managerial monitoring, stakeholder engagement, resource attraction, and corporate governance (Brennan, 2006). Studies by Carter et al. (2003) and Terjesen et al. (2009) support this notion, demonstrating that boards with higher gender diversity tend to outperform others and facilitate firms with various resources, including financing. However, contemporary literature presents mixed findings on the impact of gender diversity on decision-making and firm performance, including positive, negative</w:t>
      </w:r>
      <w:r w:rsidR="00AA0FC1" w:rsidRPr="00EF2A33">
        <w:rPr>
          <w:lang w:val="en-GB"/>
        </w:rPr>
        <w:t xml:space="preserve"> (Hassan, 2024)</w:t>
      </w:r>
      <w:r w:rsidR="0035001E" w:rsidRPr="00EF2A33">
        <w:rPr>
          <w:lang w:val="en-GB"/>
        </w:rPr>
        <w:t>, or limited effects (Kaimal &amp; Uzma, 2024; Liu et al., 2014; Rahman and Saima, 2018). Notably, there is no minimum requirement for the number of female directors under the corporate governance guidelines in Bangladesh. Nevertheless, we anticipate that more diverse boards exert greater pressure on corporate managers to enhance firm performance. Thus, we propose the following hypothesis:</w:t>
      </w:r>
    </w:p>
    <w:p w14:paraId="6BE81733" w14:textId="7A6F6149" w:rsidR="007B3F97" w:rsidRPr="00EF2A33" w:rsidRDefault="007B3F97" w:rsidP="007B3F97">
      <w:pPr>
        <w:rPr>
          <w:i/>
          <w:iCs/>
          <w:lang w:val="en-GB"/>
        </w:rPr>
      </w:pPr>
      <w:r w:rsidRPr="00EF2A33">
        <w:rPr>
          <w:i/>
          <w:iCs/>
          <w:lang w:val="en-GB"/>
        </w:rPr>
        <w:t>Hypothesis 7: Ceteris paribus, board gender diversity</w:t>
      </w:r>
      <w:r w:rsidR="008A3BEF" w:rsidRPr="00EF2A33">
        <w:rPr>
          <w:i/>
          <w:iCs/>
          <w:lang w:val="en-GB"/>
        </w:rPr>
        <w:t xml:space="preserve"> has</w:t>
      </w:r>
      <w:r w:rsidRPr="00EF2A33">
        <w:rPr>
          <w:i/>
          <w:iCs/>
          <w:lang w:val="en-GB"/>
        </w:rPr>
        <w:t xml:space="preserve"> a positive relationship with firm performance.</w:t>
      </w:r>
    </w:p>
    <w:p w14:paraId="04C4A888" w14:textId="2C14FB68" w:rsidR="00046243" w:rsidRPr="00EF2A33" w:rsidRDefault="00046243" w:rsidP="00046243">
      <w:pPr>
        <w:rPr>
          <w:b/>
          <w:bCs/>
          <w:i/>
          <w:iCs/>
          <w:lang w:val="en-GB"/>
        </w:rPr>
      </w:pPr>
      <w:r w:rsidRPr="00EF2A33">
        <w:rPr>
          <w:b/>
          <w:bCs/>
          <w:i/>
          <w:iCs/>
          <w:lang w:val="en-GB"/>
        </w:rPr>
        <w:t xml:space="preserve">4.8 Board </w:t>
      </w:r>
      <w:r w:rsidR="00DF60C4" w:rsidRPr="00EF2A33">
        <w:rPr>
          <w:b/>
          <w:bCs/>
          <w:i/>
          <w:iCs/>
          <w:lang w:val="en-GB"/>
        </w:rPr>
        <w:t xml:space="preserve">Expertise </w:t>
      </w:r>
      <w:r w:rsidRPr="00EF2A33">
        <w:rPr>
          <w:b/>
          <w:bCs/>
          <w:i/>
          <w:iCs/>
          <w:lang w:val="en-GB"/>
        </w:rPr>
        <w:t>and Firm Performance</w:t>
      </w:r>
    </w:p>
    <w:p w14:paraId="650102E5" w14:textId="77777777" w:rsidR="005B26B2" w:rsidRPr="00EF2A33" w:rsidRDefault="005B26B2" w:rsidP="005B26B2">
      <w:r w:rsidRPr="00EF2A33">
        <w:t>Existing literature measures the board's expertise by the number of meetings they conduct (Saha and Khan, 2024a). The frequency of board meetings can influence board efficiency and transparency (Karim et al., 2021). However, the relationship between board meetings and firm performance requires further exploration, particularly in the context of Bangladesh, where the significance of board meetings is emphasized in the CG Code 2018 (Saha and Khan, 2024a). From the perspective of agency theory, firms conduct frequent meetings to handle increased competition, operational complexity, and uncertainty, which helps address the concerns of various stakeholders and better assess firm performance.</w:t>
      </w:r>
    </w:p>
    <w:p w14:paraId="0A7A602C" w14:textId="77777777" w:rsidR="005B26B2" w:rsidRPr="00EF2A33" w:rsidRDefault="005B26B2" w:rsidP="005B26B2">
      <w:r w:rsidRPr="00EF2A33">
        <w:t xml:space="preserve">The nature of the relationship between board expertise and firm performance is complex, as scholars hold differing views. Some argue that more frequent meetings positively impact board efficiency, enhance supervision, and increase organizational transparency, especially during crises and periods of uncertainty. Such meetings may also align with shareholders' expectations and improve firm performance (Karim et al., 2021; </w:t>
      </w:r>
      <w:proofErr w:type="spellStart"/>
      <w:r w:rsidRPr="00EF2A33">
        <w:t>Buchdadi</w:t>
      </w:r>
      <w:proofErr w:type="spellEnd"/>
      <w:r w:rsidRPr="00EF2A33">
        <w:t xml:space="preserve"> et al., 2019). </w:t>
      </w:r>
      <w:r w:rsidRPr="00EF2A33">
        <w:lastRenderedPageBreak/>
        <w:t>Conversely, other scholars suggest that more frequent meetings may indicate an ineffective and intrusive board, potentially harming firm performance (Frias-Aceituno et al., 2013).</w:t>
      </w:r>
    </w:p>
    <w:p w14:paraId="73ADAE43" w14:textId="77777777" w:rsidR="005B26B2" w:rsidRPr="00EF2A33" w:rsidRDefault="005B26B2" w:rsidP="005B26B2">
      <w:r w:rsidRPr="00EF2A33">
        <w:t>Given these contrasting perspectives, we propose that regular board meetings are essential for effective supervision and integration of the board, ultimately impacting firm performance. Therefore, we propose the following hypothesis:</w:t>
      </w:r>
    </w:p>
    <w:p w14:paraId="2586BCAE" w14:textId="10C1BE49" w:rsidR="00046243" w:rsidRPr="00EF2A33" w:rsidRDefault="00046243" w:rsidP="005B26B2">
      <w:pPr>
        <w:rPr>
          <w:i/>
          <w:iCs/>
          <w:lang w:val="en-GB"/>
        </w:rPr>
      </w:pPr>
      <w:r w:rsidRPr="00EF2A33">
        <w:rPr>
          <w:i/>
          <w:iCs/>
          <w:lang w:val="en-GB"/>
        </w:rPr>
        <w:t xml:space="preserve">Hypothesis 8: Ceteris paribus, board </w:t>
      </w:r>
      <w:r w:rsidR="00794F5F" w:rsidRPr="00EF2A33">
        <w:rPr>
          <w:i/>
          <w:iCs/>
          <w:lang w:val="en-GB"/>
        </w:rPr>
        <w:t>expertise</w:t>
      </w:r>
      <w:r w:rsidR="005B26B2" w:rsidRPr="00EF2A33">
        <w:rPr>
          <w:i/>
          <w:iCs/>
          <w:lang w:val="en-GB"/>
        </w:rPr>
        <w:t xml:space="preserve"> (measured by the number of board meetings)</w:t>
      </w:r>
      <w:r w:rsidR="008A3BEF" w:rsidRPr="00EF2A33">
        <w:rPr>
          <w:i/>
          <w:iCs/>
          <w:lang w:val="en-GB"/>
        </w:rPr>
        <w:t xml:space="preserve"> has</w:t>
      </w:r>
      <w:r w:rsidRPr="00EF2A33">
        <w:rPr>
          <w:i/>
          <w:iCs/>
          <w:lang w:val="en-GB"/>
        </w:rPr>
        <w:t xml:space="preserve"> a positive relationship with firm performance.</w:t>
      </w:r>
    </w:p>
    <w:p w14:paraId="706C6B34" w14:textId="148FBA21" w:rsidR="00C303A8" w:rsidRPr="00EF2A33" w:rsidRDefault="00C303A8" w:rsidP="00C303A8">
      <w:pPr>
        <w:rPr>
          <w:b/>
          <w:bCs/>
          <w:i/>
          <w:iCs/>
          <w:lang w:val="en-GB"/>
        </w:rPr>
      </w:pPr>
      <w:r w:rsidRPr="00EF2A33">
        <w:rPr>
          <w:b/>
          <w:bCs/>
          <w:i/>
          <w:iCs/>
          <w:lang w:val="en-GB"/>
        </w:rPr>
        <w:t xml:space="preserve">4.9 Family </w:t>
      </w:r>
      <w:r w:rsidR="00987A44" w:rsidRPr="00EF2A33">
        <w:rPr>
          <w:b/>
          <w:bCs/>
          <w:i/>
          <w:iCs/>
          <w:lang w:val="en-GB"/>
        </w:rPr>
        <w:t>Control</w:t>
      </w:r>
      <w:r w:rsidRPr="00EF2A33">
        <w:rPr>
          <w:b/>
          <w:bCs/>
          <w:i/>
          <w:iCs/>
          <w:lang w:val="en-GB"/>
        </w:rPr>
        <w:t xml:space="preserve"> and Firm Performance</w:t>
      </w:r>
    </w:p>
    <w:p w14:paraId="474D7890" w14:textId="77777777" w:rsidR="005B26B2" w:rsidRPr="00EF2A33" w:rsidRDefault="005B26B2" w:rsidP="005B26B2">
      <w:pPr>
        <w:rPr>
          <w:lang w:val="en-GB"/>
        </w:rPr>
      </w:pPr>
      <w:r w:rsidRPr="00EF2A33">
        <w:rPr>
          <w:lang w:val="en-GB"/>
        </w:rPr>
        <w:t>Family control refers to a situation where the board is composed predominantly of family members who have significant control over decisions, and literature suggests that family control affects firm performance (Amrah et al., 2015; Bachiller, 2015). Previous research presents mixed findings regarding family ownership’s effect on financial distress (</w:t>
      </w:r>
      <w:proofErr w:type="spellStart"/>
      <w:r w:rsidRPr="00EF2A33">
        <w:rPr>
          <w:lang w:val="en-GB"/>
        </w:rPr>
        <w:t>Nuzul</w:t>
      </w:r>
      <w:proofErr w:type="spellEnd"/>
      <w:r w:rsidRPr="00EF2A33">
        <w:rPr>
          <w:lang w:val="en-GB"/>
        </w:rPr>
        <w:t xml:space="preserve"> and </w:t>
      </w:r>
      <w:proofErr w:type="spellStart"/>
      <w:r w:rsidRPr="00EF2A33">
        <w:rPr>
          <w:lang w:val="en-GB"/>
        </w:rPr>
        <w:t>Diyanty</w:t>
      </w:r>
      <w:proofErr w:type="spellEnd"/>
      <w:r w:rsidRPr="00EF2A33">
        <w:rPr>
          <w:lang w:val="en-GB"/>
        </w:rPr>
        <w:t>, 2024). The presence of family control is likely to influence the monitoring effectiveness of the board and control over the appointment of board members (Adıgüzel, 2013). Family members constitute a distinct group with a unique incentive structure and the authority to make long-term strategic decisions by treating the company as their own enterprise (</w:t>
      </w:r>
      <w:proofErr w:type="spellStart"/>
      <w:r w:rsidRPr="00EF2A33">
        <w:rPr>
          <w:lang w:val="en-GB"/>
        </w:rPr>
        <w:t>Desender</w:t>
      </w:r>
      <w:proofErr w:type="spellEnd"/>
      <w:r w:rsidRPr="00EF2A33">
        <w:rPr>
          <w:lang w:val="en-GB"/>
        </w:rPr>
        <w:t xml:space="preserve">, 2009). According to agency theory, family directors benefit from open lines of communication among family members, which allow them to share perspectives and supervise management tasks (Fama &amp; Jensen, 1983; Kaimal &amp; Uzma, 2024). Additionally, a family-controlled business can resolve agency issues, lower agency costs, and improve business performance (Bartholomeusz &amp; </w:t>
      </w:r>
      <w:proofErr w:type="spellStart"/>
      <w:r w:rsidRPr="00EF2A33">
        <w:rPr>
          <w:lang w:val="en-GB"/>
        </w:rPr>
        <w:t>Tanewski</w:t>
      </w:r>
      <w:proofErr w:type="spellEnd"/>
      <w:r w:rsidRPr="00EF2A33">
        <w:rPr>
          <w:lang w:val="en-GB"/>
        </w:rPr>
        <w:t>, 2006; Kaimal &amp; Uzma, 2024).</w:t>
      </w:r>
    </w:p>
    <w:p w14:paraId="4B0B788B" w14:textId="77777777" w:rsidR="005B26B2" w:rsidRPr="00EF2A33" w:rsidRDefault="005B26B2" w:rsidP="005B26B2">
      <w:pPr>
        <w:rPr>
          <w:lang w:val="en-GB"/>
        </w:rPr>
      </w:pPr>
      <w:r w:rsidRPr="00EF2A33">
        <w:rPr>
          <w:lang w:val="en-GB"/>
        </w:rPr>
        <w:t>In contrast, the presence of family members could make the board less effective and result in poorer business success (</w:t>
      </w:r>
      <w:proofErr w:type="spellStart"/>
      <w:r w:rsidRPr="00EF2A33">
        <w:rPr>
          <w:lang w:val="en-GB"/>
        </w:rPr>
        <w:t>Desender</w:t>
      </w:r>
      <w:proofErr w:type="spellEnd"/>
      <w:r w:rsidRPr="00EF2A33">
        <w:rPr>
          <w:lang w:val="en-GB"/>
        </w:rPr>
        <w:t xml:space="preserve">, 2009; Gottardo and </w:t>
      </w:r>
      <w:proofErr w:type="spellStart"/>
      <w:r w:rsidRPr="00EF2A33">
        <w:rPr>
          <w:lang w:val="en-GB"/>
        </w:rPr>
        <w:t>Moisello</w:t>
      </w:r>
      <w:proofErr w:type="spellEnd"/>
      <w:r w:rsidRPr="00EF2A33">
        <w:rPr>
          <w:lang w:val="en-GB"/>
        </w:rPr>
        <w:t xml:space="preserve">, 2017; Makhlouf et al., 2018) because, despite their abilities and qualifications, board members may be chosen based on kinship and preference (Omran et al., 2008; Tai et al., 2020). Furthermore, minority shareholder rights may be compromised, and expropriation may occur when a family is in charge (Al-Dubai et al., 2014) because family members have significant influence and control over the business. This can result in the expropriation of company resources through self-interested practices that may not align with the best interests of minority shareholders and the extraction of private benefits at the expense of minority shareholders (Din et al., 2022; Amrah et al., 2015; Haddad et al., 2015). Typically, this expropriation decreases the performance and </w:t>
      </w:r>
      <w:r w:rsidRPr="00EF2A33">
        <w:rPr>
          <w:lang w:val="en-GB"/>
        </w:rPr>
        <w:lastRenderedPageBreak/>
        <w:t>value of the company and heightens the conflict between minority and majority shareholders (such as family members) (Liew et al., 2017).</w:t>
      </w:r>
    </w:p>
    <w:p w14:paraId="0A59926B" w14:textId="61B7BA6F" w:rsidR="00C303A8" w:rsidRPr="00EF2A33" w:rsidRDefault="005B26B2" w:rsidP="005B26B2">
      <w:pPr>
        <w:rPr>
          <w:lang w:val="en-GB"/>
        </w:rPr>
      </w:pPr>
      <w:r w:rsidRPr="00EF2A33">
        <w:rPr>
          <w:lang w:val="en-GB"/>
        </w:rPr>
        <w:t>After reviewing the literature regarding family control and its effect on firm performance, this study proposes the following hypothesis:</w:t>
      </w:r>
    </w:p>
    <w:p w14:paraId="2952D556" w14:textId="18A065D7" w:rsidR="00C303A8" w:rsidRPr="00EF2A33" w:rsidRDefault="00C303A8" w:rsidP="00C303A8">
      <w:pPr>
        <w:rPr>
          <w:i/>
          <w:iCs/>
          <w:lang w:val="en-GB"/>
        </w:rPr>
      </w:pPr>
      <w:r w:rsidRPr="00EF2A33">
        <w:rPr>
          <w:i/>
          <w:iCs/>
          <w:lang w:val="en-GB"/>
        </w:rPr>
        <w:t xml:space="preserve">Hypothesis 9: Ceteris paribus, family </w:t>
      </w:r>
      <w:r w:rsidR="00987A44" w:rsidRPr="00EF2A33">
        <w:rPr>
          <w:i/>
          <w:iCs/>
          <w:lang w:val="en-GB"/>
        </w:rPr>
        <w:t>control</w:t>
      </w:r>
      <w:r w:rsidR="008A3BEF" w:rsidRPr="00EF2A33">
        <w:rPr>
          <w:i/>
          <w:iCs/>
          <w:lang w:val="en-GB"/>
        </w:rPr>
        <w:t xml:space="preserve"> has </w:t>
      </w:r>
      <w:r w:rsidRPr="00EF2A33">
        <w:rPr>
          <w:i/>
          <w:iCs/>
          <w:lang w:val="en-GB"/>
        </w:rPr>
        <w:t>a positive relationship with firm performance.</w:t>
      </w:r>
    </w:p>
    <w:p w14:paraId="023AF60E" w14:textId="3054621C" w:rsidR="008A3BEF" w:rsidRPr="00EF2A33" w:rsidRDefault="008A3BEF" w:rsidP="008A3BEF">
      <w:pPr>
        <w:rPr>
          <w:b/>
          <w:bCs/>
          <w:i/>
          <w:iCs/>
          <w:lang w:val="en-GB"/>
        </w:rPr>
      </w:pPr>
      <w:r w:rsidRPr="00EF2A33">
        <w:rPr>
          <w:b/>
          <w:bCs/>
          <w:i/>
          <w:iCs/>
          <w:lang w:val="en-GB"/>
        </w:rPr>
        <w:t>4.10 Director’s Education and Firm Performance</w:t>
      </w:r>
    </w:p>
    <w:p w14:paraId="65C2EF72" w14:textId="77777777" w:rsidR="005B26B2" w:rsidRPr="00EF2A33" w:rsidRDefault="005B26B2" w:rsidP="005B26B2">
      <w:pPr>
        <w:rPr>
          <w:lang w:val="en-GB"/>
        </w:rPr>
      </w:pPr>
      <w:r w:rsidRPr="00EF2A33">
        <w:rPr>
          <w:lang w:val="en-GB"/>
        </w:rPr>
        <w:t xml:space="preserve">A board with directors possessing higher education levels is associated with open-mindedness, enhanced information processing capacity, and a tolerance for changes (Hambrick and Mason, 1984). Extensive literature has established a link between board members' educational qualifications and financial performance (Hambrick and Mason, 1984; </w:t>
      </w:r>
      <w:proofErr w:type="spellStart"/>
      <w:r w:rsidRPr="00EF2A33">
        <w:rPr>
          <w:lang w:val="en-GB"/>
        </w:rPr>
        <w:t>Kagzi</w:t>
      </w:r>
      <w:proofErr w:type="spellEnd"/>
      <w:r w:rsidRPr="00EF2A33">
        <w:rPr>
          <w:lang w:val="en-GB"/>
        </w:rPr>
        <w:t xml:space="preserve"> and Guha, 2018). However, despite substantial empirical research on this link, findings have been conflicting and ambiguous. While some studies support the existence of a positive relationship, other empirical works, though rare, confirm a negative correlation.</w:t>
      </w:r>
    </w:p>
    <w:p w14:paraId="29DF45C8" w14:textId="012D4975" w:rsidR="005B26B2" w:rsidRPr="00EF2A33" w:rsidRDefault="005B26B2" w:rsidP="005B26B2">
      <w:pPr>
        <w:rPr>
          <w:lang w:val="en-GB"/>
        </w:rPr>
      </w:pPr>
      <w:r w:rsidRPr="00EF2A33">
        <w:rPr>
          <w:lang w:val="en-GB"/>
        </w:rPr>
        <w:t>For instance, Cheng et al. (2010) found a positive correlation between the educational background of the board chairman and performance measures such as the increase in return on assets (ROA) in China. Bantel and Jackson (1989) also suggest that more educated board members are more proactive in developing technical innovations. In contrast, other research indicates a negative correlation between the financial performance of the board and the educational variety of its members (</w:t>
      </w:r>
      <w:proofErr w:type="spellStart"/>
      <w:r w:rsidRPr="00EF2A33">
        <w:rPr>
          <w:lang w:val="en-GB"/>
        </w:rPr>
        <w:t>Kagzi</w:t>
      </w:r>
      <w:proofErr w:type="spellEnd"/>
      <w:r w:rsidRPr="00EF2A33">
        <w:rPr>
          <w:lang w:val="en-GB"/>
        </w:rPr>
        <w:t xml:space="preserve"> and Guha, 2018; Hafsi and Turgut, 2013). Similarly, </w:t>
      </w:r>
      <w:proofErr w:type="spellStart"/>
      <w:r w:rsidRPr="00EF2A33">
        <w:rPr>
          <w:lang w:val="en-GB"/>
        </w:rPr>
        <w:t>Ujunwa</w:t>
      </w:r>
      <w:proofErr w:type="spellEnd"/>
      <w:r w:rsidRPr="00EF2A33">
        <w:rPr>
          <w:lang w:val="en-GB"/>
        </w:rPr>
        <w:t xml:space="preserve"> (2012) and Fernández-Temprano &amp; Tejerina-</w:t>
      </w:r>
      <w:proofErr w:type="spellStart"/>
      <w:r w:rsidRPr="00EF2A33">
        <w:rPr>
          <w:lang w:val="en-GB"/>
        </w:rPr>
        <w:t>Gaite</w:t>
      </w:r>
      <w:proofErr w:type="spellEnd"/>
      <w:r w:rsidRPr="00EF2A33">
        <w:rPr>
          <w:lang w:val="en-GB"/>
        </w:rPr>
        <w:t xml:space="preserve"> (2020) report that boards with higher educational diversity negatively impact firm performance. </w:t>
      </w:r>
      <w:proofErr w:type="spellStart"/>
      <w:r w:rsidRPr="00EF2A33">
        <w:rPr>
          <w:lang w:val="en-GB"/>
        </w:rPr>
        <w:t>Tacheva</w:t>
      </w:r>
      <w:proofErr w:type="spellEnd"/>
      <w:r w:rsidRPr="00EF2A33">
        <w:rPr>
          <w:lang w:val="en-GB"/>
        </w:rPr>
        <w:t xml:space="preserve"> and Huse (2006) also support an inverse relationship between the educational background of top management and the firm’s financial performance. Additionally, Adnan and Dar (2006) conclude that the performance of a company is negatively impacted by the educational diversity of the board, particularly in government-affiliated businesses, where the culture of selecting directors places more emphasis on the network's governance qualities than on education. Considering these arguments, this study formulates the following hypothesis:</w:t>
      </w:r>
    </w:p>
    <w:p w14:paraId="7329AE31" w14:textId="277AB786" w:rsidR="008A3BEF" w:rsidRPr="00EF2A33" w:rsidRDefault="008A3BEF" w:rsidP="005B26B2">
      <w:pPr>
        <w:rPr>
          <w:i/>
          <w:iCs/>
          <w:lang w:val="en-GB"/>
        </w:rPr>
      </w:pPr>
      <w:r w:rsidRPr="00EF2A33">
        <w:rPr>
          <w:i/>
          <w:iCs/>
          <w:lang w:val="en-GB"/>
        </w:rPr>
        <w:t xml:space="preserve">Hypothesis </w:t>
      </w:r>
      <w:r w:rsidR="00246F74" w:rsidRPr="00EF2A33">
        <w:rPr>
          <w:i/>
          <w:iCs/>
          <w:lang w:val="en-GB"/>
        </w:rPr>
        <w:t>10</w:t>
      </w:r>
      <w:r w:rsidRPr="00EF2A33">
        <w:rPr>
          <w:i/>
          <w:iCs/>
          <w:lang w:val="en-GB"/>
        </w:rPr>
        <w:t>: Ceteris paribus, directors’ education has a positive relationship with firm performance.</w:t>
      </w:r>
    </w:p>
    <w:p w14:paraId="7597CC86" w14:textId="77777777" w:rsidR="007B3F97" w:rsidRPr="00EF2A33" w:rsidRDefault="007B3F97" w:rsidP="003D243F">
      <w:pPr>
        <w:rPr>
          <w:b/>
          <w:bCs/>
          <w:lang w:val="en-GB"/>
        </w:rPr>
      </w:pPr>
    </w:p>
    <w:p w14:paraId="5F5BC1A9" w14:textId="61EAE943" w:rsidR="007D38B4" w:rsidRPr="00EF2A33" w:rsidRDefault="007D38B4" w:rsidP="003D243F">
      <w:pPr>
        <w:rPr>
          <w:b/>
          <w:bCs/>
          <w:lang w:val="en-GB"/>
        </w:rPr>
      </w:pPr>
      <w:r w:rsidRPr="00EF2A33">
        <w:rPr>
          <w:b/>
          <w:bCs/>
          <w:lang w:val="en-GB"/>
        </w:rPr>
        <w:lastRenderedPageBreak/>
        <w:t xml:space="preserve">5. </w:t>
      </w:r>
      <w:r w:rsidR="00FA36D6" w:rsidRPr="00EF2A33">
        <w:rPr>
          <w:b/>
          <w:bCs/>
          <w:lang w:val="en-GB"/>
        </w:rPr>
        <w:t xml:space="preserve">Research </w:t>
      </w:r>
      <w:r w:rsidR="006F755B" w:rsidRPr="00EF2A33">
        <w:rPr>
          <w:b/>
          <w:bCs/>
          <w:lang w:val="en-GB"/>
        </w:rPr>
        <w:t>Method</w:t>
      </w:r>
      <w:bookmarkStart w:id="9" w:name="_Toc60915881"/>
      <w:bookmarkEnd w:id="8"/>
      <w:r w:rsidR="00FA36D6" w:rsidRPr="00EF2A33">
        <w:rPr>
          <w:b/>
          <w:bCs/>
          <w:lang w:val="en-GB"/>
        </w:rPr>
        <w:t>s</w:t>
      </w:r>
    </w:p>
    <w:p w14:paraId="68B268C4" w14:textId="78577A45" w:rsidR="00C148B9" w:rsidRPr="00EF2A33" w:rsidRDefault="007D38B4" w:rsidP="003D243F">
      <w:pPr>
        <w:rPr>
          <w:b/>
          <w:bCs/>
          <w:i/>
          <w:iCs/>
          <w:lang w:val="en-GB"/>
        </w:rPr>
      </w:pPr>
      <w:r w:rsidRPr="00EF2A33">
        <w:rPr>
          <w:b/>
          <w:bCs/>
          <w:i/>
          <w:iCs/>
          <w:lang w:val="en-GB"/>
        </w:rPr>
        <w:t>5</w:t>
      </w:r>
      <w:r w:rsidR="00D85738" w:rsidRPr="00EF2A33">
        <w:rPr>
          <w:b/>
          <w:bCs/>
          <w:i/>
          <w:iCs/>
          <w:lang w:val="en-GB"/>
        </w:rPr>
        <w:t xml:space="preserve">.1 </w:t>
      </w:r>
      <w:r w:rsidR="006F755B" w:rsidRPr="00EF2A33">
        <w:rPr>
          <w:b/>
          <w:bCs/>
          <w:i/>
          <w:iCs/>
          <w:lang w:val="en-GB"/>
        </w:rPr>
        <w:t xml:space="preserve">Sample and </w:t>
      </w:r>
      <w:r w:rsidRPr="00EF2A33">
        <w:rPr>
          <w:b/>
          <w:bCs/>
          <w:i/>
          <w:iCs/>
          <w:lang w:val="en-GB"/>
        </w:rPr>
        <w:t>D</w:t>
      </w:r>
      <w:r w:rsidR="006F755B" w:rsidRPr="00EF2A33">
        <w:rPr>
          <w:b/>
          <w:bCs/>
          <w:i/>
          <w:iCs/>
          <w:lang w:val="en-GB"/>
        </w:rPr>
        <w:t>ata</w:t>
      </w:r>
      <w:bookmarkEnd w:id="9"/>
    </w:p>
    <w:p w14:paraId="1FFFC317" w14:textId="58E05A88" w:rsidR="009E55AB" w:rsidRPr="00EF2A33" w:rsidRDefault="009E55AB" w:rsidP="009E55AB">
      <w:pPr>
        <w:rPr>
          <w:lang w:val="en-GB"/>
        </w:rPr>
      </w:pPr>
      <w:r w:rsidRPr="00EF2A33">
        <w:rPr>
          <w:lang w:val="en-GB"/>
        </w:rPr>
        <w:t xml:space="preserve">The study sample consisted of firms listed in the DSE30 index, sourced from the Dhaka Stock Exchange (DSE) in 2020, covering the financial years 2016 to 2022. The primary data sources included audited financial statements from annual reports and stock market data obtained from the DSE website. Additionally, data on family control and the educational qualifications of directors were manually collected by researchers from various sources, including company websites, annual reports, LinkedIn profiles, and other external media platforms. </w:t>
      </w:r>
    </w:p>
    <w:p w14:paraId="61D95587" w14:textId="3F4CE768" w:rsidR="00CD02CC" w:rsidRPr="00EF2A33" w:rsidRDefault="00FC4EE2" w:rsidP="00FC4EE2">
      <w:pPr>
        <w:rPr>
          <w:rFonts w:eastAsia="Times New Roman"/>
          <w:lang w:val="en-GB" w:eastAsia="en-GB"/>
        </w:rPr>
      </w:pPr>
      <w:r w:rsidRPr="00EF2A33">
        <w:rPr>
          <w:lang w:val="en-GB"/>
        </w:rPr>
        <w:t>Table 1 presents the sample distribution by sector, providing a fair understanding of the sample distribution. The Banks, Engineering, Fuel and Power, and Pharmaceuticals &amp; Chemicals sectors were the most represented, each with 35 observations (17%</w:t>
      </w:r>
      <w:r w:rsidR="00822DC7" w:rsidRPr="00EF2A33">
        <w:rPr>
          <w:lang w:val="en-GB"/>
        </w:rPr>
        <w:t xml:space="preserve"> in each of the categories</w:t>
      </w:r>
      <w:r w:rsidRPr="00EF2A33">
        <w:rPr>
          <w:lang w:val="en-GB"/>
        </w:rPr>
        <w:t>), followed by the Financial Institutions, Cement, Food &amp; Allied Products, and Telecommunication sectors, each with 14 observations (7%</w:t>
      </w:r>
      <w:r w:rsidR="00B62992" w:rsidRPr="00EF2A33">
        <w:rPr>
          <w:lang w:val="en-GB"/>
        </w:rPr>
        <w:t xml:space="preserve"> in each</w:t>
      </w:r>
      <w:r w:rsidRPr="00EF2A33">
        <w:rPr>
          <w:lang w:val="en-GB"/>
        </w:rPr>
        <w:t>). We found data for all firms in our sample, so no firms needed to be dropped. The following table summarises the sample companies included in the study:</w:t>
      </w:r>
    </w:p>
    <w:p w14:paraId="5723C728" w14:textId="51EBF2DB" w:rsidR="005E3200" w:rsidRPr="00EF2A33" w:rsidRDefault="005E3200" w:rsidP="006E6C52">
      <w:pPr>
        <w:pStyle w:val="Caption"/>
        <w:keepNext/>
        <w:pBdr>
          <w:top w:val="single" w:sz="4" w:space="1" w:color="auto"/>
          <w:bottom w:val="single" w:sz="4" w:space="1" w:color="auto"/>
        </w:pBdr>
        <w:rPr>
          <w:i w:val="0"/>
          <w:color w:val="auto"/>
          <w:sz w:val="24"/>
          <w:szCs w:val="24"/>
        </w:rPr>
      </w:pPr>
      <w:r w:rsidRPr="00EF2A33">
        <w:rPr>
          <w:b/>
          <w:i w:val="0"/>
          <w:color w:val="auto"/>
          <w:sz w:val="24"/>
          <w:szCs w:val="24"/>
        </w:rPr>
        <w:t xml:space="preserve">Table </w:t>
      </w:r>
      <w:r w:rsidRPr="00EF2A33">
        <w:rPr>
          <w:b/>
          <w:i w:val="0"/>
          <w:color w:val="auto"/>
          <w:sz w:val="24"/>
          <w:szCs w:val="24"/>
        </w:rPr>
        <w:fldChar w:fldCharType="begin"/>
      </w:r>
      <w:r w:rsidRPr="00EF2A33">
        <w:rPr>
          <w:b/>
          <w:i w:val="0"/>
          <w:color w:val="auto"/>
          <w:sz w:val="24"/>
          <w:szCs w:val="24"/>
        </w:rPr>
        <w:instrText xml:space="preserve"> SEQ Table \* ARABIC </w:instrText>
      </w:r>
      <w:r w:rsidRPr="00EF2A33">
        <w:rPr>
          <w:b/>
          <w:i w:val="0"/>
          <w:color w:val="auto"/>
          <w:sz w:val="24"/>
          <w:szCs w:val="24"/>
        </w:rPr>
        <w:fldChar w:fldCharType="separate"/>
      </w:r>
      <w:r w:rsidR="00A374FD" w:rsidRPr="00EF2A33">
        <w:rPr>
          <w:b/>
          <w:i w:val="0"/>
          <w:noProof/>
          <w:color w:val="auto"/>
          <w:sz w:val="24"/>
          <w:szCs w:val="24"/>
        </w:rPr>
        <w:t>1</w:t>
      </w:r>
      <w:r w:rsidRPr="00EF2A33">
        <w:rPr>
          <w:b/>
          <w:i w:val="0"/>
          <w:noProof/>
          <w:color w:val="auto"/>
          <w:sz w:val="24"/>
          <w:szCs w:val="24"/>
        </w:rPr>
        <w:fldChar w:fldCharType="end"/>
      </w:r>
      <w:r w:rsidR="00F71C33" w:rsidRPr="00EF2A33">
        <w:rPr>
          <w:b/>
          <w:i w:val="0"/>
          <w:color w:val="auto"/>
          <w:sz w:val="24"/>
          <w:szCs w:val="24"/>
        </w:rPr>
        <w:t>:</w:t>
      </w:r>
      <w:r w:rsidRPr="00EF2A33">
        <w:rPr>
          <w:i w:val="0"/>
          <w:color w:val="auto"/>
          <w:sz w:val="24"/>
          <w:szCs w:val="24"/>
        </w:rPr>
        <w:t xml:space="preserve"> </w:t>
      </w:r>
      <w:r w:rsidR="00AA3CD3" w:rsidRPr="00EF2A33">
        <w:rPr>
          <w:i w:val="0"/>
          <w:color w:val="auto"/>
          <w:sz w:val="24"/>
          <w:szCs w:val="24"/>
          <w:lang w:val="en-GB"/>
        </w:rPr>
        <w:t>Sample S</w:t>
      </w:r>
      <w:r w:rsidR="003A671A" w:rsidRPr="00EF2A33">
        <w:rPr>
          <w:i w:val="0"/>
          <w:color w:val="auto"/>
          <w:sz w:val="24"/>
          <w:szCs w:val="24"/>
          <w:lang w:val="en-GB"/>
        </w:rPr>
        <w:t>election</w:t>
      </w:r>
      <w:r w:rsidR="002D23B6" w:rsidRPr="00EF2A33">
        <w:rPr>
          <w:i w:val="0"/>
          <w:color w:val="auto"/>
          <w:sz w:val="24"/>
          <w:szCs w:val="24"/>
          <w:lang w:val="en-GB"/>
        </w:rPr>
        <w:t xml:space="preserve"> </w:t>
      </w:r>
      <w:r w:rsidR="00AA3CD3" w:rsidRPr="00EF2A33">
        <w:rPr>
          <w:i w:val="0"/>
          <w:color w:val="auto"/>
          <w:sz w:val="24"/>
          <w:szCs w:val="24"/>
          <w:lang w:val="en-GB"/>
        </w:rPr>
        <w:t>P</w:t>
      </w:r>
      <w:r w:rsidR="002D23B6" w:rsidRPr="00EF2A33">
        <w:rPr>
          <w:i w:val="0"/>
          <w:color w:val="auto"/>
          <w:sz w:val="24"/>
          <w:szCs w:val="24"/>
          <w:lang w:val="en-GB"/>
        </w:rPr>
        <w:t>rocess of</w:t>
      </w:r>
      <w:r w:rsidR="003A671A" w:rsidRPr="00EF2A33">
        <w:rPr>
          <w:color w:val="auto"/>
          <w:sz w:val="24"/>
          <w:szCs w:val="24"/>
        </w:rPr>
        <w:t xml:space="preserve"> </w:t>
      </w:r>
      <w:r w:rsidR="003A671A" w:rsidRPr="00EF2A33">
        <w:rPr>
          <w:i w:val="0"/>
          <w:color w:val="auto"/>
          <w:sz w:val="24"/>
          <w:szCs w:val="24"/>
        </w:rPr>
        <w:t>DSE 30</w:t>
      </w:r>
    </w:p>
    <w:tbl>
      <w:tblPr>
        <w:tblStyle w:val="GridTable1Light1"/>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3"/>
        <w:gridCol w:w="877"/>
        <w:gridCol w:w="1754"/>
        <w:gridCol w:w="1964"/>
      </w:tblGrid>
      <w:tr w:rsidR="00EF2A33" w:rsidRPr="00EF2A33" w14:paraId="3D961F43" w14:textId="505414C3" w:rsidTr="006E6C5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73" w:type="dxa"/>
          </w:tcPr>
          <w:p w14:paraId="129C404C" w14:textId="77777777" w:rsidR="004F3220" w:rsidRPr="00EF2A33" w:rsidRDefault="004F3220" w:rsidP="006E6C52">
            <w:pPr>
              <w:rPr>
                <w:rFonts w:ascii="Times New Roman" w:hAnsi="Times New Roman" w:cs="Times New Roman"/>
                <w:sz w:val="24"/>
                <w:szCs w:val="24"/>
              </w:rPr>
            </w:pPr>
            <w:r w:rsidRPr="00EF2A33">
              <w:rPr>
                <w:rFonts w:ascii="Times New Roman" w:hAnsi="Times New Roman" w:cs="Times New Roman"/>
                <w:sz w:val="24"/>
                <w:szCs w:val="24"/>
              </w:rPr>
              <w:t>Industries</w:t>
            </w:r>
          </w:p>
        </w:tc>
        <w:tc>
          <w:tcPr>
            <w:tcW w:w="877" w:type="dxa"/>
          </w:tcPr>
          <w:p w14:paraId="0F5B5344" w14:textId="069545C2" w:rsidR="004F3220" w:rsidRPr="00EF2A33" w:rsidRDefault="00455655" w:rsidP="006E6C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rPr>
              <w:t>F</w:t>
            </w:r>
            <w:r w:rsidR="004F3220" w:rsidRPr="00EF2A33">
              <w:rPr>
                <w:rFonts w:ascii="Times New Roman" w:hAnsi="Times New Roman" w:cs="Times New Roman"/>
                <w:sz w:val="24"/>
                <w:szCs w:val="24"/>
              </w:rPr>
              <w:t>irms</w:t>
            </w:r>
          </w:p>
        </w:tc>
        <w:tc>
          <w:tcPr>
            <w:tcW w:w="1754" w:type="dxa"/>
          </w:tcPr>
          <w:p w14:paraId="3F7575E6" w14:textId="6899C13E" w:rsidR="004F3220" w:rsidRPr="00EF2A33" w:rsidRDefault="004F3220" w:rsidP="006E6C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lang w:val="en-GB"/>
              </w:rPr>
              <w:t>Observations</w:t>
            </w:r>
          </w:p>
        </w:tc>
        <w:tc>
          <w:tcPr>
            <w:tcW w:w="1964" w:type="dxa"/>
          </w:tcPr>
          <w:p w14:paraId="44AD4C1D" w14:textId="5B329309" w:rsidR="004F3220" w:rsidRPr="00EF2A33" w:rsidRDefault="004F3220" w:rsidP="006E6C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lang w:val="en-GB"/>
              </w:rPr>
              <w:t>Percentage (</w:t>
            </w:r>
            <w:proofErr w:type="gramStart"/>
            <w:r w:rsidRPr="00EF2A33">
              <w:rPr>
                <w:rFonts w:ascii="Times New Roman" w:hAnsi="Times New Roman" w:cs="Times New Roman"/>
                <w:sz w:val="24"/>
                <w:szCs w:val="24"/>
                <w:lang w:val="en-GB"/>
              </w:rPr>
              <w:t>%)</w:t>
            </w:r>
            <w:r w:rsidR="002B4CAA" w:rsidRPr="00EF2A33">
              <w:rPr>
                <w:rFonts w:ascii="Times New Roman" w:hAnsi="Times New Roman" w:cs="Times New Roman"/>
                <w:sz w:val="24"/>
                <w:szCs w:val="24"/>
                <w:lang w:val="en-GB"/>
              </w:rPr>
              <w:t>*</w:t>
            </w:r>
            <w:proofErr w:type="gramEnd"/>
          </w:p>
        </w:tc>
      </w:tr>
      <w:tr w:rsidR="00EF2A33" w:rsidRPr="00EF2A33" w14:paraId="15A559D8" w14:textId="474DD51E"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433A12B9" w14:textId="363C61A0"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Banks</w:t>
            </w:r>
          </w:p>
        </w:tc>
        <w:tc>
          <w:tcPr>
            <w:tcW w:w="877" w:type="dxa"/>
          </w:tcPr>
          <w:p w14:paraId="25ED24B1" w14:textId="75A4EB04"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5</w:t>
            </w:r>
          </w:p>
        </w:tc>
        <w:tc>
          <w:tcPr>
            <w:tcW w:w="1754" w:type="dxa"/>
          </w:tcPr>
          <w:p w14:paraId="57FA7235" w14:textId="68271E05"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35</w:t>
            </w:r>
          </w:p>
        </w:tc>
        <w:tc>
          <w:tcPr>
            <w:tcW w:w="1964" w:type="dxa"/>
          </w:tcPr>
          <w:p w14:paraId="0FF5BEE9" w14:textId="7EBA356A"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17</w:t>
            </w:r>
          </w:p>
        </w:tc>
      </w:tr>
      <w:tr w:rsidR="00EF2A33" w:rsidRPr="00EF2A33" w14:paraId="692EA921" w14:textId="61A9B068"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03746826" w14:textId="4147BD25"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Engineering</w:t>
            </w:r>
          </w:p>
        </w:tc>
        <w:tc>
          <w:tcPr>
            <w:tcW w:w="877" w:type="dxa"/>
          </w:tcPr>
          <w:p w14:paraId="23CC2185" w14:textId="661F57A5"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5</w:t>
            </w:r>
          </w:p>
        </w:tc>
        <w:tc>
          <w:tcPr>
            <w:tcW w:w="1754" w:type="dxa"/>
          </w:tcPr>
          <w:p w14:paraId="0EECB2A3" w14:textId="4B3689C1"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35</w:t>
            </w:r>
          </w:p>
        </w:tc>
        <w:tc>
          <w:tcPr>
            <w:tcW w:w="1964" w:type="dxa"/>
          </w:tcPr>
          <w:p w14:paraId="45E175B9" w14:textId="32989B13"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17</w:t>
            </w:r>
          </w:p>
        </w:tc>
      </w:tr>
      <w:tr w:rsidR="00EF2A33" w:rsidRPr="00EF2A33" w14:paraId="6F0EEF41" w14:textId="756E2248"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1ADBB85A" w14:textId="4CEE6EAE"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Fuel &amp; Power</w:t>
            </w:r>
          </w:p>
        </w:tc>
        <w:tc>
          <w:tcPr>
            <w:tcW w:w="877" w:type="dxa"/>
          </w:tcPr>
          <w:p w14:paraId="7A3C1C19" w14:textId="3E94C95D"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5</w:t>
            </w:r>
          </w:p>
        </w:tc>
        <w:tc>
          <w:tcPr>
            <w:tcW w:w="1754" w:type="dxa"/>
          </w:tcPr>
          <w:p w14:paraId="3FAB79B7" w14:textId="5D90FCF4"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35</w:t>
            </w:r>
          </w:p>
        </w:tc>
        <w:tc>
          <w:tcPr>
            <w:tcW w:w="1964" w:type="dxa"/>
          </w:tcPr>
          <w:p w14:paraId="1D260976" w14:textId="59D57A25"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17</w:t>
            </w:r>
          </w:p>
        </w:tc>
      </w:tr>
      <w:tr w:rsidR="00EF2A33" w:rsidRPr="00EF2A33" w14:paraId="314356A5" w14:textId="5745BD85"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2AFD7A57" w14:textId="54EEDCC7"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Pharmaceuticals &amp; Chemicals</w:t>
            </w:r>
          </w:p>
        </w:tc>
        <w:tc>
          <w:tcPr>
            <w:tcW w:w="877" w:type="dxa"/>
          </w:tcPr>
          <w:p w14:paraId="594B1A78" w14:textId="7AA9A6AD"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5</w:t>
            </w:r>
          </w:p>
        </w:tc>
        <w:tc>
          <w:tcPr>
            <w:tcW w:w="1754" w:type="dxa"/>
          </w:tcPr>
          <w:p w14:paraId="4EC81976" w14:textId="274D7D0B"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35</w:t>
            </w:r>
          </w:p>
        </w:tc>
        <w:tc>
          <w:tcPr>
            <w:tcW w:w="1964" w:type="dxa"/>
          </w:tcPr>
          <w:p w14:paraId="2984865D" w14:textId="655AC5BD"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17</w:t>
            </w:r>
          </w:p>
        </w:tc>
      </w:tr>
      <w:tr w:rsidR="00EF2A33" w:rsidRPr="00EF2A33" w14:paraId="0E4CF1EF" w14:textId="5C23589A"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7F5FC4BD" w14:textId="2AD3AC55"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Financial Institutions</w:t>
            </w:r>
          </w:p>
        </w:tc>
        <w:tc>
          <w:tcPr>
            <w:tcW w:w="877" w:type="dxa"/>
          </w:tcPr>
          <w:p w14:paraId="180B8DD5" w14:textId="7A16CC50"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2</w:t>
            </w:r>
          </w:p>
        </w:tc>
        <w:tc>
          <w:tcPr>
            <w:tcW w:w="1754" w:type="dxa"/>
          </w:tcPr>
          <w:p w14:paraId="3C951CAE" w14:textId="0E29ACA5"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14</w:t>
            </w:r>
          </w:p>
        </w:tc>
        <w:tc>
          <w:tcPr>
            <w:tcW w:w="1964" w:type="dxa"/>
          </w:tcPr>
          <w:p w14:paraId="530AFC56" w14:textId="3D01DAC2"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r>
      <w:tr w:rsidR="00EF2A33" w:rsidRPr="00EF2A33" w14:paraId="4F8E9171" w14:textId="677F5AC3"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38EA113A" w14:textId="1CD8DA11"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Cement</w:t>
            </w:r>
          </w:p>
        </w:tc>
        <w:tc>
          <w:tcPr>
            <w:tcW w:w="877" w:type="dxa"/>
          </w:tcPr>
          <w:p w14:paraId="06A3A8C7" w14:textId="18FC9CCF"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2</w:t>
            </w:r>
          </w:p>
        </w:tc>
        <w:tc>
          <w:tcPr>
            <w:tcW w:w="1754" w:type="dxa"/>
          </w:tcPr>
          <w:p w14:paraId="4BBDC6C5" w14:textId="7845993E"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14</w:t>
            </w:r>
          </w:p>
        </w:tc>
        <w:tc>
          <w:tcPr>
            <w:tcW w:w="1964" w:type="dxa"/>
          </w:tcPr>
          <w:p w14:paraId="1BC9DDC8" w14:textId="36651083"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r>
      <w:tr w:rsidR="00EF2A33" w:rsidRPr="00EF2A33" w14:paraId="79B24261" w14:textId="2A4E0D8F"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2B6E69E7" w14:textId="07F707ED"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Food &amp; Allied Product</w:t>
            </w:r>
          </w:p>
        </w:tc>
        <w:tc>
          <w:tcPr>
            <w:tcW w:w="877" w:type="dxa"/>
          </w:tcPr>
          <w:p w14:paraId="45E19231" w14:textId="7BF389F6"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2</w:t>
            </w:r>
          </w:p>
        </w:tc>
        <w:tc>
          <w:tcPr>
            <w:tcW w:w="1754" w:type="dxa"/>
          </w:tcPr>
          <w:p w14:paraId="13C5FE0E" w14:textId="386C6C95"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14</w:t>
            </w:r>
          </w:p>
        </w:tc>
        <w:tc>
          <w:tcPr>
            <w:tcW w:w="1964" w:type="dxa"/>
          </w:tcPr>
          <w:p w14:paraId="0F6B00DE" w14:textId="1BD4C8A8"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r>
      <w:tr w:rsidR="00EF2A33" w:rsidRPr="00EF2A33" w14:paraId="7640B80D" w14:textId="170CF6EE"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46A9889C" w14:textId="43F7F113"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Telecommunication</w:t>
            </w:r>
          </w:p>
        </w:tc>
        <w:tc>
          <w:tcPr>
            <w:tcW w:w="877" w:type="dxa"/>
          </w:tcPr>
          <w:p w14:paraId="70EAAECC" w14:textId="7F383E4D"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2</w:t>
            </w:r>
          </w:p>
        </w:tc>
        <w:tc>
          <w:tcPr>
            <w:tcW w:w="1754" w:type="dxa"/>
          </w:tcPr>
          <w:p w14:paraId="59265491" w14:textId="43963271"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14</w:t>
            </w:r>
          </w:p>
        </w:tc>
        <w:tc>
          <w:tcPr>
            <w:tcW w:w="1964" w:type="dxa"/>
          </w:tcPr>
          <w:p w14:paraId="6769B75D" w14:textId="20DB99C6"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r>
      <w:tr w:rsidR="00EF2A33" w:rsidRPr="00EF2A33" w14:paraId="50328908" w14:textId="5DAC5FBF"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2BE1B2CD" w14:textId="56F54BB6"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Textile</w:t>
            </w:r>
          </w:p>
        </w:tc>
        <w:tc>
          <w:tcPr>
            <w:tcW w:w="877" w:type="dxa"/>
          </w:tcPr>
          <w:p w14:paraId="0C95217E" w14:textId="4280A13A"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w:t>
            </w:r>
          </w:p>
        </w:tc>
        <w:tc>
          <w:tcPr>
            <w:tcW w:w="1754" w:type="dxa"/>
          </w:tcPr>
          <w:p w14:paraId="11008367" w14:textId="704C1378"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c>
          <w:tcPr>
            <w:tcW w:w="1964" w:type="dxa"/>
          </w:tcPr>
          <w:p w14:paraId="38E210FB" w14:textId="11EEF82B"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w:t>
            </w:r>
          </w:p>
        </w:tc>
      </w:tr>
      <w:tr w:rsidR="00EF2A33" w:rsidRPr="00EF2A33" w14:paraId="5E818DE9" w14:textId="53B24AEB"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3DBFE2D4" w14:textId="54C83C65" w:rsidR="00161439" w:rsidRPr="00EF2A33" w:rsidRDefault="00161439" w:rsidP="00721505">
            <w:pPr>
              <w:rPr>
                <w:rFonts w:ascii="Times New Roman" w:hAnsi="Times New Roman" w:cs="Times New Roman"/>
                <w:b w:val="0"/>
                <w:bCs w:val="0"/>
                <w:sz w:val="24"/>
                <w:szCs w:val="24"/>
              </w:rPr>
            </w:pPr>
            <w:r w:rsidRPr="00EF2A33">
              <w:rPr>
                <w:rFonts w:ascii="Times New Roman" w:hAnsi="Times New Roman" w:cs="Times New Roman"/>
                <w:b w:val="0"/>
              </w:rPr>
              <w:t>Miscellaneous</w:t>
            </w:r>
          </w:p>
        </w:tc>
        <w:tc>
          <w:tcPr>
            <w:tcW w:w="877" w:type="dxa"/>
          </w:tcPr>
          <w:p w14:paraId="056DC093" w14:textId="48AF131E"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1</w:t>
            </w:r>
          </w:p>
        </w:tc>
        <w:tc>
          <w:tcPr>
            <w:tcW w:w="1754" w:type="dxa"/>
          </w:tcPr>
          <w:p w14:paraId="198E4C7C" w14:textId="01D534EA"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7</w:t>
            </w:r>
          </w:p>
        </w:tc>
        <w:tc>
          <w:tcPr>
            <w:tcW w:w="1964" w:type="dxa"/>
          </w:tcPr>
          <w:p w14:paraId="79F0FC20" w14:textId="37E81CE0" w:rsidR="00161439" w:rsidRPr="00EF2A33" w:rsidRDefault="00161439"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rPr>
              <w:t>3</w:t>
            </w:r>
          </w:p>
        </w:tc>
      </w:tr>
      <w:tr w:rsidR="00EF2A33" w:rsidRPr="00EF2A33" w14:paraId="6FDEFD7F" w14:textId="2D0540E7"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2B2DFA90" w14:textId="143BD7C6" w:rsidR="002B4CAA" w:rsidRPr="00EF2A33" w:rsidRDefault="002B4CAA" w:rsidP="004F3220">
            <w:pPr>
              <w:rPr>
                <w:rFonts w:ascii="Times New Roman" w:hAnsi="Times New Roman" w:cs="Times New Roman"/>
                <w:bCs w:val="0"/>
                <w:sz w:val="24"/>
                <w:szCs w:val="24"/>
              </w:rPr>
            </w:pPr>
            <w:r w:rsidRPr="00EF2A33">
              <w:rPr>
                <w:rFonts w:ascii="Times New Roman" w:hAnsi="Times New Roman" w:cs="Times New Roman"/>
                <w:bCs w:val="0"/>
                <w:sz w:val="24"/>
                <w:szCs w:val="24"/>
              </w:rPr>
              <w:t xml:space="preserve">Total Initial Sample </w:t>
            </w:r>
          </w:p>
        </w:tc>
        <w:tc>
          <w:tcPr>
            <w:tcW w:w="877" w:type="dxa"/>
          </w:tcPr>
          <w:p w14:paraId="1DF234C4" w14:textId="77777777" w:rsidR="002B4CAA" w:rsidRPr="00EF2A33" w:rsidRDefault="002B4CAA"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hAnsi="Times New Roman" w:cs="Times New Roman"/>
                <w:b/>
                <w:sz w:val="24"/>
                <w:szCs w:val="24"/>
              </w:rPr>
              <w:t>30</w:t>
            </w:r>
          </w:p>
        </w:tc>
        <w:tc>
          <w:tcPr>
            <w:tcW w:w="1754" w:type="dxa"/>
            <w:vAlign w:val="center"/>
          </w:tcPr>
          <w:p w14:paraId="701756EA" w14:textId="131EB522" w:rsidR="002B4CAA" w:rsidRPr="00EF2A33" w:rsidRDefault="002B4CAA"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eastAsia="Times New Roman" w:hAnsi="Times New Roman" w:cs="Times New Roman"/>
                <w:b/>
                <w:sz w:val="24"/>
                <w:szCs w:val="24"/>
                <w:lang w:eastAsia="en-GB"/>
              </w:rPr>
              <w:t>210</w:t>
            </w:r>
          </w:p>
        </w:tc>
        <w:tc>
          <w:tcPr>
            <w:tcW w:w="1964" w:type="dxa"/>
          </w:tcPr>
          <w:p w14:paraId="3D979956" w14:textId="70984E64" w:rsidR="002B4CAA" w:rsidRPr="00EF2A33" w:rsidRDefault="002B4CAA"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hAnsi="Times New Roman" w:cs="Times New Roman"/>
                <w:sz w:val="24"/>
                <w:szCs w:val="24"/>
              </w:rPr>
              <w:t>100</w:t>
            </w:r>
          </w:p>
        </w:tc>
      </w:tr>
      <w:tr w:rsidR="00EF2A33" w:rsidRPr="00EF2A33" w14:paraId="586DA4A9" w14:textId="63923024" w:rsidTr="006E6C52">
        <w:trPr>
          <w:trHeight w:val="130"/>
        </w:trPr>
        <w:tc>
          <w:tcPr>
            <w:cnfStyle w:val="001000000000" w:firstRow="0" w:lastRow="0" w:firstColumn="1" w:lastColumn="0" w:oddVBand="0" w:evenVBand="0" w:oddHBand="0" w:evenHBand="0" w:firstRowFirstColumn="0" w:firstRowLastColumn="0" w:lastRowFirstColumn="0" w:lastRowLastColumn="0"/>
            <w:tcW w:w="5373" w:type="dxa"/>
          </w:tcPr>
          <w:p w14:paraId="70CEAD38" w14:textId="0A754DE9" w:rsidR="004F3220" w:rsidRPr="00EF2A33" w:rsidRDefault="00455655" w:rsidP="00783403">
            <w:pPr>
              <w:rPr>
                <w:rFonts w:ascii="Times New Roman" w:hAnsi="Times New Roman" w:cs="Times New Roman"/>
                <w:b w:val="0"/>
                <w:bCs w:val="0"/>
                <w:sz w:val="24"/>
                <w:szCs w:val="24"/>
              </w:rPr>
            </w:pPr>
            <w:r w:rsidRPr="00EF2A33">
              <w:rPr>
                <w:rFonts w:ascii="Times New Roman" w:hAnsi="Times New Roman" w:cs="Times New Roman"/>
                <w:b w:val="0"/>
                <w:sz w:val="24"/>
                <w:szCs w:val="24"/>
                <w:lang w:val="en-GB"/>
              </w:rPr>
              <w:t>Less: Firms and observations with insufficient data</w:t>
            </w:r>
          </w:p>
        </w:tc>
        <w:tc>
          <w:tcPr>
            <w:tcW w:w="877" w:type="dxa"/>
          </w:tcPr>
          <w:p w14:paraId="43D834C8" w14:textId="2818A76C"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rPr>
              <w:t>0</w:t>
            </w:r>
          </w:p>
        </w:tc>
        <w:tc>
          <w:tcPr>
            <w:tcW w:w="1754" w:type="dxa"/>
          </w:tcPr>
          <w:p w14:paraId="183285DD" w14:textId="56D17D07"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rPr>
              <w:t>0</w:t>
            </w:r>
          </w:p>
        </w:tc>
        <w:tc>
          <w:tcPr>
            <w:tcW w:w="1964" w:type="dxa"/>
          </w:tcPr>
          <w:p w14:paraId="7A4DB223" w14:textId="3DB654ED"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A33">
              <w:rPr>
                <w:rFonts w:ascii="Times New Roman" w:hAnsi="Times New Roman" w:cs="Times New Roman"/>
                <w:sz w:val="24"/>
                <w:szCs w:val="24"/>
              </w:rPr>
              <w:t>0</w:t>
            </w:r>
          </w:p>
        </w:tc>
      </w:tr>
      <w:tr w:rsidR="00EF2A33" w:rsidRPr="00EF2A33" w14:paraId="149F73D4" w14:textId="11B7D97C" w:rsidTr="006E6C52">
        <w:trPr>
          <w:trHeight w:val="323"/>
        </w:trPr>
        <w:tc>
          <w:tcPr>
            <w:cnfStyle w:val="001000000000" w:firstRow="0" w:lastRow="0" w:firstColumn="1" w:lastColumn="0" w:oddVBand="0" w:evenVBand="0" w:oddHBand="0" w:evenHBand="0" w:firstRowFirstColumn="0" w:firstRowLastColumn="0" w:lastRowFirstColumn="0" w:lastRowLastColumn="0"/>
            <w:tcW w:w="5373" w:type="dxa"/>
            <w:tcBorders>
              <w:bottom w:val="single" w:sz="4" w:space="0" w:color="auto"/>
            </w:tcBorders>
          </w:tcPr>
          <w:p w14:paraId="0152D698" w14:textId="77777777" w:rsidR="004F3220" w:rsidRPr="00EF2A33" w:rsidRDefault="004F3220" w:rsidP="00721505">
            <w:pPr>
              <w:rPr>
                <w:rFonts w:ascii="Times New Roman" w:hAnsi="Times New Roman" w:cs="Times New Roman"/>
                <w:bCs w:val="0"/>
                <w:sz w:val="24"/>
                <w:szCs w:val="24"/>
              </w:rPr>
            </w:pPr>
            <w:r w:rsidRPr="00EF2A33">
              <w:rPr>
                <w:rFonts w:ascii="Times New Roman" w:hAnsi="Times New Roman" w:cs="Times New Roman"/>
                <w:bCs w:val="0"/>
                <w:sz w:val="24"/>
                <w:szCs w:val="24"/>
              </w:rPr>
              <w:t>Final sample size firm-years</w:t>
            </w:r>
          </w:p>
        </w:tc>
        <w:tc>
          <w:tcPr>
            <w:tcW w:w="877" w:type="dxa"/>
            <w:tcBorders>
              <w:bottom w:val="single" w:sz="4" w:space="0" w:color="auto"/>
            </w:tcBorders>
          </w:tcPr>
          <w:p w14:paraId="61FF279C" w14:textId="3069FAC6"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hAnsi="Times New Roman" w:cs="Times New Roman"/>
                <w:b/>
                <w:sz w:val="24"/>
                <w:szCs w:val="24"/>
              </w:rPr>
              <w:t>30</w:t>
            </w:r>
          </w:p>
        </w:tc>
        <w:tc>
          <w:tcPr>
            <w:tcW w:w="1754" w:type="dxa"/>
            <w:tcBorders>
              <w:bottom w:val="single" w:sz="4" w:space="0" w:color="auto"/>
            </w:tcBorders>
          </w:tcPr>
          <w:p w14:paraId="4F9C19E8" w14:textId="6CC640C3"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hAnsi="Times New Roman" w:cs="Times New Roman"/>
                <w:b/>
                <w:sz w:val="24"/>
                <w:szCs w:val="24"/>
              </w:rPr>
              <w:t>210</w:t>
            </w:r>
          </w:p>
        </w:tc>
        <w:tc>
          <w:tcPr>
            <w:tcW w:w="1964" w:type="dxa"/>
            <w:tcBorders>
              <w:bottom w:val="single" w:sz="4" w:space="0" w:color="auto"/>
            </w:tcBorders>
          </w:tcPr>
          <w:p w14:paraId="551F2BC2" w14:textId="0CAF79F2" w:rsidR="004F3220" w:rsidRPr="00EF2A33" w:rsidRDefault="004F3220" w:rsidP="005E32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F2A33">
              <w:rPr>
                <w:rFonts w:ascii="Times New Roman" w:hAnsi="Times New Roman" w:cs="Times New Roman"/>
                <w:b/>
                <w:sz w:val="24"/>
                <w:szCs w:val="24"/>
              </w:rPr>
              <w:t>100</w:t>
            </w:r>
          </w:p>
        </w:tc>
      </w:tr>
      <w:tr w:rsidR="00EF2A33" w:rsidRPr="00EF2A33" w14:paraId="577189C3" w14:textId="27DE96C8" w:rsidTr="006E6C52">
        <w:trPr>
          <w:trHeight w:val="130"/>
        </w:trPr>
        <w:tc>
          <w:tcPr>
            <w:cnfStyle w:val="001000000000" w:firstRow="0" w:lastRow="0" w:firstColumn="1" w:lastColumn="0" w:oddVBand="0" w:evenVBand="0" w:oddHBand="0" w:evenHBand="0" w:firstRowFirstColumn="0" w:firstRowLastColumn="0" w:lastRowFirstColumn="0" w:lastRowLastColumn="0"/>
            <w:tcW w:w="9968" w:type="dxa"/>
            <w:gridSpan w:val="4"/>
            <w:tcBorders>
              <w:top w:val="single" w:sz="4" w:space="0" w:color="auto"/>
              <w:bottom w:val="single" w:sz="4" w:space="0" w:color="auto"/>
            </w:tcBorders>
          </w:tcPr>
          <w:p w14:paraId="43204E7C" w14:textId="77777777" w:rsidR="002B4CAA" w:rsidRPr="00EF2A33" w:rsidRDefault="002B4CAA" w:rsidP="002B4CAA">
            <w:pPr>
              <w:pStyle w:val="Caption"/>
              <w:keepNext/>
              <w:spacing w:after="0"/>
              <w:ind w:right="237"/>
              <w:jc w:val="both"/>
              <w:rPr>
                <w:rFonts w:ascii="Times New Roman" w:hAnsi="Times New Roman" w:cs="Times New Roman"/>
                <w:bCs w:val="0"/>
                <w:color w:val="auto"/>
                <w:sz w:val="20"/>
                <w:szCs w:val="20"/>
              </w:rPr>
            </w:pPr>
            <w:r w:rsidRPr="00EF2A33">
              <w:rPr>
                <w:rFonts w:ascii="Times New Roman" w:hAnsi="Times New Roman" w:cs="Times New Roman"/>
                <w:b w:val="0"/>
                <w:color w:val="auto"/>
                <w:sz w:val="20"/>
                <w:szCs w:val="20"/>
              </w:rPr>
              <w:t>Note: A noteworthy fact is that insurance agencies, banks, non-bank finance institutions listed under the Finance Act 2015 must have their account books closed every year on December 31; and books of accounts closing date for every listed other firm is June 30 of every year (Finance Act, 2015).</w:t>
            </w:r>
          </w:p>
          <w:p w14:paraId="214B4050" w14:textId="17692FE3" w:rsidR="00FC4EE2" w:rsidRPr="00EF2A33" w:rsidRDefault="00FC4EE2" w:rsidP="00FC4EE2">
            <w:pPr>
              <w:rPr>
                <w:rFonts w:ascii="Times New Roman" w:hAnsi="Times New Roman" w:cs="Times New Roman"/>
              </w:rPr>
            </w:pPr>
          </w:p>
        </w:tc>
      </w:tr>
      <w:tr w:rsidR="00EF2A33" w:rsidRPr="00EF2A33" w14:paraId="63473118" w14:textId="77777777" w:rsidTr="002275D1">
        <w:trPr>
          <w:trHeight w:val="70"/>
        </w:trPr>
        <w:tc>
          <w:tcPr>
            <w:cnfStyle w:val="001000000000" w:firstRow="0" w:lastRow="0" w:firstColumn="1" w:lastColumn="0" w:oddVBand="0" w:evenVBand="0" w:oddHBand="0" w:evenHBand="0" w:firstRowFirstColumn="0" w:firstRowLastColumn="0" w:lastRowFirstColumn="0" w:lastRowLastColumn="0"/>
            <w:tcW w:w="9968" w:type="dxa"/>
            <w:gridSpan w:val="4"/>
            <w:tcBorders>
              <w:top w:val="single" w:sz="4" w:space="0" w:color="auto"/>
            </w:tcBorders>
          </w:tcPr>
          <w:p w14:paraId="53B85FFC" w14:textId="1EAA7EEE" w:rsidR="00FC4EE2" w:rsidRPr="00EF2A33" w:rsidRDefault="002B4CAA" w:rsidP="002275D1">
            <w:pPr>
              <w:spacing w:line="276" w:lineRule="auto"/>
              <w:rPr>
                <w:rFonts w:ascii="Times New Roman" w:hAnsi="Times New Roman" w:cs="Times New Roman"/>
                <w:bCs w:val="0"/>
                <w:sz w:val="20"/>
                <w:szCs w:val="20"/>
                <w:lang w:val="en-GB"/>
              </w:rPr>
            </w:pPr>
            <w:r w:rsidRPr="00EF2A33">
              <w:rPr>
                <w:rFonts w:ascii="Times New Roman" w:hAnsi="Times New Roman" w:cs="Times New Roman"/>
                <w:b w:val="0"/>
                <w:sz w:val="20"/>
                <w:szCs w:val="20"/>
                <w:lang w:val="en-GB"/>
              </w:rPr>
              <w:t>Source: Dhaka Stock Exchange during the period 2014-2021</w:t>
            </w:r>
          </w:p>
        </w:tc>
      </w:tr>
      <w:tr w:rsidR="00EF2A33" w:rsidRPr="00EF2A33" w14:paraId="73C94F38" w14:textId="77777777" w:rsidTr="006E6C52">
        <w:trPr>
          <w:trHeight w:val="217"/>
        </w:trPr>
        <w:tc>
          <w:tcPr>
            <w:cnfStyle w:val="001000000000" w:firstRow="0" w:lastRow="0" w:firstColumn="1" w:lastColumn="0" w:oddVBand="0" w:evenVBand="0" w:oddHBand="0" w:evenHBand="0" w:firstRowFirstColumn="0" w:firstRowLastColumn="0" w:lastRowFirstColumn="0" w:lastRowLastColumn="0"/>
            <w:tcW w:w="9968" w:type="dxa"/>
            <w:gridSpan w:val="4"/>
          </w:tcPr>
          <w:p w14:paraId="3D334ACC" w14:textId="77777777" w:rsidR="002B4CAA" w:rsidRPr="00EF2A33" w:rsidRDefault="002B4CAA" w:rsidP="00C47F92">
            <w:pPr>
              <w:spacing w:line="276" w:lineRule="auto"/>
              <w:rPr>
                <w:rFonts w:ascii="Times New Roman" w:hAnsi="Times New Roman" w:cs="Times New Roman"/>
                <w:b w:val="0"/>
                <w:sz w:val="20"/>
                <w:szCs w:val="20"/>
                <w:lang w:val="en-GB"/>
              </w:rPr>
            </w:pPr>
            <w:r w:rsidRPr="00EF2A33">
              <w:rPr>
                <w:rFonts w:ascii="Times New Roman" w:hAnsi="Times New Roman" w:cs="Times New Roman"/>
                <w:b w:val="0"/>
                <w:sz w:val="20"/>
                <w:szCs w:val="20"/>
                <w:shd w:val="clear" w:color="auto" w:fill="FFFFFF"/>
                <w:vertAlign w:val="superscript"/>
                <w:lang w:val="en-GB"/>
              </w:rPr>
              <w:t>†</w:t>
            </w:r>
            <w:r w:rsidRPr="00EF2A33">
              <w:rPr>
                <w:rFonts w:ascii="Times New Roman" w:hAnsi="Times New Roman" w:cs="Times New Roman"/>
                <w:b w:val="0"/>
                <w:sz w:val="20"/>
                <w:szCs w:val="20"/>
                <w:lang w:val="en-GB"/>
              </w:rPr>
              <w:t xml:space="preserve"> % is rounded up</w:t>
            </w:r>
          </w:p>
        </w:tc>
      </w:tr>
    </w:tbl>
    <w:p w14:paraId="6E532703" w14:textId="77777777" w:rsidR="008268D8" w:rsidRPr="00EF2A33" w:rsidRDefault="008268D8" w:rsidP="00953D2D">
      <w:pPr>
        <w:rPr>
          <w:iCs/>
          <w:lang w:val="en-GB"/>
        </w:rPr>
      </w:pPr>
    </w:p>
    <w:p w14:paraId="3593859C" w14:textId="162FD719" w:rsidR="00384753" w:rsidRPr="00EF2A33" w:rsidRDefault="00DB62CC" w:rsidP="00384753">
      <w:pPr>
        <w:spacing w:line="276" w:lineRule="auto"/>
        <w:rPr>
          <w:b/>
          <w:iCs/>
          <w:lang w:val="en-GB"/>
        </w:rPr>
      </w:pPr>
      <w:r w:rsidRPr="00EF2A33">
        <w:rPr>
          <w:b/>
          <w:iCs/>
          <w:lang w:val="en-GB"/>
        </w:rPr>
        <w:t xml:space="preserve">5.2 Variable </w:t>
      </w:r>
      <w:r w:rsidR="00384753" w:rsidRPr="00EF2A33">
        <w:rPr>
          <w:b/>
          <w:iCs/>
          <w:lang w:val="en-GB"/>
        </w:rPr>
        <w:t>D</w:t>
      </w:r>
      <w:r w:rsidRPr="00EF2A33">
        <w:rPr>
          <w:b/>
          <w:iCs/>
          <w:lang w:val="en-GB"/>
        </w:rPr>
        <w:t>efinition</w:t>
      </w:r>
    </w:p>
    <w:p w14:paraId="06DB091F" w14:textId="77777777" w:rsidR="0055218B" w:rsidRPr="00EF2A33" w:rsidRDefault="00FC4EE2" w:rsidP="0055218B">
      <w:pPr>
        <w:rPr>
          <w:lang w:val="en-GB"/>
        </w:rPr>
      </w:pPr>
      <w:r w:rsidRPr="00EF2A33">
        <w:rPr>
          <w:lang w:val="en-GB"/>
        </w:rPr>
        <w:lastRenderedPageBreak/>
        <w:t xml:space="preserve">Table 2 defines the variables used to test our research hypotheses. Previous studies on corporate governance suggest that various dimensions such as shareholder concentration and identity </w:t>
      </w:r>
      <w:r w:rsidR="00287C0E" w:rsidRPr="00EF2A33">
        <w:rPr>
          <w:lang w:val="en-GB"/>
        </w:rPr>
        <w:t xml:space="preserve">influence </w:t>
      </w:r>
      <w:r w:rsidRPr="00EF2A33">
        <w:rPr>
          <w:lang w:val="en-GB"/>
        </w:rPr>
        <w:t>the decision</w:t>
      </w:r>
      <w:r w:rsidR="00287C0E" w:rsidRPr="00EF2A33">
        <w:rPr>
          <w:lang w:val="en-GB"/>
        </w:rPr>
        <w:t>s</w:t>
      </w:r>
      <w:r w:rsidRPr="00EF2A33">
        <w:rPr>
          <w:lang w:val="en-GB"/>
        </w:rPr>
        <w:t xml:space="preserve"> of </w:t>
      </w:r>
      <w:r w:rsidR="00287C0E" w:rsidRPr="00EF2A33">
        <w:rPr>
          <w:lang w:val="en-GB"/>
        </w:rPr>
        <w:t>the</w:t>
      </w:r>
      <w:r w:rsidRPr="00EF2A33">
        <w:rPr>
          <w:lang w:val="en-GB"/>
        </w:rPr>
        <w:t xml:space="preserve"> firm (Kumar and </w:t>
      </w:r>
      <w:proofErr w:type="spellStart"/>
      <w:r w:rsidRPr="00EF2A33">
        <w:rPr>
          <w:lang w:val="en-GB"/>
        </w:rPr>
        <w:t>Zattoni</w:t>
      </w:r>
      <w:proofErr w:type="spellEnd"/>
      <w:r w:rsidRPr="00EF2A33">
        <w:rPr>
          <w:lang w:val="en-GB"/>
        </w:rPr>
        <w:t>, 2015</w:t>
      </w:r>
      <w:r w:rsidR="00287C0E" w:rsidRPr="00EF2A33">
        <w:rPr>
          <w:lang w:val="en-GB"/>
        </w:rPr>
        <w:t xml:space="preserve">; </w:t>
      </w:r>
      <w:proofErr w:type="spellStart"/>
      <w:r w:rsidR="00287C0E" w:rsidRPr="00EF2A33">
        <w:rPr>
          <w:lang w:val="en-GB"/>
        </w:rPr>
        <w:t>Zattoni</w:t>
      </w:r>
      <w:proofErr w:type="spellEnd"/>
      <w:r w:rsidR="00287C0E" w:rsidRPr="00EF2A33">
        <w:rPr>
          <w:lang w:val="en-GB"/>
        </w:rPr>
        <w:t>, 2011</w:t>
      </w:r>
      <w:r w:rsidRPr="00EF2A33">
        <w:rPr>
          <w:lang w:val="en-GB"/>
        </w:rPr>
        <w:t>). Common types of shareholding patterns include institutional ownership, foreign ownership, sponsor and directors’ ownership, and government ownership. In the current study, the ownership structure is represented by institutional, foreign, director and sponsor ownership, and government ownership.</w:t>
      </w:r>
    </w:p>
    <w:p w14:paraId="0553DA5C" w14:textId="77777777" w:rsidR="0055218B" w:rsidRPr="00EF2A33" w:rsidRDefault="00FC4EE2" w:rsidP="0055218B">
      <w:pPr>
        <w:rPr>
          <w:lang w:val="en-GB"/>
        </w:rPr>
      </w:pPr>
      <w:r w:rsidRPr="00EF2A33">
        <w:rPr>
          <w:lang w:val="en-GB"/>
        </w:rPr>
        <w:t>The corporate board characteristics, as one of the most prominent internal corporate governance mechanisms, may substantially influence company performance. These characteristics include the size of the board, the independence of the board, gender diversity, board expertise, family ownership in a board, and the educational qualification of directors. These variables serve as key indicators to explore the relationships between ownership structure, board characteristics, and company performance.</w:t>
      </w:r>
    </w:p>
    <w:p w14:paraId="3F9FB7F7" w14:textId="77777777" w:rsidR="0055218B" w:rsidRPr="00EF2A33" w:rsidRDefault="00FC4EE2" w:rsidP="0055218B">
      <w:pPr>
        <w:rPr>
          <w:lang w:val="en-GB"/>
        </w:rPr>
      </w:pPr>
      <w:r w:rsidRPr="00EF2A33">
        <w:rPr>
          <w:lang w:val="en-GB"/>
        </w:rPr>
        <w:t>This study uses accounting and market-based performance measures as dependent variables, as seen in Equations 1 to 4, which are widely applied by investors and financial analysts in making investment decisions. For accounting-based performance measures, we use the firms’ Return on Asset (ROA) (Equation 1) and Return on Equity (ROE) (Equation 2). For market-based performance measures, we use the firms’ Market-to-book ratio (Equation 3) and the firm’s Tobin’s Q ratio (Equation 4).</w:t>
      </w:r>
    </w:p>
    <w:p w14:paraId="3E0BE077" w14:textId="77777777" w:rsidR="0055218B" w:rsidRPr="00EF2A33" w:rsidRDefault="00FC4EE2" w:rsidP="0055218B">
      <w:pPr>
        <w:rPr>
          <w:lang w:val="en-GB"/>
        </w:rPr>
      </w:pPr>
      <w:r w:rsidRPr="00EF2A33">
        <w:rPr>
          <w:lang w:val="en-GB"/>
        </w:rPr>
        <w:t>ROA is calculated by dividing net income after tax by the book value of total assets (</w:t>
      </w:r>
      <w:proofErr w:type="spellStart"/>
      <w:r w:rsidRPr="00EF2A33">
        <w:rPr>
          <w:lang w:val="en-GB"/>
        </w:rPr>
        <w:t>Boshnak</w:t>
      </w:r>
      <w:proofErr w:type="spellEnd"/>
      <w:r w:rsidRPr="00EF2A33">
        <w:rPr>
          <w:lang w:val="en-GB"/>
        </w:rPr>
        <w:t>, 2023; Islam, 2021), while ROE is obtained by dividing net income after tax by the book value of equity (</w:t>
      </w:r>
      <w:proofErr w:type="spellStart"/>
      <w:r w:rsidRPr="00EF2A33">
        <w:rPr>
          <w:lang w:val="en-GB"/>
        </w:rPr>
        <w:t>Boshnak</w:t>
      </w:r>
      <w:proofErr w:type="spellEnd"/>
      <w:r w:rsidRPr="00EF2A33">
        <w:rPr>
          <w:lang w:val="en-GB"/>
        </w:rPr>
        <w:t>, 2023; Omran et al., 2008; Kao et al., 2018). Although ROE and ROA are backward indicators and heavily reliant on internal information, they were necessary for comparison with other previous studies (</w:t>
      </w:r>
      <w:proofErr w:type="spellStart"/>
      <w:r w:rsidRPr="00EF2A33">
        <w:rPr>
          <w:lang w:val="en-GB"/>
        </w:rPr>
        <w:t>Boshnak</w:t>
      </w:r>
      <w:proofErr w:type="spellEnd"/>
      <w:r w:rsidRPr="00EF2A33">
        <w:rPr>
          <w:lang w:val="en-GB"/>
        </w:rPr>
        <w:t>, 2023).</w:t>
      </w:r>
    </w:p>
    <w:p w14:paraId="09D790DF" w14:textId="486AA369" w:rsidR="00FC4EE2" w:rsidRPr="00EF2A33" w:rsidRDefault="00FC4EE2" w:rsidP="0055218B">
      <w:pPr>
        <w:rPr>
          <w:i/>
          <w:iCs/>
          <w:lang w:val="en-GB"/>
        </w:rPr>
      </w:pPr>
      <w:r w:rsidRPr="00EF2A33">
        <w:rPr>
          <w:lang w:val="en-GB"/>
        </w:rPr>
        <w:t>To assess company performance on a market basis, the market-to-book ratio is calculated by dividing a company’s equity’s book value by its market value (</w:t>
      </w:r>
      <w:proofErr w:type="spellStart"/>
      <w:r w:rsidRPr="00EF2A33">
        <w:rPr>
          <w:lang w:val="en-GB"/>
        </w:rPr>
        <w:t>Boshnak</w:t>
      </w:r>
      <w:proofErr w:type="spellEnd"/>
      <w:r w:rsidRPr="00EF2A33">
        <w:rPr>
          <w:lang w:val="en-GB"/>
        </w:rPr>
        <w:t xml:space="preserve">, 2023). Additionally, Tobin’s Q serves as a representative metric (Akhter and Hassan, 2024; </w:t>
      </w:r>
      <w:proofErr w:type="spellStart"/>
      <w:r w:rsidRPr="00EF2A33">
        <w:rPr>
          <w:lang w:val="en-GB"/>
        </w:rPr>
        <w:t>Boshnak</w:t>
      </w:r>
      <w:proofErr w:type="spellEnd"/>
      <w:r w:rsidRPr="00EF2A33">
        <w:rPr>
          <w:lang w:val="en-GB"/>
        </w:rPr>
        <w:t xml:space="preserve">, 2023). Tobin’s Q is justified as it mitigates endogeneity concerns by using a forward-looking external measure, reflecting investor perceptions and the impact of their actions on a company’s capital market share (Akhter and Hassan, 2024; </w:t>
      </w:r>
      <w:proofErr w:type="spellStart"/>
      <w:r w:rsidRPr="00EF2A33">
        <w:rPr>
          <w:lang w:val="en-GB"/>
        </w:rPr>
        <w:t>Boshnak</w:t>
      </w:r>
      <w:proofErr w:type="spellEnd"/>
      <w:r w:rsidRPr="00EF2A33">
        <w:rPr>
          <w:lang w:val="en-GB"/>
        </w:rPr>
        <w:t xml:space="preserve">, 2023). Tobin’s Q captures potential future performance, contrasting with historical cost-based measurements in accounting metrics such as ROA or ROE. The book value of assets and debts, being more </w:t>
      </w:r>
      <w:r w:rsidRPr="00EF2A33">
        <w:rPr>
          <w:lang w:val="en-GB"/>
        </w:rPr>
        <w:lastRenderedPageBreak/>
        <w:t>stable over time and between companies, results in greater cross-sectional and temporal fluctuations in Tobin’s Q. Table 2 defines all variables, including independent, control, and dependent variables, used in the study.</w:t>
      </w:r>
    </w:p>
    <w:p w14:paraId="16171526" w14:textId="217B14BE" w:rsidR="00DB62CC" w:rsidRPr="00EF2A33" w:rsidRDefault="00DB62CC" w:rsidP="00FC4EE2">
      <w:pPr>
        <w:pStyle w:val="Caption"/>
        <w:keepNext/>
        <w:rPr>
          <w:i w:val="0"/>
          <w:color w:val="auto"/>
          <w:sz w:val="24"/>
          <w:szCs w:val="24"/>
        </w:rPr>
      </w:pPr>
      <w:r w:rsidRPr="00EF2A33">
        <w:rPr>
          <w:b/>
          <w:i w:val="0"/>
          <w:color w:val="auto"/>
          <w:sz w:val="24"/>
          <w:szCs w:val="24"/>
        </w:rPr>
        <w:t>Table 2:</w:t>
      </w:r>
      <w:r w:rsidRPr="00EF2A33">
        <w:rPr>
          <w:i w:val="0"/>
          <w:color w:val="auto"/>
          <w:sz w:val="24"/>
          <w:szCs w:val="24"/>
        </w:rPr>
        <w:t xml:space="preserve"> Variable Measurement</w:t>
      </w:r>
    </w:p>
    <w:tbl>
      <w:tblPr>
        <w:tblStyle w:val="TableGrid"/>
        <w:tblW w:w="10378" w:type="dxa"/>
        <w:tblLayout w:type="fixed"/>
        <w:tblLook w:val="04A0" w:firstRow="1" w:lastRow="0" w:firstColumn="1" w:lastColumn="0" w:noHBand="0" w:noVBand="1"/>
      </w:tblPr>
      <w:tblGrid>
        <w:gridCol w:w="1488"/>
        <w:gridCol w:w="1561"/>
        <w:gridCol w:w="4714"/>
        <w:gridCol w:w="1134"/>
        <w:gridCol w:w="1481"/>
      </w:tblGrid>
      <w:tr w:rsidR="00EF2A33" w:rsidRPr="00EF2A33" w14:paraId="098EED74" w14:textId="77777777" w:rsidTr="00C05C02">
        <w:trPr>
          <w:trHeight w:val="542"/>
        </w:trPr>
        <w:tc>
          <w:tcPr>
            <w:tcW w:w="1488" w:type="dxa"/>
            <w:vAlign w:val="center"/>
          </w:tcPr>
          <w:p w14:paraId="74955EA0" w14:textId="77777777" w:rsidR="00AD6116" w:rsidRPr="00EF2A33" w:rsidRDefault="00AD6116" w:rsidP="00C05C02">
            <w:pPr>
              <w:jc w:val="center"/>
              <w:rPr>
                <w:b/>
                <w:sz w:val="22"/>
                <w:szCs w:val="22"/>
              </w:rPr>
            </w:pPr>
            <w:bookmarkStart w:id="10" w:name="4.2_Independent_variables"/>
            <w:bookmarkStart w:id="11" w:name="4.3_Dependent_variables"/>
            <w:bookmarkStart w:id="12" w:name="_Dependent_variables"/>
            <w:bookmarkEnd w:id="10"/>
            <w:bookmarkEnd w:id="11"/>
            <w:bookmarkEnd w:id="12"/>
            <w:r w:rsidRPr="00EF2A33">
              <w:rPr>
                <w:b/>
                <w:sz w:val="22"/>
                <w:szCs w:val="22"/>
              </w:rPr>
              <w:t>Name of Variable</w:t>
            </w:r>
          </w:p>
        </w:tc>
        <w:tc>
          <w:tcPr>
            <w:tcW w:w="1561" w:type="dxa"/>
            <w:vAlign w:val="center"/>
          </w:tcPr>
          <w:p w14:paraId="215C2919" w14:textId="77777777" w:rsidR="00AD6116" w:rsidRPr="00EF2A33" w:rsidRDefault="00AD6116" w:rsidP="00C05C02">
            <w:pPr>
              <w:jc w:val="center"/>
              <w:rPr>
                <w:b/>
                <w:sz w:val="22"/>
                <w:szCs w:val="22"/>
              </w:rPr>
            </w:pPr>
            <w:r w:rsidRPr="00EF2A33">
              <w:rPr>
                <w:b/>
                <w:sz w:val="22"/>
                <w:szCs w:val="22"/>
              </w:rPr>
              <w:t>Symbol</w:t>
            </w:r>
          </w:p>
        </w:tc>
        <w:tc>
          <w:tcPr>
            <w:tcW w:w="4714" w:type="dxa"/>
            <w:vAlign w:val="center"/>
          </w:tcPr>
          <w:p w14:paraId="67A1590E" w14:textId="77777777" w:rsidR="00AD6116" w:rsidRPr="00EF2A33" w:rsidRDefault="00AD6116" w:rsidP="00C05C02">
            <w:pPr>
              <w:jc w:val="center"/>
              <w:rPr>
                <w:b/>
                <w:sz w:val="22"/>
                <w:szCs w:val="22"/>
              </w:rPr>
            </w:pPr>
            <w:r w:rsidRPr="00EF2A33">
              <w:rPr>
                <w:b/>
                <w:sz w:val="22"/>
                <w:szCs w:val="22"/>
              </w:rPr>
              <w:t>Measurement</w:t>
            </w:r>
          </w:p>
        </w:tc>
        <w:tc>
          <w:tcPr>
            <w:tcW w:w="1134" w:type="dxa"/>
            <w:vAlign w:val="center"/>
          </w:tcPr>
          <w:p w14:paraId="33E25809" w14:textId="77777777" w:rsidR="00AD6116" w:rsidRPr="00EF2A33" w:rsidRDefault="00AD6116" w:rsidP="00C05C02">
            <w:pPr>
              <w:jc w:val="center"/>
              <w:rPr>
                <w:b/>
                <w:sz w:val="22"/>
                <w:szCs w:val="22"/>
              </w:rPr>
            </w:pPr>
            <w:r w:rsidRPr="00EF2A33">
              <w:rPr>
                <w:b/>
                <w:sz w:val="22"/>
                <w:szCs w:val="22"/>
              </w:rPr>
              <w:t>Expected Relation</w:t>
            </w:r>
          </w:p>
        </w:tc>
        <w:tc>
          <w:tcPr>
            <w:tcW w:w="1481" w:type="dxa"/>
          </w:tcPr>
          <w:p w14:paraId="0D5824F8" w14:textId="77777777" w:rsidR="00AD6116" w:rsidRPr="00EF2A33" w:rsidRDefault="00AD6116" w:rsidP="00C05C02">
            <w:pPr>
              <w:jc w:val="center"/>
              <w:rPr>
                <w:b/>
                <w:sz w:val="22"/>
                <w:szCs w:val="22"/>
              </w:rPr>
            </w:pPr>
            <w:r w:rsidRPr="00EF2A33">
              <w:rPr>
                <w:b/>
                <w:sz w:val="22"/>
                <w:szCs w:val="22"/>
              </w:rPr>
              <w:t>Use in Current Literature</w:t>
            </w:r>
          </w:p>
        </w:tc>
      </w:tr>
      <w:tr w:rsidR="00EF2A33" w:rsidRPr="00EF2A33" w14:paraId="44364285" w14:textId="77777777" w:rsidTr="00C05C02">
        <w:trPr>
          <w:trHeight w:val="437"/>
        </w:trPr>
        <w:tc>
          <w:tcPr>
            <w:tcW w:w="10378" w:type="dxa"/>
            <w:gridSpan w:val="5"/>
            <w:vAlign w:val="center"/>
          </w:tcPr>
          <w:p w14:paraId="4B3826D3" w14:textId="77777777" w:rsidR="00AD6116" w:rsidRPr="00EF2A33" w:rsidRDefault="00AD6116" w:rsidP="00C05C02">
            <w:pPr>
              <w:jc w:val="left"/>
              <w:rPr>
                <w:b/>
                <w:sz w:val="18"/>
                <w:szCs w:val="18"/>
              </w:rPr>
            </w:pPr>
            <w:r w:rsidRPr="00EF2A33">
              <w:rPr>
                <w:b/>
                <w:sz w:val="18"/>
                <w:szCs w:val="18"/>
              </w:rPr>
              <w:t>Firm Performance – Accounting Based (Dependent Variable)</w:t>
            </w:r>
          </w:p>
        </w:tc>
      </w:tr>
      <w:tr w:rsidR="00EF2A33" w:rsidRPr="00EF2A33" w14:paraId="7A90825C" w14:textId="77777777" w:rsidTr="00C05C02">
        <w:trPr>
          <w:trHeight w:val="700"/>
        </w:trPr>
        <w:tc>
          <w:tcPr>
            <w:tcW w:w="1488" w:type="dxa"/>
            <w:vAlign w:val="center"/>
          </w:tcPr>
          <w:p w14:paraId="70A2C84C" w14:textId="77777777" w:rsidR="00AD6116" w:rsidRPr="00EF2A33" w:rsidRDefault="00AD6116" w:rsidP="00C05C02">
            <w:pPr>
              <w:jc w:val="center"/>
              <w:rPr>
                <w:sz w:val="22"/>
                <w:szCs w:val="22"/>
              </w:rPr>
            </w:pPr>
            <w:r w:rsidRPr="00EF2A33">
              <w:rPr>
                <w:sz w:val="22"/>
                <w:szCs w:val="22"/>
              </w:rPr>
              <w:t>Return on Asset</w:t>
            </w:r>
          </w:p>
        </w:tc>
        <w:tc>
          <w:tcPr>
            <w:tcW w:w="1561" w:type="dxa"/>
            <w:vAlign w:val="center"/>
          </w:tcPr>
          <w:p w14:paraId="2FEAFF9A" w14:textId="77777777" w:rsidR="00AD6116" w:rsidRPr="00EF2A33" w:rsidRDefault="00AD6116" w:rsidP="00C05C02">
            <w:pPr>
              <w:jc w:val="center"/>
              <w:rPr>
                <w:sz w:val="22"/>
                <w:szCs w:val="22"/>
              </w:rPr>
            </w:pPr>
            <w:r w:rsidRPr="00EF2A33">
              <w:rPr>
                <w:sz w:val="22"/>
                <w:szCs w:val="22"/>
              </w:rPr>
              <w:t>ROA</w:t>
            </w:r>
          </w:p>
        </w:tc>
        <w:tc>
          <w:tcPr>
            <w:tcW w:w="4714" w:type="dxa"/>
            <w:vAlign w:val="center"/>
          </w:tcPr>
          <w:p w14:paraId="655C7150" w14:textId="669F2D75" w:rsidR="00AD6116" w:rsidRPr="00EF2A33" w:rsidRDefault="00EF2A33" w:rsidP="00C05C02">
            <w:pPr>
              <w:rPr>
                <w:sz w:val="22"/>
                <w:szCs w:val="22"/>
              </w:rPr>
            </w:pPr>
            <m:oMathPara>
              <m:oMath>
                <m:f>
                  <m:fPr>
                    <m:ctrlPr>
                      <w:rPr>
                        <w:rFonts w:ascii="Cambria Math" w:hAnsi="Cambria Math"/>
                        <w:i/>
                        <w:sz w:val="22"/>
                        <w:szCs w:val="22"/>
                      </w:rPr>
                    </m:ctrlPr>
                  </m:fPr>
                  <m:num>
                    <m:r>
                      <w:rPr>
                        <w:rFonts w:ascii="Cambria Math" w:hAnsi="Cambria Math"/>
                        <w:sz w:val="22"/>
                        <w:szCs w:val="22"/>
                      </w:rPr>
                      <m:t>Net Income after Tax</m:t>
                    </m:r>
                  </m:num>
                  <m:den>
                    <m:r>
                      <w:rPr>
                        <w:rFonts w:ascii="Cambria Math" w:hAnsi="Cambria Math"/>
                        <w:sz w:val="22"/>
                        <w:szCs w:val="22"/>
                      </w:rPr>
                      <m:t>Book Value of Total Assets</m:t>
                    </m:r>
                  </m:den>
                </m:f>
              </m:oMath>
            </m:oMathPara>
          </w:p>
        </w:tc>
        <w:tc>
          <w:tcPr>
            <w:tcW w:w="1134" w:type="dxa"/>
            <w:vAlign w:val="center"/>
          </w:tcPr>
          <w:p w14:paraId="2673F703" w14:textId="4AC9B3FA" w:rsidR="00AD6116" w:rsidRPr="00EF2A33" w:rsidRDefault="00AD6116" w:rsidP="00C05C02">
            <w:pPr>
              <w:jc w:val="center"/>
              <w:rPr>
                <w:sz w:val="22"/>
                <w:szCs w:val="22"/>
              </w:rPr>
            </w:pPr>
          </w:p>
        </w:tc>
        <w:tc>
          <w:tcPr>
            <w:tcW w:w="1481" w:type="dxa"/>
          </w:tcPr>
          <w:p w14:paraId="5395BA5E" w14:textId="633165C5" w:rsidR="00B20D61" w:rsidRPr="00EF2A33" w:rsidRDefault="00B20D61" w:rsidP="00B20D61">
            <w:pPr>
              <w:jc w:val="center"/>
              <w:rPr>
                <w:sz w:val="18"/>
                <w:szCs w:val="18"/>
                <w:lang w:val="en-GB"/>
              </w:rPr>
            </w:pPr>
            <w:proofErr w:type="spellStart"/>
            <w:r w:rsidRPr="00EF2A33">
              <w:rPr>
                <w:sz w:val="18"/>
                <w:szCs w:val="18"/>
                <w:lang w:val="en-GB"/>
              </w:rPr>
              <w:t>Boshnak</w:t>
            </w:r>
            <w:proofErr w:type="spellEnd"/>
            <w:r w:rsidRPr="00EF2A33">
              <w:rPr>
                <w:sz w:val="18"/>
                <w:szCs w:val="18"/>
                <w:lang w:val="en-GB"/>
              </w:rPr>
              <w:t>, (2023</w:t>
            </w:r>
            <w:proofErr w:type="gramStart"/>
            <w:r w:rsidRPr="00EF2A33">
              <w:rPr>
                <w:sz w:val="18"/>
                <w:szCs w:val="18"/>
                <w:lang w:val="en-GB"/>
              </w:rPr>
              <w:t>);</w:t>
            </w:r>
            <w:proofErr w:type="gramEnd"/>
          </w:p>
          <w:p w14:paraId="49D7E59D" w14:textId="4B31E495" w:rsidR="00AD6116" w:rsidRPr="00EF2A33" w:rsidRDefault="00721EB3" w:rsidP="00C05C02">
            <w:pPr>
              <w:jc w:val="center"/>
              <w:rPr>
                <w:sz w:val="18"/>
                <w:szCs w:val="18"/>
              </w:rPr>
            </w:pPr>
            <w:r w:rsidRPr="00EF2A33">
              <w:rPr>
                <w:sz w:val="18"/>
                <w:szCs w:val="18"/>
                <w:lang w:val="en-GB"/>
              </w:rPr>
              <w:t>Bachiller (2015)</w:t>
            </w:r>
          </w:p>
        </w:tc>
      </w:tr>
      <w:tr w:rsidR="00EF2A33" w:rsidRPr="00EF2A33" w14:paraId="6B89B4AD" w14:textId="77777777" w:rsidTr="00C05C02">
        <w:trPr>
          <w:trHeight w:val="700"/>
        </w:trPr>
        <w:tc>
          <w:tcPr>
            <w:tcW w:w="1488" w:type="dxa"/>
            <w:vAlign w:val="center"/>
          </w:tcPr>
          <w:p w14:paraId="14E60AD2" w14:textId="77777777" w:rsidR="00AD6116" w:rsidRPr="00EF2A33" w:rsidRDefault="00AD6116" w:rsidP="00C05C02">
            <w:pPr>
              <w:jc w:val="center"/>
              <w:rPr>
                <w:sz w:val="22"/>
                <w:szCs w:val="22"/>
              </w:rPr>
            </w:pPr>
            <w:r w:rsidRPr="00EF2A33">
              <w:rPr>
                <w:sz w:val="22"/>
                <w:szCs w:val="22"/>
              </w:rPr>
              <w:t>Return on Equity</w:t>
            </w:r>
          </w:p>
        </w:tc>
        <w:tc>
          <w:tcPr>
            <w:tcW w:w="1561" w:type="dxa"/>
            <w:vAlign w:val="center"/>
          </w:tcPr>
          <w:p w14:paraId="5839D675" w14:textId="77777777" w:rsidR="00AD6116" w:rsidRPr="00EF2A33" w:rsidRDefault="00AD6116" w:rsidP="00C05C02">
            <w:pPr>
              <w:jc w:val="center"/>
              <w:rPr>
                <w:sz w:val="22"/>
                <w:szCs w:val="22"/>
              </w:rPr>
            </w:pPr>
            <w:r w:rsidRPr="00EF2A33">
              <w:rPr>
                <w:sz w:val="22"/>
                <w:szCs w:val="22"/>
              </w:rPr>
              <w:t>ROE</w:t>
            </w:r>
          </w:p>
          <w:p w14:paraId="3DE51AE0" w14:textId="77777777" w:rsidR="00AD6116" w:rsidRPr="00EF2A33" w:rsidRDefault="00AD6116" w:rsidP="00C05C02">
            <w:pPr>
              <w:jc w:val="center"/>
              <w:rPr>
                <w:sz w:val="22"/>
                <w:szCs w:val="22"/>
              </w:rPr>
            </w:pPr>
          </w:p>
        </w:tc>
        <w:tc>
          <w:tcPr>
            <w:tcW w:w="4714" w:type="dxa"/>
            <w:vAlign w:val="center"/>
          </w:tcPr>
          <w:p w14:paraId="1944CB16" w14:textId="34CC9358" w:rsidR="00AD6116" w:rsidRPr="00EF2A33" w:rsidRDefault="00EF2A33" w:rsidP="00C05C02">
            <w:pPr>
              <w:rPr>
                <w:rFonts w:eastAsia="Calibri"/>
                <w:sz w:val="22"/>
                <w:szCs w:val="22"/>
              </w:rPr>
            </w:pPr>
            <m:oMathPara>
              <m:oMath>
                <m:f>
                  <m:fPr>
                    <m:ctrlPr>
                      <w:rPr>
                        <w:rFonts w:ascii="Cambria Math" w:hAnsi="Cambria Math"/>
                        <w:i/>
                        <w:sz w:val="22"/>
                        <w:szCs w:val="22"/>
                      </w:rPr>
                    </m:ctrlPr>
                  </m:fPr>
                  <m:num>
                    <m:r>
                      <w:rPr>
                        <w:rFonts w:ascii="Cambria Math" w:hAnsi="Cambria Math"/>
                        <w:sz w:val="22"/>
                        <w:szCs w:val="22"/>
                      </w:rPr>
                      <m:t>Net Income after Tax</m:t>
                    </m:r>
                  </m:num>
                  <m:den>
                    <m:r>
                      <w:rPr>
                        <w:rFonts w:ascii="Cambria Math" w:hAnsi="Cambria Math"/>
                        <w:sz w:val="22"/>
                        <w:szCs w:val="22"/>
                      </w:rPr>
                      <m:t>Book Value of Equity</m:t>
                    </m:r>
                  </m:den>
                </m:f>
              </m:oMath>
            </m:oMathPara>
          </w:p>
        </w:tc>
        <w:tc>
          <w:tcPr>
            <w:tcW w:w="1134" w:type="dxa"/>
            <w:vAlign w:val="center"/>
          </w:tcPr>
          <w:p w14:paraId="7F2FB7F2" w14:textId="370A4873" w:rsidR="00AD6116" w:rsidRPr="00EF2A33" w:rsidRDefault="00AD6116" w:rsidP="00C05C02">
            <w:pPr>
              <w:jc w:val="center"/>
              <w:rPr>
                <w:sz w:val="22"/>
                <w:szCs w:val="22"/>
              </w:rPr>
            </w:pPr>
          </w:p>
        </w:tc>
        <w:tc>
          <w:tcPr>
            <w:tcW w:w="1481" w:type="dxa"/>
          </w:tcPr>
          <w:p w14:paraId="7D6378DB" w14:textId="77777777" w:rsidR="00B20D61" w:rsidRPr="00EF2A33" w:rsidRDefault="00B20D61" w:rsidP="00B20D61">
            <w:pPr>
              <w:jc w:val="center"/>
              <w:rPr>
                <w:sz w:val="18"/>
                <w:szCs w:val="18"/>
                <w:lang w:val="en-GB"/>
              </w:rPr>
            </w:pPr>
            <w:proofErr w:type="spellStart"/>
            <w:r w:rsidRPr="00EF2A33">
              <w:rPr>
                <w:sz w:val="18"/>
                <w:szCs w:val="18"/>
                <w:lang w:val="en-GB"/>
              </w:rPr>
              <w:t>Boshnak</w:t>
            </w:r>
            <w:proofErr w:type="spellEnd"/>
            <w:r w:rsidRPr="00EF2A33">
              <w:rPr>
                <w:sz w:val="18"/>
                <w:szCs w:val="18"/>
                <w:lang w:val="en-GB"/>
              </w:rPr>
              <w:t>, (2023</w:t>
            </w:r>
            <w:proofErr w:type="gramStart"/>
            <w:r w:rsidRPr="00EF2A33">
              <w:rPr>
                <w:sz w:val="18"/>
                <w:szCs w:val="18"/>
                <w:lang w:val="en-GB"/>
              </w:rPr>
              <w:t>);</w:t>
            </w:r>
            <w:proofErr w:type="gramEnd"/>
          </w:p>
          <w:p w14:paraId="64B0BE84" w14:textId="251ABFAE" w:rsidR="00AD6116" w:rsidRPr="00EF2A33" w:rsidRDefault="00721EB3" w:rsidP="00C05C02">
            <w:pPr>
              <w:jc w:val="center"/>
              <w:rPr>
                <w:sz w:val="18"/>
                <w:szCs w:val="18"/>
              </w:rPr>
            </w:pPr>
            <w:r w:rsidRPr="00EF2A33">
              <w:rPr>
                <w:sz w:val="18"/>
                <w:szCs w:val="18"/>
                <w:lang w:val="en-GB"/>
              </w:rPr>
              <w:t>Bachiller (2015)</w:t>
            </w:r>
          </w:p>
        </w:tc>
      </w:tr>
      <w:tr w:rsidR="00EF2A33" w:rsidRPr="00EF2A33" w14:paraId="028AFD72" w14:textId="77777777" w:rsidTr="00C05C02">
        <w:trPr>
          <w:trHeight w:val="323"/>
        </w:trPr>
        <w:tc>
          <w:tcPr>
            <w:tcW w:w="8897" w:type="dxa"/>
            <w:gridSpan w:val="4"/>
            <w:vAlign w:val="center"/>
          </w:tcPr>
          <w:p w14:paraId="1CE5522D" w14:textId="0CA6E1E6" w:rsidR="00AD6116" w:rsidRPr="00EF2A33" w:rsidRDefault="00AD6116" w:rsidP="00C05C02">
            <w:pPr>
              <w:jc w:val="left"/>
              <w:rPr>
                <w:b/>
                <w:sz w:val="22"/>
                <w:szCs w:val="22"/>
              </w:rPr>
            </w:pPr>
            <w:r w:rsidRPr="00EF2A33">
              <w:rPr>
                <w:b/>
                <w:sz w:val="22"/>
                <w:szCs w:val="22"/>
              </w:rPr>
              <w:t xml:space="preserve">Firm Performance – </w:t>
            </w:r>
            <w:r w:rsidR="00016CA1" w:rsidRPr="00EF2A33">
              <w:rPr>
                <w:b/>
                <w:sz w:val="22"/>
                <w:szCs w:val="22"/>
              </w:rPr>
              <w:t>Market-Based</w:t>
            </w:r>
            <w:r w:rsidRPr="00EF2A33">
              <w:rPr>
                <w:b/>
                <w:sz w:val="22"/>
                <w:szCs w:val="22"/>
              </w:rPr>
              <w:t xml:space="preserve"> (Dependent Variable)</w:t>
            </w:r>
          </w:p>
        </w:tc>
        <w:tc>
          <w:tcPr>
            <w:tcW w:w="1481" w:type="dxa"/>
          </w:tcPr>
          <w:p w14:paraId="248E4F75" w14:textId="77777777" w:rsidR="00AD6116" w:rsidRPr="00EF2A33" w:rsidRDefault="00AD6116" w:rsidP="00C05C02">
            <w:pPr>
              <w:jc w:val="left"/>
              <w:rPr>
                <w:b/>
                <w:sz w:val="18"/>
                <w:szCs w:val="18"/>
              </w:rPr>
            </w:pPr>
          </w:p>
        </w:tc>
      </w:tr>
      <w:tr w:rsidR="00EF2A33" w:rsidRPr="00EF2A33" w14:paraId="39205AD2" w14:textId="77777777" w:rsidTr="00A22E4A">
        <w:trPr>
          <w:trHeight w:val="770"/>
        </w:trPr>
        <w:tc>
          <w:tcPr>
            <w:tcW w:w="1488" w:type="dxa"/>
            <w:vAlign w:val="center"/>
          </w:tcPr>
          <w:p w14:paraId="2929ABE6" w14:textId="62BC9A55" w:rsidR="00A22E4A" w:rsidRPr="00EF2A33" w:rsidRDefault="00A22E4A" w:rsidP="00C05C02">
            <w:pPr>
              <w:jc w:val="center"/>
              <w:rPr>
                <w:sz w:val="22"/>
                <w:szCs w:val="22"/>
              </w:rPr>
            </w:pPr>
            <w:r w:rsidRPr="00EF2A33">
              <w:rPr>
                <w:sz w:val="22"/>
                <w:szCs w:val="22"/>
              </w:rPr>
              <w:t>Tobin’s Q</w:t>
            </w:r>
          </w:p>
        </w:tc>
        <w:tc>
          <w:tcPr>
            <w:tcW w:w="1561" w:type="dxa"/>
            <w:vAlign w:val="center"/>
          </w:tcPr>
          <w:p w14:paraId="3EB453D9" w14:textId="7879ABEE" w:rsidR="00A22E4A" w:rsidRPr="00EF2A33" w:rsidRDefault="00A22E4A" w:rsidP="00C05C02">
            <w:pPr>
              <w:jc w:val="center"/>
              <w:rPr>
                <w:sz w:val="22"/>
                <w:szCs w:val="22"/>
              </w:rPr>
            </w:pPr>
            <w:r w:rsidRPr="00EF2A33">
              <w:rPr>
                <w:sz w:val="22"/>
                <w:szCs w:val="22"/>
              </w:rPr>
              <w:t>TOBINQ</w:t>
            </w:r>
          </w:p>
        </w:tc>
        <w:tc>
          <w:tcPr>
            <w:tcW w:w="4714" w:type="dxa"/>
            <w:vAlign w:val="center"/>
          </w:tcPr>
          <w:p w14:paraId="27018CA4" w14:textId="09E5A83D" w:rsidR="00A22E4A" w:rsidRPr="00EF2A33" w:rsidRDefault="00A22E4A" w:rsidP="00A22E4A">
            <w:pPr>
              <w:rPr>
                <w:sz w:val="13"/>
                <w:szCs w:val="13"/>
              </w:rPr>
            </w:pPr>
            <m:oMathPara>
              <m:oMath>
                <m:r>
                  <m:rPr>
                    <m:sty m:val="p"/>
                  </m:rPr>
                  <w:rPr>
                    <w:rFonts w:ascii="Cambria Math" w:hAnsi="Cambria Math"/>
                    <w:sz w:val="13"/>
                    <w:szCs w:val="13"/>
                  </w:rPr>
                  <w:br/>
                </m:r>
              </m:oMath>
              <m:oMath>
                <m:f>
                  <m:fPr>
                    <m:ctrlPr>
                      <w:rPr>
                        <w:rFonts w:ascii="Cambria Math" w:hAnsi="Cambria Math"/>
                        <w:i/>
                        <w:sz w:val="13"/>
                        <w:szCs w:val="13"/>
                      </w:rPr>
                    </m:ctrlPr>
                  </m:fPr>
                  <m:num>
                    <m:r>
                      <w:rPr>
                        <w:rFonts w:ascii="Cambria Math" w:hAnsi="Cambria Math"/>
                        <w:sz w:val="13"/>
                        <w:szCs w:val="13"/>
                      </w:rPr>
                      <m:t>Book value of total Assets+Market value of Equity-Book value of Equity</m:t>
                    </m:r>
                  </m:num>
                  <m:den>
                    <m:r>
                      <w:rPr>
                        <w:rFonts w:ascii="Cambria Math" w:hAnsi="Cambria Math"/>
                        <w:sz w:val="13"/>
                        <w:szCs w:val="13"/>
                      </w:rPr>
                      <m:t>Total Assets</m:t>
                    </m:r>
                  </m:den>
                </m:f>
                <m:r>
                  <m:rPr>
                    <m:sty m:val="p"/>
                  </m:rPr>
                  <w:rPr>
                    <w:rFonts w:ascii="Cambria Math" w:hAnsi="Cambria Math"/>
                    <w:sz w:val="13"/>
                    <w:szCs w:val="13"/>
                  </w:rPr>
                  <w:br/>
                </m:r>
              </m:oMath>
            </m:oMathPara>
          </w:p>
        </w:tc>
        <w:tc>
          <w:tcPr>
            <w:tcW w:w="1134" w:type="dxa"/>
            <w:vAlign w:val="center"/>
          </w:tcPr>
          <w:p w14:paraId="017D3D22" w14:textId="208A3A52" w:rsidR="00A22E4A" w:rsidRPr="00EF2A33" w:rsidRDefault="00A22E4A" w:rsidP="00C05C02">
            <w:pPr>
              <w:jc w:val="center"/>
              <w:rPr>
                <w:sz w:val="22"/>
                <w:szCs w:val="22"/>
              </w:rPr>
            </w:pPr>
          </w:p>
        </w:tc>
        <w:tc>
          <w:tcPr>
            <w:tcW w:w="1481" w:type="dxa"/>
          </w:tcPr>
          <w:p w14:paraId="6C20699C" w14:textId="77777777" w:rsidR="00B20D61" w:rsidRPr="00EF2A33" w:rsidRDefault="00B20D61" w:rsidP="00B20D61">
            <w:pPr>
              <w:jc w:val="center"/>
              <w:rPr>
                <w:sz w:val="18"/>
                <w:szCs w:val="18"/>
                <w:lang w:val="en-GB"/>
              </w:rPr>
            </w:pPr>
            <w:proofErr w:type="spellStart"/>
            <w:r w:rsidRPr="00EF2A33">
              <w:rPr>
                <w:sz w:val="18"/>
                <w:szCs w:val="18"/>
                <w:lang w:val="en-GB"/>
              </w:rPr>
              <w:t>Boshnak</w:t>
            </w:r>
            <w:proofErr w:type="spellEnd"/>
            <w:r w:rsidRPr="00EF2A33">
              <w:rPr>
                <w:sz w:val="18"/>
                <w:szCs w:val="18"/>
                <w:lang w:val="en-GB"/>
              </w:rPr>
              <w:t>, (2023</w:t>
            </w:r>
            <w:proofErr w:type="gramStart"/>
            <w:r w:rsidRPr="00EF2A33">
              <w:rPr>
                <w:sz w:val="18"/>
                <w:szCs w:val="18"/>
                <w:lang w:val="en-GB"/>
              </w:rPr>
              <w:t>);</w:t>
            </w:r>
            <w:proofErr w:type="gramEnd"/>
          </w:p>
          <w:p w14:paraId="3C9EF4C1" w14:textId="1F5FF6DA" w:rsidR="00A22E4A" w:rsidRPr="00EF2A33" w:rsidRDefault="00A22E4A" w:rsidP="00C05C02">
            <w:pPr>
              <w:jc w:val="center"/>
              <w:rPr>
                <w:sz w:val="18"/>
                <w:szCs w:val="18"/>
              </w:rPr>
            </w:pPr>
          </w:p>
        </w:tc>
      </w:tr>
      <w:tr w:rsidR="00EF2A33" w:rsidRPr="00EF2A33" w14:paraId="26DC6874" w14:textId="77777777" w:rsidTr="00A22E4A">
        <w:trPr>
          <w:trHeight w:val="840"/>
        </w:trPr>
        <w:tc>
          <w:tcPr>
            <w:tcW w:w="1488" w:type="dxa"/>
            <w:vAlign w:val="center"/>
          </w:tcPr>
          <w:p w14:paraId="2948ECE7" w14:textId="51C4067A" w:rsidR="00A22E4A" w:rsidRPr="00EF2A33" w:rsidRDefault="00A22E4A" w:rsidP="00C05C02">
            <w:pPr>
              <w:jc w:val="center"/>
              <w:rPr>
                <w:sz w:val="22"/>
                <w:szCs w:val="22"/>
              </w:rPr>
            </w:pPr>
            <w:r w:rsidRPr="00EF2A33">
              <w:rPr>
                <w:sz w:val="22"/>
                <w:szCs w:val="22"/>
              </w:rPr>
              <w:t>Market to Book ratio</w:t>
            </w:r>
          </w:p>
        </w:tc>
        <w:tc>
          <w:tcPr>
            <w:tcW w:w="1561" w:type="dxa"/>
            <w:vAlign w:val="center"/>
          </w:tcPr>
          <w:p w14:paraId="6DB51FC0" w14:textId="683949F0" w:rsidR="00A22E4A" w:rsidRPr="00EF2A33" w:rsidRDefault="00A22E4A" w:rsidP="00C05C02">
            <w:pPr>
              <w:jc w:val="center"/>
              <w:rPr>
                <w:sz w:val="22"/>
                <w:szCs w:val="22"/>
              </w:rPr>
            </w:pPr>
            <w:r w:rsidRPr="00EF2A33">
              <w:rPr>
                <w:sz w:val="22"/>
                <w:szCs w:val="22"/>
              </w:rPr>
              <w:t>MTB</w:t>
            </w:r>
          </w:p>
        </w:tc>
        <w:tc>
          <w:tcPr>
            <w:tcW w:w="4714" w:type="dxa"/>
            <w:vAlign w:val="center"/>
          </w:tcPr>
          <w:p w14:paraId="588FEDAD" w14:textId="3D516871" w:rsidR="00A22E4A" w:rsidRPr="00EF2A33" w:rsidRDefault="00EF2A33" w:rsidP="00A22E4A">
            <w:pPr>
              <w:rPr>
                <w:sz w:val="22"/>
                <w:szCs w:val="22"/>
              </w:rPr>
            </w:pPr>
            <m:oMathPara>
              <m:oMath>
                <m:f>
                  <m:fPr>
                    <m:ctrlPr>
                      <w:rPr>
                        <w:rFonts w:ascii="Cambria Math" w:hAnsi="Cambria Math"/>
                        <w:i/>
                        <w:sz w:val="22"/>
                        <w:szCs w:val="22"/>
                      </w:rPr>
                    </m:ctrlPr>
                  </m:fPr>
                  <m:num>
                    <m:r>
                      <w:rPr>
                        <w:rFonts w:ascii="Cambria Math" w:hAnsi="Cambria Math"/>
                        <w:sz w:val="22"/>
                        <w:szCs w:val="22"/>
                      </w:rPr>
                      <m:t>Market value of Equity</m:t>
                    </m:r>
                  </m:num>
                  <m:den>
                    <m:r>
                      <w:rPr>
                        <w:rFonts w:ascii="Cambria Math" w:hAnsi="Cambria Math"/>
                        <w:sz w:val="22"/>
                        <w:szCs w:val="22"/>
                      </w:rPr>
                      <m:t>Book value of Equity</m:t>
                    </m:r>
                  </m:den>
                </m:f>
              </m:oMath>
            </m:oMathPara>
          </w:p>
        </w:tc>
        <w:tc>
          <w:tcPr>
            <w:tcW w:w="1134" w:type="dxa"/>
            <w:vAlign w:val="center"/>
          </w:tcPr>
          <w:p w14:paraId="249DF977" w14:textId="71EC2DC2" w:rsidR="00A22E4A" w:rsidRPr="00EF2A33" w:rsidRDefault="00A22E4A" w:rsidP="00C05C02">
            <w:pPr>
              <w:jc w:val="center"/>
              <w:rPr>
                <w:sz w:val="22"/>
                <w:szCs w:val="22"/>
              </w:rPr>
            </w:pPr>
          </w:p>
        </w:tc>
        <w:tc>
          <w:tcPr>
            <w:tcW w:w="1481" w:type="dxa"/>
          </w:tcPr>
          <w:p w14:paraId="32806FD9" w14:textId="77777777" w:rsidR="00B20D61" w:rsidRPr="00EF2A33" w:rsidRDefault="00B20D61" w:rsidP="00B20D61">
            <w:pPr>
              <w:jc w:val="center"/>
              <w:rPr>
                <w:sz w:val="18"/>
                <w:szCs w:val="18"/>
                <w:lang w:val="en-GB"/>
              </w:rPr>
            </w:pPr>
            <w:proofErr w:type="spellStart"/>
            <w:r w:rsidRPr="00EF2A33">
              <w:rPr>
                <w:sz w:val="18"/>
                <w:szCs w:val="18"/>
                <w:lang w:val="en-GB"/>
              </w:rPr>
              <w:t>Boshnak</w:t>
            </w:r>
            <w:proofErr w:type="spellEnd"/>
            <w:r w:rsidRPr="00EF2A33">
              <w:rPr>
                <w:sz w:val="18"/>
                <w:szCs w:val="18"/>
                <w:lang w:val="en-GB"/>
              </w:rPr>
              <w:t>, (2023</w:t>
            </w:r>
            <w:proofErr w:type="gramStart"/>
            <w:r w:rsidRPr="00EF2A33">
              <w:rPr>
                <w:sz w:val="18"/>
                <w:szCs w:val="18"/>
                <w:lang w:val="en-GB"/>
              </w:rPr>
              <w:t>);</w:t>
            </w:r>
            <w:proofErr w:type="gramEnd"/>
          </w:p>
          <w:p w14:paraId="5B78081F" w14:textId="3F8DC0DE" w:rsidR="00A22E4A" w:rsidRPr="00EF2A33" w:rsidRDefault="00A22E4A" w:rsidP="00C05C02">
            <w:pPr>
              <w:jc w:val="center"/>
              <w:rPr>
                <w:sz w:val="18"/>
                <w:szCs w:val="18"/>
              </w:rPr>
            </w:pPr>
            <w:r w:rsidRPr="00EF2A33">
              <w:rPr>
                <w:sz w:val="18"/>
                <w:szCs w:val="18"/>
              </w:rPr>
              <w:t>Zulkifli et al. (2017)</w:t>
            </w:r>
          </w:p>
        </w:tc>
      </w:tr>
      <w:tr w:rsidR="00EF2A33" w:rsidRPr="00EF2A33" w14:paraId="40592452" w14:textId="77777777" w:rsidTr="00C05C02">
        <w:trPr>
          <w:trHeight w:val="70"/>
        </w:trPr>
        <w:tc>
          <w:tcPr>
            <w:tcW w:w="10378" w:type="dxa"/>
            <w:gridSpan w:val="5"/>
            <w:vAlign w:val="center"/>
          </w:tcPr>
          <w:p w14:paraId="709FDFC9" w14:textId="77777777" w:rsidR="00A22E4A" w:rsidRPr="00EF2A33" w:rsidRDefault="00A22E4A" w:rsidP="00C05C02">
            <w:pPr>
              <w:jc w:val="left"/>
              <w:rPr>
                <w:b/>
                <w:sz w:val="18"/>
                <w:szCs w:val="18"/>
              </w:rPr>
            </w:pPr>
            <w:r w:rsidRPr="00EF2A33">
              <w:rPr>
                <w:b/>
                <w:sz w:val="18"/>
                <w:szCs w:val="18"/>
              </w:rPr>
              <w:t>Ownership Structure (Independent Variable)</w:t>
            </w:r>
          </w:p>
        </w:tc>
      </w:tr>
      <w:tr w:rsidR="00EF2A33" w:rsidRPr="00EF2A33" w14:paraId="529DF71E" w14:textId="77777777" w:rsidTr="00C813E2">
        <w:trPr>
          <w:trHeight w:val="370"/>
        </w:trPr>
        <w:tc>
          <w:tcPr>
            <w:tcW w:w="1488" w:type="dxa"/>
            <w:vAlign w:val="center"/>
          </w:tcPr>
          <w:p w14:paraId="36D332D5" w14:textId="77777777" w:rsidR="00F24D02" w:rsidRPr="00EF2A33" w:rsidRDefault="00F24D02" w:rsidP="00C05C02">
            <w:pPr>
              <w:jc w:val="center"/>
              <w:rPr>
                <w:sz w:val="22"/>
                <w:szCs w:val="22"/>
              </w:rPr>
            </w:pPr>
            <w:r w:rsidRPr="00EF2A33">
              <w:rPr>
                <w:sz w:val="22"/>
                <w:szCs w:val="22"/>
              </w:rPr>
              <w:t>Institutional Ownership</w:t>
            </w:r>
          </w:p>
        </w:tc>
        <w:tc>
          <w:tcPr>
            <w:tcW w:w="1561" w:type="dxa"/>
            <w:vAlign w:val="center"/>
          </w:tcPr>
          <w:p w14:paraId="5F51F56F" w14:textId="77777777" w:rsidR="00F24D02" w:rsidRPr="00EF2A33" w:rsidRDefault="00F24D02" w:rsidP="00C05C02">
            <w:pPr>
              <w:jc w:val="center"/>
              <w:rPr>
                <w:sz w:val="22"/>
                <w:szCs w:val="22"/>
              </w:rPr>
            </w:pPr>
            <w:r w:rsidRPr="00EF2A33">
              <w:rPr>
                <w:sz w:val="22"/>
                <w:szCs w:val="22"/>
              </w:rPr>
              <w:t>INST</w:t>
            </w:r>
          </w:p>
        </w:tc>
        <w:tc>
          <w:tcPr>
            <w:tcW w:w="4714" w:type="dxa"/>
            <w:vAlign w:val="center"/>
          </w:tcPr>
          <w:p w14:paraId="66419E48" w14:textId="1CDFCFE6" w:rsidR="00F24D02" w:rsidRPr="00EF2A33" w:rsidRDefault="009B4139" w:rsidP="00C05C02">
            <w:pPr>
              <w:jc w:val="left"/>
              <w:rPr>
                <w:sz w:val="22"/>
                <w:szCs w:val="22"/>
              </w:rPr>
            </w:pPr>
            <w:r w:rsidRPr="00EF2A33">
              <w:rPr>
                <w:sz w:val="22"/>
                <w:szCs w:val="22"/>
              </w:rPr>
              <w:t>Proportion of shares held by institutional investors.</w:t>
            </w:r>
          </w:p>
        </w:tc>
        <w:tc>
          <w:tcPr>
            <w:tcW w:w="1134" w:type="dxa"/>
            <w:vAlign w:val="center"/>
          </w:tcPr>
          <w:p w14:paraId="7E620CC4" w14:textId="6B3CFC10" w:rsidR="00F24D02" w:rsidRPr="00EF2A33" w:rsidRDefault="00F24D02" w:rsidP="00C05C02">
            <w:pPr>
              <w:jc w:val="center"/>
              <w:rPr>
                <w:sz w:val="22"/>
                <w:szCs w:val="22"/>
              </w:rPr>
            </w:pPr>
            <w:r w:rsidRPr="00EF2A33">
              <w:rPr>
                <w:sz w:val="22"/>
                <w:szCs w:val="22"/>
              </w:rPr>
              <w:t>+</w:t>
            </w:r>
          </w:p>
        </w:tc>
        <w:tc>
          <w:tcPr>
            <w:tcW w:w="1481" w:type="dxa"/>
          </w:tcPr>
          <w:p w14:paraId="097B8484" w14:textId="70F0EBB2" w:rsidR="00F24D02" w:rsidRPr="00EF2A33" w:rsidRDefault="00F24D02" w:rsidP="00713B26">
            <w:pPr>
              <w:jc w:val="center"/>
              <w:rPr>
                <w:sz w:val="18"/>
                <w:szCs w:val="18"/>
                <w:lang w:val="de-DE"/>
              </w:rPr>
            </w:pPr>
            <w:r w:rsidRPr="00EF2A33">
              <w:rPr>
                <w:sz w:val="18"/>
                <w:szCs w:val="18"/>
                <w:lang w:val="de-DE"/>
              </w:rPr>
              <w:t>Andreou et al. (2022); Kaimal &amp; Uzma (2024)</w:t>
            </w:r>
          </w:p>
          <w:p w14:paraId="1290A887" w14:textId="64FFB4B9" w:rsidR="00F24D02" w:rsidRPr="00EF2A33" w:rsidRDefault="00F24D02" w:rsidP="00713B26">
            <w:pPr>
              <w:jc w:val="center"/>
              <w:rPr>
                <w:sz w:val="18"/>
                <w:szCs w:val="18"/>
                <w:lang w:val="de-DE"/>
              </w:rPr>
            </w:pPr>
          </w:p>
        </w:tc>
      </w:tr>
      <w:tr w:rsidR="00EF2A33" w:rsidRPr="00EF2A33" w14:paraId="7D4B2C77" w14:textId="77777777" w:rsidTr="00C813E2">
        <w:trPr>
          <w:trHeight w:val="370"/>
        </w:trPr>
        <w:tc>
          <w:tcPr>
            <w:tcW w:w="1488" w:type="dxa"/>
            <w:vAlign w:val="center"/>
          </w:tcPr>
          <w:p w14:paraId="111E1CF5" w14:textId="77777777" w:rsidR="00F24D02" w:rsidRPr="00EF2A33" w:rsidRDefault="00F24D02" w:rsidP="00C05C02">
            <w:pPr>
              <w:jc w:val="center"/>
              <w:rPr>
                <w:sz w:val="22"/>
                <w:szCs w:val="22"/>
              </w:rPr>
            </w:pPr>
            <w:r w:rsidRPr="00EF2A33">
              <w:rPr>
                <w:sz w:val="22"/>
                <w:szCs w:val="22"/>
              </w:rPr>
              <w:t>Foreign Ownership</w:t>
            </w:r>
          </w:p>
        </w:tc>
        <w:tc>
          <w:tcPr>
            <w:tcW w:w="1561" w:type="dxa"/>
            <w:vAlign w:val="center"/>
          </w:tcPr>
          <w:p w14:paraId="4B499B6D" w14:textId="77777777" w:rsidR="00F24D02" w:rsidRPr="00EF2A33" w:rsidRDefault="00F24D02" w:rsidP="00C05C02">
            <w:pPr>
              <w:jc w:val="center"/>
              <w:rPr>
                <w:sz w:val="22"/>
                <w:szCs w:val="22"/>
              </w:rPr>
            </w:pPr>
            <w:r w:rsidRPr="00EF2A33">
              <w:rPr>
                <w:sz w:val="22"/>
                <w:szCs w:val="22"/>
              </w:rPr>
              <w:t>FOREIGN</w:t>
            </w:r>
          </w:p>
        </w:tc>
        <w:tc>
          <w:tcPr>
            <w:tcW w:w="4714" w:type="dxa"/>
            <w:vAlign w:val="center"/>
          </w:tcPr>
          <w:p w14:paraId="61DC75D1" w14:textId="5F0DBA86" w:rsidR="00F24D02" w:rsidRPr="00EF2A33" w:rsidRDefault="009B4139" w:rsidP="00C05C02">
            <w:pPr>
              <w:jc w:val="left"/>
              <w:rPr>
                <w:sz w:val="22"/>
                <w:szCs w:val="22"/>
              </w:rPr>
            </w:pPr>
            <w:r w:rsidRPr="00EF2A33">
              <w:rPr>
                <w:sz w:val="22"/>
                <w:szCs w:val="22"/>
              </w:rPr>
              <w:t>Proportion of shares held by foreign investors.</w:t>
            </w:r>
          </w:p>
        </w:tc>
        <w:tc>
          <w:tcPr>
            <w:tcW w:w="1134" w:type="dxa"/>
            <w:vAlign w:val="center"/>
          </w:tcPr>
          <w:p w14:paraId="61A0CF3B" w14:textId="73617019" w:rsidR="00F24D02" w:rsidRPr="00EF2A33" w:rsidRDefault="00F24D02" w:rsidP="00C05C02">
            <w:pPr>
              <w:jc w:val="center"/>
              <w:rPr>
                <w:sz w:val="22"/>
                <w:szCs w:val="22"/>
              </w:rPr>
            </w:pPr>
            <w:r w:rsidRPr="00EF2A33">
              <w:rPr>
                <w:sz w:val="22"/>
                <w:szCs w:val="22"/>
              </w:rPr>
              <w:t>+</w:t>
            </w:r>
          </w:p>
        </w:tc>
        <w:tc>
          <w:tcPr>
            <w:tcW w:w="1481" w:type="dxa"/>
          </w:tcPr>
          <w:p w14:paraId="713AF162" w14:textId="0B51C9CB" w:rsidR="00F24D02" w:rsidRPr="00EF2A33" w:rsidRDefault="00F24D02" w:rsidP="00713B26">
            <w:pPr>
              <w:jc w:val="center"/>
              <w:rPr>
                <w:sz w:val="18"/>
                <w:szCs w:val="18"/>
              </w:rPr>
            </w:pPr>
            <w:r w:rsidRPr="00EF2A33">
              <w:rPr>
                <w:sz w:val="18"/>
                <w:szCs w:val="18"/>
                <w:lang w:val="de-DE"/>
              </w:rPr>
              <w:t xml:space="preserve">Kaimal &amp; Uzma (2024); Zulkifli et al. </w:t>
            </w:r>
            <w:r w:rsidRPr="00EF2A33">
              <w:rPr>
                <w:sz w:val="18"/>
                <w:szCs w:val="18"/>
              </w:rPr>
              <w:t>(2017)</w:t>
            </w:r>
          </w:p>
        </w:tc>
      </w:tr>
      <w:tr w:rsidR="00EF2A33" w:rsidRPr="00EF2A33" w14:paraId="47F7B0D6" w14:textId="77777777" w:rsidTr="009B4139">
        <w:trPr>
          <w:trHeight w:val="646"/>
        </w:trPr>
        <w:tc>
          <w:tcPr>
            <w:tcW w:w="1488" w:type="dxa"/>
            <w:vAlign w:val="center"/>
          </w:tcPr>
          <w:p w14:paraId="47F5D8C7" w14:textId="77777777" w:rsidR="00F24D02" w:rsidRPr="00EF2A33" w:rsidRDefault="00F24D02" w:rsidP="00C05C02">
            <w:pPr>
              <w:jc w:val="center"/>
              <w:rPr>
                <w:sz w:val="22"/>
                <w:szCs w:val="22"/>
              </w:rPr>
            </w:pPr>
            <w:r w:rsidRPr="00EF2A33">
              <w:rPr>
                <w:sz w:val="22"/>
                <w:szCs w:val="22"/>
              </w:rPr>
              <w:t>Directors’ Ownership</w:t>
            </w:r>
          </w:p>
        </w:tc>
        <w:tc>
          <w:tcPr>
            <w:tcW w:w="1561" w:type="dxa"/>
            <w:vAlign w:val="center"/>
          </w:tcPr>
          <w:p w14:paraId="3D8A1466" w14:textId="235A0EDC" w:rsidR="00F24D02" w:rsidRPr="00EF2A33" w:rsidRDefault="00F24D02" w:rsidP="00C05C02">
            <w:pPr>
              <w:jc w:val="center"/>
              <w:rPr>
                <w:sz w:val="22"/>
                <w:szCs w:val="22"/>
              </w:rPr>
            </w:pPr>
            <w:r w:rsidRPr="00EF2A33">
              <w:rPr>
                <w:sz w:val="22"/>
                <w:szCs w:val="22"/>
              </w:rPr>
              <w:t>SPDIRECT</w:t>
            </w:r>
          </w:p>
        </w:tc>
        <w:tc>
          <w:tcPr>
            <w:tcW w:w="4714" w:type="dxa"/>
            <w:vAlign w:val="center"/>
          </w:tcPr>
          <w:p w14:paraId="753D592E" w14:textId="2A6EC68B" w:rsidR="00F24D02" w:rsidRPr="00EF2A33" w:rsidRDefault="009B4139" w:rsidP="00C05C02">
            <w:pPr>
              <w:jc w:val="left"/>
              <w:rPr>
                <w:sz w:val="22"/>
                <w:szCs w:val="22"/>
              </w:rPr>
            </w:pPr>
            <w:r w:rsidRPr="00EF2A33">
              <w:rPr>
                <w:sz w:val="22"/>
                <w:szCs w:val="22"/>
              </w:rPr>
              <w:t>Proportion of shares held by directors and sponsors.</w:t>
            </w:r>
          </w:p>
        </w:tc>
        <w:tc>
          <w:tcPr>
            <w:tcW w:w="1134" w:type="dxa"/>
            <w:vAlign w:val="center"/>
          </w:tcPr>
          <w:p w14:paraId="4D932888" w14:textId="7E071045" w:rsidR="00F24D02" w:rsidRPr="00EF2A33" w:rsidRDefault="00F24D02" w:rsidP="00C05C02">
            <w:pPr>
              <w:jc w:val="center"/>
              <w:rPr>
                <w:sz w:val="22"/>
                <w:szCs w:val="22"/>
              </w:rPr>
            </w:pPr>
            <w:r w:rsidRPr="00EF2A33">
              <w:rPr>
                <w:sz w:val="22"/>
                <w:szCs w:val="22"/>
              </w:rPr>
              <w:t>+</w:t>
            </w:r>
          </w:p>
        </w:tc>
        <w:tc>
          <w:tcPr>
            <w:tcW w:w="1481" w:type="dxa"/>
          </w:tcPr>
          <w:p w14:paraId="2186B5C3" w14:textId="57A582E8" w:rsidR="00F24D02" w:rsidRPr="00EF2A33" w:rsidRDefault="00F24D02" w:rsidP="00C05C02">
            <w:pPr>
              <w:jc w:val="center"/>
              <w:rPr>
                <w:sz w:val="18"/>
                <w:szCs w:val="18"/>
              </w:rPr>
            </w:pPr>
            <w:r w:rsidRPr="00EF2A33">
              <w:rPr>
                <w:sz w:val="18"/>
                <w:szCs w:val="18"/>
              </w:rPr>
              <w:t>Zulkifli et al. (2017)</w:t>
            </w:r>
          </w:p>
        </w:tc>
      </w:tr>
      <w:tr w:rsidR="00EF2A33" w:rsidRPr="00EF2A33" w14:paraId="1FB90C6B" w14:textId="77777777" w:rsidTr="00C813E2">
        <w:trPr>
          <w:trHeight w:val="370"/>
        </w:trPr>
        <w:tc>
          <w:tcPr>
            <w:tcW w:w="1488" w:type="dxa"/>
            <w:vAlign w:val="center"/>
          </w:tcPr>
          <w:p w14:paraId="0447E806" w14:textId="77777777" w:rsidR="00F24D02" w:rsidRPr="00EF2A33" w:rsidRDefault="00F24D02" w:rsidP="00C05C02">
            <w:pPr>
              <w:jc w:val="center"/>
              <w:rPr>
                <w:sz w:val="22"/>
                <w:szCs w:val="22"/>
              </w:rPr>
            </w:pPr>
            <w:r w:rsidRPr="00EF2A33">
              <w:rPr>
                <w:sz w:val="22"/>
                <w:szCs w:val="22"/>
              </w:rPr>
              <w:t>Government Ownership</w:t>
            </w:r>
          </w:p>
        </w:tc>
        <w:tc>
          <w:tcPr>
            <w:tcW w:w="1561" w:type="dxa"/>
            <w:vAlign w:val="center"/>
          </w:tcPr>
          <w:p w14:paraId="559CDF55" w14:textId="77777777" w:rsidR="00F24D02" w:rsidRPr="00EF2A33" w:rsidRDefault="00F24D02" w:rsidP="00C05C02">
            <w:pPr>
              <w:jc w:val="center"/>
              <w:rPr>
                <w:sz w:val="22"/>
                <w:szCs w:val="22"/>
              </w:rPr>
            </w:pPr>
            <w:r w:rsidRPr="00EF2A33">
              <w:t>GOVT</w:t>
            </w:r>
          </w:p>
        </w:tc>
        <w:tc>
          <w:tcPr>
            <w:tcW w:w="4714" w:type="dxa"/>
            <w:vAlign w:val="center"/>
          </w:tcPr>
          <w:p w14:paraId="7E309FB5" w14:textId="47125EE0" w:rsidR="00F24D02" w:rsidRPr="00EF2A33" w:rsidRDefault="009B4139" w:rsidP="002F149D">
            <w:pPr>
              <w:jc w:val="left"/>
              <w:rPr>
                <w:sz w:val="22"/>
                <w:szCs w:val="22"/>
              </w:rPr>
            </w:pPr>
            <w:r w:rsidRPr="00EF2A33">
              <w:rPr>
                <w:sz w:val="22"/>
                <w:szCs w:val="22"/>
              </w:rPr>
              <w:t>Proportion of shares held by government entities.</w:t>
            </w:r>
          </w:p>
        </w:tc>
        <w:tc>
          <w:tcPr>
            <w:tcW w:w="1134" w:type="dxa"/>
            <w:vAlign w:val="center"/>
          </w:tcPr>
          <w:p w14:paraId="2A6BEF2C" w14:textId="012B3299" w:rsidR="00F24D02" w:rsidRPr="00EF2A33" w:rsidRDefault="00F24D02" w:rsidP="00C05C02">
            <w:pPr>
              <w:jc w:val="center"/>
              <w:rPr>
                <w:sz w:val="22"/>
                <w:szCs w:val="22"/>
              </w:rPr>
            </w:pPr>
            <w:r w:rsidRPr="00EF2A33">
              <w:rPr>
                <w:sz w:val="22"/>
                <w:szCs w:val="22"/>
              </w:rPr>
              <w:t>+</w:t>
            </w:r>
          </w:p>
        </w:tc>
        <w:tc>
          <w:tcPr>
            <w:tcW w:w="1481" w:type="dxa"/>
          </w:tcPr>
          <w:p w14:paraId="09C32D99" w14:textId="2F4786C0" w:rsidR="00F24D02" w:rsidRPr="00EF2A33" w:rsidRDefault="00F24D02" w:rsidP="00C05C02">
            <w:pPr>
              <w:jc w:val="center"/>
              <w:rPr>
                <w:sz w:val="18"/>
                <w:szCs w:val="18"/>
              </w:rPr>
            </w:pPr>
            <w:r w:rsidRPr="00EF2A33">
              <w:rPr>
                <w:sz w:val="18"/>
                <w:szCs w:val="18"/>
                <w:lang w:val="de-DE"/>
              </w:rPr>
              <w:t xml:space="preserve">Kaimal &amp; Uzma (2024); Zulkifli et al. </w:t>
            </w:r>
            <w:r w:rsidRPr="00EF2A33">
              <w:rPr>
                <w:sz w:val="18"/>
                <w:szCs w:val="18"/>
              </w:rPr>
              <w:t>(2017)</w:t>
            </w:r>
          </w:p>
        </w:tc>
      </w:tr>
      <w:tr w:rsidR="00EF2A33" w:rsidRPr="00EF2A33" w14:paraId="6E8B9792" w14:textId="77777777" w:rsidTr="00C05C02">
        <w:trPr>
          <w:trHeight w:val="70"/>
        </w:trPr>
        <w:tc>
          <w:tcPr>
            <w:tcW w:w="8897" w:type="dxa"/>
            <w:gridSpan w:val="4"/>
            <w:vAlign w:val="center"/>
          </w:tcPr>
          <w:p w14:paraId="191E2370" w14:textId="77777777" w:rsidR="00A22E4A" w:rsidRPr="00EF2A33" w:rsidRDefault="00A22E4A" w:rsidP="00C05C02">
            <w:pPr>
              <w:jc w:val="left"/>
              <w:rPr>
                <w:b/>
                <w:sz w:val="22"/>
                <w:szCs w:val="22"/>
              </w:rPr>
            </w:pPr>
            <w:r w:rsidRPr="00EF2A33">
              <w:rPr>
                <w:b/>
                <w:sz w:val="22"/>
                <w:szCs w:val="22"/>
              </w:rPr>
              <w:t>Board Characteristics (Independent Variable)</w:t>
            </w:r>
          </w:p>
        </w:tc>
        <w:tc>
          <w:tcPr>
            <w:tcW w:w="1481" w:type="dxa"/>
          </w:tcPr>
          <w:p w14:paraId="34424CDD" w14:textId="77777777" w:rsidR="00A22E4A" w:rsidRPr="00EF2A33" w:rsidRDefault="00A22E4A" w:rsidP="00C05C02">
            <w:pPr>
              <w:jc w:val="left"/>
              <w:rPr>
                <w:b/>
                <w:sz w:val="18"/>
                <w:szCs w:val="18"/>
              </w:rPr>
            </w:pPr>
          </w:p>
        </w:tc>
      </w:tr>
      <w:tr w:rsidR="00EF2A33" w:rsidRPr="00EF2A33" w14:paraId="757556AD" w14:textId="77777777" w:rsidTr="00C813E2">
        <w:trPr>
          <w:trHeight w:val="458"/>
        </w:trPr>
        <w:tc>
          <w:tcPr>
            <w:tcW w:w="1488" w:type="dxa"/>
            <w:vAlign w:val="center"/>
          </w:tcPr>
          <w:p w14:paraId="7C429B58" w14:textId="77777777" w:rsidR="00F24D02" w:rsidRPr="00EF2A33" w:rsidRDefault="00F24D02" w:rsidP="00C05C02">
            <w:pPr>
              <w:jc w:val="center"/>
              <w:rPr>
                <w:sz w:val="22"/>
                <w:szCs w:val="22"/>
              </w:rPr>
            </w:pPr>
            <w:r w:rsidRPr="00EF2A33">
              <w:rPr>
                <w:sz w:val="22"/>
                <w:szCs w:val="22"/>
              </w:rPr>
              <w:t>Board Size</w:t>
            </w:r>
          </w:p>
        </w:tc>
        <w:tc>
          <w:tcPr>
            <w:tcW w:w="1561" w:type="dxa"/>
            <w:vAlign w:val="center"/>
          </w:tcPr>
          <w:p w14:paraId="224E80F9" w14:textId="77777777" w:rsidR="00F24D02" w:rsidRPr="00EF2A33" w:rsidRDefault="00F24D02" w:rsidP="00C05C02">
            <w:pPr>
              <w:jc w:val="center"/>
              <w:rPr>
                <w:sz w:val="22"/>
                <w:szCs w:val="22"/>
              </w:rPr>
            </w:pPr>
            <w:r w:rsidRPr="00EF2A33">
              <w:rPr>
                <w:sz w:val="22"/>
                <w:szCs w:val="22"/>
              </w:rPr>
              <w:t>BSIZE</w:t>
            </w:r>
          </w:p>
        </w:tc>
        <w:tc>
          <w:tcPr>
            <w:tcW w:w="4714" w:type="dxa"/>
            <w:vAlign w:val="center"/>
          </w:tcPr>
          <w:p w14:paraId="38B689A1" w14:textId="7885A817" w:rsidR="00F24D02" w:rsidRPr="00EF2A33" w:rsidRDefault="009B4139" w:rsidP="00C05C02">
            <w:pPr>
              <w:jc w:val="left"/>
              <w:rPr>
                <w:sz w:val="22"/>
                <w:szCs w:val="22"/>
              </w:rPr>
            </w:pPr>
            <w:r w:rsidRPr="00EF2A33">
              <w:rPr>
                <w:sz w:val="22"/>
                <w:szCs w:val="22"/>
              </w:rPr>
              <w:t>Total number of directors on the board.</w:t>
            </w:r>
          </w:p>
        </w:tc>
        <w:tc>
          <w:tcPr>
            <w:tcW w:w="1134" w:type="dxa"/>
            <w:vAlign w:val="center"/>
          </w:tcPr>
          <w:p w14:paraId="4DCAAFAB" w14:textId="40E64A38" w:rsidR="00F24D02" w:rsidRPr="00EF2A33" w:rsidRDefault="00F24D02" w:rsidP="00C05C02">
            <w:pPr>
              <w:jc w:val="center"/>
              <w:rPr>
                <w:sz w:val="22"/>
                <w:szCs w:val="22"/>
              </w:rPr>
            </w:pPr>
            <w:r w:rsidRPr="00EF2A33">
              <w:rPr>
                <w:sz w:val="22"/>
                <w:szCs w:val="22"/>
              </w:rPr>
              <w:t>+/-</w:t>
            </w:r>
          </w:p>
        </w:tc>
        <w:tc>
          <w:tcPr>
            <w:tcW w:w="1481" w:type="dxa"/>
          </w:tcPr>
          <w:p w14:paraId="73C20637" w14:textId="3FB9F363" w:rsidR="00F24D02" w:rsidRPr="00EF2A33" w:rsidRDefault="00F24D02" w:rsidP="00C05C02">
            <w:pPr>
              <w:jc w:val="center"/>
              <w:rPr>
                <w:sz w:val="18"/>
                <w:szCs w:val="18"/>
              </w:rPr>
            </w:pPr>
            <w:r w:rsidRPr="00EF2A33">
              <w:rPr>
                <w:sz w:val="18"/>
                <w:szCs w:val="18"/>
                <w:lang w:val="en-GB"/>
              </w:rPr>
              <w:t>Bachiller (2015); Kaimal &amp; Uzma (2024</w:t>
            </w:r>
            <w:r w:rsidRPr="00EF2A33">
              <w:rPr>
                <w:sz w:val="18"/>
                <w:szCs w:val="18"/>
              </w:rPr>
              <w:t>)</w:t>
            </w:r>
          </w:p>
        </w:tc>
      </w:tr>
      <w:tr w:rsidR="00EF2A33" w:rsidRPr="00EF2A33" w14:paraId="3EF933E0" w14:textId="77777777" w:rsidTr="00C813E2">
        <w:trPr>
          <w:trHeight w:val="700"/>
        </w:trPr>
        <w:tc>
          <w:tcPr>
            <w:tcW w:w="1488" w:type="dxa"/>
            <w:vAlign w:val="center"/>
          </w:tcPr>
          <w:p w14:paraId="318B1DDD" w14:textId="77777777" w:rsidR="00F24D02" w:rsidRPr="00EF2A33" w:rsidRDefault="00F24D02" w:rsidP="00C05C02">
            <w:pPr>
              <w:jc w:val="center"/>
              <w:rPr>
                <w:sz w:val="22"/>
                <w:szCs w:val="22"/>
              </w:rPr>
            </w:pPr>
            <w:r w:rsidRPr="00EF2A33">
              <w:rPr>
                <w:sz w:val="22"/>
                <w:szCs w:val="22"/>
              </w:rPr>
              <w:t>Board Independence</w:t>
            </w:r>
          </w:p>
        </w:tc>
        <w:tc>
          <w:tcPr>
            <w:tcW w:w="1561" w:type="dxa"/>
            <w:vAlign w:val="center"/>
          </w:tcPr>
          <w:p w14:paraId="41057A3B" w14:textId="77777777" w:rsidR="00F24D02" w:rsidRPr="00EF2A33" w:rsidRDefault="00F24D02" w:rsidP="00C05C02">
            <w:pPr>
              <w:jc w:val="center"/>
              <w:rPr>
                <w:sz w:val="22"/>
                <w:szCs w:val="22"/>
              </w:rPr>
            </w:pPr>
            <w:r w:rsidRPr="00EF2A33">
              <w:rPr>
                <w:sz w:val="22"/>
                <w:szCs w:val="22"/>
              </w:rPr>
              <w:t>BIND</w:t>
            </w:r>
          </w:p>
        </w:tc>
        <w:tc>
          <w:tcPr>
            <w:tcW w:w="4714" w:type="dxa"/>
            <w:vAlign w:val="center"/>
          </w:tcPr>
          <w:p w14:paraId="0A2F0633" w14:textId="29C76B03" w:rsidR="00F24D02" w:rsidRPr="00EF2A33" w:rsidRDefault="009B4139" w:rsidP="00C05C02">
            <w:pPr>
              <w:jc w:val="left"/>
              <w:rPr>
                <w:sz w:val="22"/>
                <w:szCs w:val="22"/>
              </w:rPr>
            </w:pPr>
            <w:r w:rsidRPr="00EF2A33">
              <w:rPr>
                <w:sz w:val="22"/>
                <w:szCs w:val="22"/>
              </w:rPr>
              <w:t>Proportion of independent directors on the board.</w:t>
            </w:r>
          </w:p>
        </w:tc>
        <w:tc>
          <w:tcPr>
            <w:tcW w:w="1134" w:type="dxa"/>
            <w:vAlign w:val="center"/>
          </w:tcPr>
          <w:p w14:paraId="490D810F" w14:textId="472F8B3B" w:rsidR="00F24D02" w:rsidRPr="00EF2A33" w:rsidRDefault="00F24D02" w:rsidP="00C05C02">
            <w:pPr>
              <w:jc w:val="center"/>
              <w:rPr>
                <w:sz w:val="22"/>
                <w:szCs w:val="22"/>
              </w:rPr>
            </w:pPr>
            <w:r w:rsidRPr="00EF2A33">
              <w:rPr>
                <w:sz w:val="22"/>
                <w:szCs w:val="22"/>
              </w:rPr>
              <w:t>+</w:t>
            </w:r>
          </w:p>
        </w:tc>
        <w:tc>
          <w:tcPr>
            <w:tcW w:w="1481" w:type="dxa"/>
          </w:tcPr>
          <w:p w14:paraId="261CEE93" w14:textId="297478C2" w:rsidR="00F24D02" w:rsidRPr="00EF2A33" w:rsidRDefault="00F24D02" w:rsidP="00C05C02">
            <w:pPr>
              <w:jc w:val="center"/>
              <w:rPr>
                <w:sz w:val="18"/>
                <w:szCs w:val="18"/>
              </w:rPr>
            </w:pPr>
            <w:r w:rsidRPr="00EF2A33">
              <w:rPr>
                <w:sz w:val="18"/>
                <w:szCs w:val="18"/>
                <w:lang w:val="en-GB"/>
              </w:rPr>
              <w:t>Bachiller (2015); Kaimal &amp; Uzma (2024</w:t>
            </w:r>
            <w:r w:rsidRPr="00EF2A33">
              <w:rPr>
                <w:sz w:val="18"/>
                <w:szCs w:val="18"/>
              </w:rPr>
              <w:t>)</w:t>
            </w:r>
          </w:p>
        </w:tc>
      </w:tr>
      <w:tr w:rsidR="00EF2A33" w:rsidRPr="00EF2A33" w14:paraId="394EF4AD" w14:textId="77777777" w:rsidTr="00C813E2">
        <w:trPr>
          <w:trHeight w:val="700"/>
        </w:trPr>
        <w:tc>
          <w:tcPr>
            <w:tcW w:w="1488" w:type="dxa"/>
          </w:tcPr>
          <w:p w14:paraId="7947F43C" w14:textId="77777777" w:rsidR="0039321E" w:rsidRPr="00EF2A33" w:rsidRDefault="0039321E" w:rsidP="00C05C02">
            <w:pPr>
              <w:widowControl w:val="0"/>
              <w:autoSpaceDE w:val="0"/>
              <w:autoSpaceDN w:val="0"/>
              <w:adjustRightInd w:val="0"/>
              <w:jc w:val="center"/>
            </w:pPr>
            <w:r w:rsidRPr="00EF2A33">
              <w:rPr>
                <w:lang w:val="en-GB" w:bidi="bn-BD"/>
              </w:rPr>
              <w:t>Board Gender Diversity</w:t>
            </w:r>
          </w:p>
        </w:tc>
        <w:tc>
          <w:tcPr>
            <w:tcW w:w="1561" w:type="dxa"/>
          </w:tcPr>
          <w:p w14:paraId="58719629" w14:textId="77777777" w:rsidR="0039321E" w:rsidRPr="00EF2A33" w:rsidRDefault="0039321E" w:rsidP="00C05C02">
            <w:pPr>
              <w:widowControl w:val="0"/>
              <w:autoSpaceDE w:val="0"/>
              <w:autoSpaceDN w:val="0"/>
              <w:adjustRightInd w:val="0"/>
              <w:jc w:val="center"/>
            </w:pPr>
            <w:r w:rsidRPr="00EF2A33">
              <w:t>GENDER</w:t>
            </w:r>
          </w:p>
        </w:tc>
        <w:tc>
          <w:tcPr>
            <w:tcW w:w="4714" w:type="dxa"/>
            <w:vAlign w:val="center"/>
          </w:tcPr>
          <w:p w14:paraId="189A802F" w14:textId="16EA6B1B" w:rsidR="0039321E" w:rsidRPr="00EF2A33" w:rsidRDefault="009B4139" w:rsidP="00C05C02">
            <w:pPr>
              <w:jc w:val="left"/>
              <w:rPr>
                <w:sz w:val="22"/>
                <w:szCs w:val="22"/>
              </w:rPr>
            </w:pPr>
            <w:r w:rsidRPr="00EF2A33">
              <w:rPr>
                <w:lang w:val="en-GB"/>
              </w:rPr>
              <w:t>Proportion of independent directors on the board.</w:t>
            </w:r>
          </w:p>
        </w:tc>
        <w:tc>
          <w:tcPr>
            <w:tcW w:w="1134" w:type="dxa"/>
            <w:vAlign w:val="center"/>
          </w:tcPr>
          <w:p w14:paraId="7A344404" w14:textId="14D4CF8E" w:rsidR="0039321E" w:rsidRPr="00EF2A33" w:rsidRDefault="0039321E" w:rsidP="00C05C02">
            <w:pPr>
              <w:jc w:val="center"/>
              <w:rPr>
                <w:sz w:val="22"/>
                <w:szCs w:val="22"/>
              </w:rPr>
            </w:pPr>
            <w:r w:rsidRPr="00EF2A33">
              <w:rPr>
                <w:sz w:val="22"/>
                <w:szCs w:val="22"/>
              </w:rPr>
              <w:t>+</w:t>
            </w:r>
          </w:p>
        </w:tc>
        <w:tc>
          <w:tcPr>
            <w:tcW w:w="1481" w:type="dxa"/>
          </w:tcPr>
          <w:p w14:paraId="7B764610" w14:textId="341BCA61" w:rsidR="0039321E" w:rsidRPr="00EF2A33" w:rsidRDefault="0039321E" w:rsidP="00A02291">
            <w:pPr>
              <w:jc w:val="center"/>
              <w:rPr>
                <w:sz w:val="18"/>
                <w:szCs w:val="18"/>
                <w:lang w:val="en-GB"/>
              </w:rPr>
            </w:pPr>
            <w:r w:rsidRPr="00EF2A33">
              <w:rPr>
                <w:sz w:val="18"/>
                <w:szCs w:val="18"/>
                <w:lang w:val="en-GB"/>
              </w:rPr>
              <w:t>Kaimal &amp; Uzma (2024</w:t>
            </w:r>
            <w:r w:rsidRPr="00EF2A33">
              <w:rPr>
                <w:sz w:val="18"/>
                <w:szCs w:val="18"/>
              </w:rPr>
              <w:t xml:space="preserve">); </w:t>
            </w:r>
            <w:r w:rsidRPr="00EF2A33">
              <w:rPr>
                <w:sz w:val="18"/>
                <w:szCs w:val="18"/>
                <w:lang w:val="en-GB"/>
              </w:rPr>
              <w:t>Xing &amp; Sila (2021)</w:t>
            </w:r>
          </w:p>
          <w:p w14:paraId="42224F74" w14:textId="5FED3005" w:rsidR="0039321E" w:rsidRPr="00EF2A33" w:rsidRDefault="0039321E" w:rsidP="00C05C02">
            <w:pPr>
              <w:jc w:val="center"/>
              <w:rPr>
                <w:sz w:val="18"/>
                <w:szCs w:val="18"/>
              </w:rPr>
            </w:pPr>
          </w:p>
        </w:tc>
      </w:tr>
      <w:tr w:rsidR="00EF2A33" w:rsidRPr="00EF2A33" w14:paraId="1D445A80" w14:textId="77777777" w:rsidTr="00C813E2">
        <w:trPr>
          <w:trHeight w:val="700"/>
        </w:trPr>
        <w:tc>
          <w:tcPr>
            <w:tcW w:w="1488" w:type="dxa"/>
          </w:tcPr>
          <w:p w14:paraId="250D5B07" w14:textId="6094A5F8" w:rsidR="0039321E" w:rsidRPr="00EF2A33" w:rsidRDefault="0039321E" w:rsidP="00C05C02">
            <w:pPr>
              <w:jc w:val="center"/>
              <w:rPr>
                <w:lang w:val="en-GB"/>
              </w:rPr>
            </w:pPr>
            <w:r w:rsidRPr="00EF2A33">
              <w:rPr>
                <w:lang w:val="en-GB" w:bidi="bn-BD"/>
              </w:rPr>
              <w:t xml:space="preserve">Board </w:t>
            </w:r>
            <w:r w:rsidRPr="00EF2A33">
              <w:rPr>
                <w:lang w:val="en-GB"/>
              </w:rPr>
              <w:t>expertise</w:t>
            </w:r>
          </w:p>
        </w:tc>
        <w:tc>
          <w:tcPr>
            <w:tcW w:w="1561" w:type="dxa"/>
          </w:tcPr>
          <w:p w14:paraId="0C69EEA4" w14:textId="77777777" w:rsidR="0039321E" w:rsidRPr="00EF2A33" w:rsidRDefault="0039321E" w:rsidP="00C05C02">
            <w:pPr>
              <w:widowControl w:val="0"/>
              <w:autoSpaceDE w:val="0"/>
              <w:autoSpaceDN w:val="0"/>
              <w:adjustRightInd w:val="0"/>
              <w:jc w:val="center"/>
            </w:pPr>
            <w:r w:rsidRPr="00EF2A33">
              <w:t>MEETING</w:t>
            </w:r>
          </w:p>
        </w:tc>
        <w:tc>
          <w:tcPr>
            <w:tcW w:w="4714" w:type="dxa"/>
            <w:vAlign w:val="center"/>
          </w:tcPr>
          <w:p w14:paraId="56F4CDE9" w14:textId="74B8A99A" w:rsidR="0039321E" w:rsidRPr="00EF2A33" w:rsidRDefault="0039321E" w:rsidP="00C05C02">
            <w:pPr>
              <w:jc w:val="left"/>
              <w:rPr>
                <w:sz w:val="22"/>
                <w:szCs w:val="22"/>
              </w:rPr>
            </w:pPr>
            <w:r w:rsidRPr="00EF2A33">
              <w:rPr>
                <w:lang w:val="en-GB"/>
              </w:rPr>
              <w:t xml:space="preserve">Natural log of </w:t>
            </w:r>
            <w:r w:rsidR="00287C0E" w:rsidRPr="00EF2A33">
              <w:rPr>
                <w:lang w:val="en-GB"/>
              </w:rPr>
              <w:t xml:space="preserve">the </w:t>
            </w:r>
            <w:r w:rsidR="009B4139" w:rsidRPr="00EF2A33">
              <w:rPr>
                <w:lang w:val="en-GB"/>
              </w:rPr>
              <w:t>frequency of board meetings as an indicator of board activity.</w:t>
            </w:r>
          </w:p>
        </w:tc>
        <w:tc>
          <w:tcPr>
            <w:tcW w:w="1134" w:type="dxa"/>
            <w:vAlign w:val="center"/>
          </w:tcPr>
          <w:p w14:paraId="088C56AA" w14:textId="2E08C0CD" w:rsidR="0039321E" w:rsidRPr="00EF2A33" w:rsidRDefault="0039321E" w:rsidP="00C05C02">
            <w:pPr>
              <w:jc w:val="center"/>
              <w:rPr>
                <w:sz w:val="22"/>
                <w:szCs w:val="22"/>
              </w:rPr>
            </w:pPr>
            <w:r w:rsidRPr="00EF2A33">
              <w:rPr>
                <w:sz w:val="22"/>
                <w:szCs w:val="22"/>
              </w:rPr>
              <w:t>+</w:t>
            </w:r>
          </w:p>
        </w:tc>
        <w:tc>
          <w:tcPr>
            <w:tcW w:w="1481" w:type="dxa"/>
          </w:tcPr>
          <w:p w14:paraId="0AE56445" w14:textId="59F92DAD" w:rsidR="0039321E" w:rsidRPr="00EF2A33" w:rsidRDefault="005D5D66" w:rsidP="00C05C02">
            <w:pPr>
              <w:jc w:val="center"/>
              <w:rPr>
                <w:sz w:val="18"/>
                <w:szCs w:val="18"/>
              </w:rPr>
            </w:pPr>
            <w:r w:rsidRPr="00EF2A33">
              <w:rPr>
                <w:sz w:val="18"/>
                <w:szCs w:val="18"/>
              </w:rPr>
              <w:t xml:space="preserve">Karim et al., (2021); </w:t>
            </w:r>
            <w:r w:rsidR="0039321E" w:rsidRPr="00EF2A33">
              <w:rPr>
                <w:sz w:val="18"/>
                <w:szCs w:val="18"/>
                <w:lang w:val="en-GB"/>
              </w:rPr>
              <w:t>Saha and Khan (2024a)</w:t>
            </w:r>
          </w:p>
        </w:tc>
      </w:tr>
      <w:tr w:rsidR="00EF2A33" w:rsidRPr="00EF2A33" w14:paraId="0027AB7C" w14:textId="77777777" w:rsidTr="00C813E2">
        <w:trPr>
          <w:trHeight w:val="700"/>
        </w:trPr>
        <w:tc>
          <w:tcPr>
            <w:tcW w:w="1488" w:type="dxa"/>
          </w:tcPr>
          <w:p w14:paraId="62509326" w14:textId="77777777" w:rsidR="0039321E" w:rsidRPr="00EF2A33" w:rsidRDefault="0039321E" w:rsidP="00C05C02">
            <w:pPr>
              <w:widowControl w:val="0"/>
              <w:autoSpaceDE w:val="0"/>
              <w:autoSpaceDN w:val="0"/>
              <w:adjustRightInd w:val="0"/>
              <w:jc w:val="center"/>
            </w:pPr>
            <w:r w:rsidRPr="00EF2A33">
              <w:t xml:space="preserve">Family </w:t>
            </w:r>
            <w:r w:rsidRPr="00EF2A33">
              <w:rPr>
                <w:sz w:val="22"/>
                <w:szCs w:val="22"/>
              </w:rPr>
              <w:t>Control</w:t>
            </w:r>
          </w:p>
        </w:tc>
        <w:tc>
          <w:tcPr>
            <w:tcW w:w="1561" w:type="dxa"/>
          </w:tcPr>
          <w:p w14:paraId="482A10EA" w14:textId="77777777" w:rsidR="0039321E" w:rsidRPr="00EF2A33" w:rsidRDefault="0039321E" w:rsidP="00C05C02">
            <w:pPr>
              <w:widowControl w:val="0"/>
              <w:autoSpaceDE w:val="0"/>
              <w:autoSpaceDN w:val="0"/>
              <w:adjustRightInd w:val="0"/>
              <w:jc w:val="center"/>
            </w:pPr>
            <w:r w:rsidRPr="00EF2A33">
              <w:t>FAMILY</w:t>
            </w:r>
          </w:p>
        </w:tc>
        <w:tc>
          <w:tcPr>
            <w:tcW w:w="4714" w:type="dxa"/>
            <w:vAlign w:val="center"/>
          </w:tcPr>
          <w:p w14:paraId="10D7C15E" w14:textId="2195D3C3" w:rsidR="0039321E" w:rsidRPr="00EF2A33" w:rsidRDefault="001F22FC" w:rsidP="00C05C02">
            <w:pPr>
              <w:jc w:val="left"/>
              <w:rPr>
                <w:sz w:val="22"/>
                <w:szCs w:val="22"/>
              </w:rPr>
            </w:pPr>
            <w:r w:rsidRPr="00EF2A33">
              <w:rPr>
                <w:lang w:val="en-GB"/>
              </w:rPr>
              <w:t>Proportion</w:t>
            </w:r>
            <w:r w:rsidR="0039321E" w:rsidRPr="00EF2A33">
              <w:rPr>
                <w:lang w:val="en-GB"/>
              </w:rPr>
              <w:t xml:space="preserve"> of </w:t>
            </w:r>
            <w:r w:rsidR="0039321E" w:rsidRPr="00EF2A33">
              <w:rPr>
                <w:sz w:val="22"/>
                <w:szCs w:val="22"/>
              </w:rPr>
              <w:t xml:space="preserve">family </w:t>
            </w:r>
            <w:r w:rsidR="001C0BFC" w:rsidRPr="00EF2A33">
              <w:rPr>
                <w:sz w:val="22"/>
                <w:szCs w:val="22"/>
              </w:rPr>
              <w:t>members</w:t>
            </w:r>
            <w:r w:rsidR="0039321E" w:rsidRPr="00EF2A33">
              <w:rPr>
                <w:sz w:val="22"/>
                <w:szCs w:val="22"/>
              </w:rPr>
              <w:t xml:space="preserve"> </w:t>
            </w:r>
            <w:r w:rsidR="0039321E" w:rsidRPr="00EF2A33">
              <w:rPr>
                <w:lang w:val="en-GB"/>
              </w:rPr>
              <w:t>on the board.</w:t>
            </w:r>
          </w:p>
        </w:tc>
        <w:tc>
          <w:tcPr>
            <w:tcW w:w="1134" w:type="dxa"/>
            <w:vAlign w:val="center"/>
          </w:tcPr>
          <w:p w14:paraId="4021FD41" w14:textId="10936342" w:rsidR="0039321E" w:rsidRPr="00EF2A33" w:rsidRDefault="0039321E" w:rsidP="00C05C02">
            <w:pPr>
              <w:jc w:val="center"/>
              <w:rPr>
                <w:sz w:val="22"/>
                <w:szCs w:val="22"/>
              </w:rPr>
            </w:pPr>
            <w:r w:rsidRPr="00EF2A33">
              <w:rPr>
                <w:sz w:val="22"/>
                <w:szCs w:val="22"/>
              </w:rPr>
              <w:t>+/-</w:t>
            </w:r>
          </w:p>
        </w:tc>
        <w:tc>
          <w:tcPr>
            <w:tcW w:w="1481" w:type="dxa"/>
          </w:tcPr>
          <w:p w14:paraId="72FD72BD" w14:textId="672FCE21" w:rsidR="0039321E" w:rsidRPr="00EF2A33" w:rsidRDefault="0039321E" w:rsidP="00423CA7">
            <w:pPr>
              <w:jc w:val="center"/>
              <w:rPr>
                <w:sz w:val="18"/>
                <w:szCs w:val="18"/>
              </w:rPr>
            </w:pPr>
            <w:r w:rsidRPr="00EF2A33">
              <w:rPr>
                <w:sz w:val="18"/>
                <w:szCs w:val="18"/>
                <w:lang w:val="en-GB"/>
              </w:rPr>
              <w:t>Bachiller (2015); Kaimal &amp; Uzma (2024</w:t>
            </w:r>
            <w:r w:rsidRPr="00EF2A33">
              <w:rPr>
                <w:sz w:val="18"/>
                <w:szCs w:val="18"/>
              </w:rPr>
              <w:t>)</w:t>
            </w:r>
          </w:p>
        </w:tc>
      </w:tr>
      <w:tr w:rsidR="00EF2A33" w:rsidRPr="00EF2A33" w14:paraId="340E6FD8" w14:textId="77777777" w:rsidTr="00C813E2">
        <w:trPr>
          <w:trHeight w:val="700"/>
        </w:trPr>
        <w:tc>
          <w:tcPr>
            <w:tcW w:w="1488" w:type="dxa"/>
          </w:tcPr>
          <w:p w14:paraId="0CEA5A0A" w14:textId="77777777" w:rsidR="0039321E" w:rsidRPr="00EF2A33" w:rsidRDefault="0039321E" w:rsidP="00C05C02">
            <w:pPr>
              <w:widowControl w:val="0"/>
              <w:autoSpaceDE w:val="0"/>
              <w:autoSpaceDN w:val="0"/>
              <w:adjustRightInd w:val="0"/>
              <w:jc w:val="center"/>
            </w:pPr>
            <w:r w:rsidRPr="00EF2A33">
              <w:t>Education</w:t>
            </w:r>
          </w:p>
        </w:tc>
        <w:tc>
          <w:tcPr>
            <w:tcW w:w="1561" w:type="dxa"/>
          </w:tcPr>
          <w:p w14:paraId="158CE8A2" w14:textId="77777777" w:rsidR="0039321E" w:rsidRPr="00EF2A33" w:rsidRDefault="0039321E" w:rsidP="00C05C02">
            <w:pPr>
              <w:widowControl w:val="0"/>
              <w:autoSpaceDE w:val="0"/>
              <w:autoSpaceDN w:val="0"/>
              <w:adjustRightInd w:val="0"/>
              <w:jc w:val="center"/>
            </w:pPr>
            <w:r w:rsidRPr="00EF2A33">
              <w:t>EDU</w:t>
            </w:r>
          </w:p>
        </w:tc>
        <w:tc>
          <w:tcPr>
            <w:tcW w:w="4714" w:type="dxa"/>
            <w:vAlign w:val="center"/>
          </w:tcPr>
          <w:p w14:paraId="59C55D24" w14:textId="5F73FA91" w:rsidR="0039321E" w:rsidRPr="00EF2A33" w:rsidRDefault="0055218B" w:rsidP="00C05C02">
            <w:pPr>
              <w:jc w:val="left"/>
              <w:rPr>
                <w:lang w:val="en-GB"/>
              </w:rPr>
            </w:pPr>
            <w:r w:rsidRPr="00EF2A33">
              <w:rPr>
                <w:lang w:val="en-GB"/>
              </w:rPr>
              <w:t>Average e</w:t>
            </w:r>
            <w:r w:rsidR="0039321E" w:rsidRPr="00EF2A33">
              <w:rPr>
                <w:lang w:val="en-GB"/>
              </w:rPr>
              <w:t>ducational qualification score</w:t>
            </w:r>
            <w:r w:rsidRPr="00EF2A33">
              <w:rPr>
                <w:lang w:val="en-GB"/>
              </w:rPr>
              <w:t xml:space="preserve"> of directors, where scores are allocated as below.</w:t>
            </w:r>
            <w:r w:rsidR="0039321E" w:rsidRPr="00EF2A33">
              <w:rPr>
                <w:lang w:val="en-GB"/>
              </w:rPr>
              <w:t xml:space="preserve"> </w:t>
            </w:r>
          </w:p>
          <w:p w14:paraId="039317EB" w14:textId="21DE56D7" w:rsidR="0039321E" w:rsidRPr="00EF2A33" w:rsidRDefault="0055218B" w:rsidP="00C05C02">
            <w:pPr>
              <w:jc w:val="left"/>
              <w:rPr>
                <w:lang w:val="en-GB"/>
              </w:rPr>
            </w:pPr>
            <w:r w:rsidRPr="00EF2A33">
              <w:rPr>
                <w:lang w:val="en-GB"/>
              </w:rPr>
              <w:t>1= highest</w:t>
            </w:r>
            <w:r w:rsidR="0039321E" w:rsidRPr="00EF2A33">
              <w:rPr>
                <w:lang w:val="en-GB"/>
              </w:rPr>
              <w:t xml:space="preserve"> </w:t>
            </w:r>
            <w:r w:rsidRPr="00EF2A33">
              <w:rPr>
                <w:lang w:val="en-GB"/>
              </w:rPr>
              <w:t xml:space="preserve">undergraduate </w:t>
            </w:r>
            <w:r w:rsidR="0039321E" w:rsidRPr="00EF2A33">
              <w:rPr>
                <w:lang w:val="en-GB"/>
              </w:rPr>
              <w:t>degree</w:t>
            </w:r>
            <w:r w:rsidRPr="00EF2A33">
              <w:rPr>
                <w:lang w:val="en-GB"/>
              </w:rPr>
              <w:t xml:space="preserve"> by individual directors.</w:t>
            </w:r>
            <w:r w:rsidR="0039321E" w:rsidRPr="00EF2A33">
              <w:rPr>
                <w:lang w:val="en-GB"/>
              </w:rPr>
              <w:t xml:space="preserve">1 for each </w:t>
            </w:r>
            <w:r w:rsidRPr="00EF2A33">
              <w:rPr>
                <w:lang w:val="en-GB"/>
              </w:rPr>
              <w:t xml:space="preserve">undergraduate </w:t>
            </w:r>
            <w:r w:rsidR="0039321E" w:rsidRPr="00EF2A33">
              <w:rPr>
                <w:lang w:val="en-GB"/>
              </w:rPr>
              <w:t>degree holder.</w:t>
            </w:r>
          </w:p>
          <w:p w14:paraId="44448734" w14:textId="07C63088" w:rsidR="0055218B" w:rsidRPr="00EF2A33" w:rsidRDefault="0055218B" w:rsidP="0055218B">
            <w:pPr>
              <w:jc w:val="left"/>
              <w:rPr>
                <w:lang w:val="en-GB"/>
              </w:rPr>
            </w:pPr>
            <w:r w:rsidRPr="00EF2A33">
              <w:rPr>
                <w:lang w:val="en-GB"/>
              </w:rPr>
              <w:t>2= highest master's or postgraduate degree by individual directors. 2 for each master's degree holder.</w:t>
            </w:r>
          </w:p>
          <w:p w14:paraId="5A0EAE11" w14:textId="3748148E" w:rsidR="0055218B" w:rsidRPr="00EF2A33" w:rsidRDefault="0055218B" w:rsidP="0055218B">
            <w:pPr>
              <w:jc w:val="left"/>
              <w:rPr>
                <w:lang w:val="en-GB"/>
              </w:rPr>
            </w:pPr>
            <w:r w:rsidRPr="00EF2A33">
              <w:rPr>
                <w:lang w:val="en-GB"/>
              </w:rPr>
              <w:t xml:space="preserve">3= highest foreign master's or postgraduate degree by individual directors. </w:t>
            </w:r>
            <w:r w:rsidR="0001355F" w:rsidRPr="00EF2A33">
              <w:rPr>
                <w:lang w:val="en-GB"/>
              </w:rPr>
              <w:t>3</w:t>
            </w:r>
            <w:r w:rsidRPr="00EF2A33">
              <w:rPr>
                <w:lang w:val="en-GB"/>
              </w:rPr>
              <w:t xml:space="preserve"> for each </w:t>
            </w:r>
            <w:r w:rsidR="0001355F" w:rsidRPr="00EF2A33">
              <w:rPr>
                <w:lang w:val="en-GB"/>
              </w:rPr>
              <w:t>of such qualified directors.</w:t>
            </w:r>
          </w:p>
          <w:p w14:paraId="6CCFA63B" w14:textId="5EE051E0" w:rsidR="0001355F" w:rsidRPr="00EF2A33" w:rsidRDefault="0001355F" w:rsidP="00C05C02">
            <w:pPr>
              <w:jc w:val="left"/>
              <w:rPr>
                <w:lang w:val="en-GB"/>
              </w:rPr>
            </w:pPr>
            <w:r w:rsidRPr="00EF2A33">
              <w:rPr>
                <w:lang w:val="en-GB"/>
              </w:rPr>
              <w:t xml:space="preserve">4= highest </w:t>
            </w:r>
            <w:proofErr w:type="spellStart"/>
            <w:r w:rsidRPr="00EF2A33">
              <w:rPr>
                <w:lang w:val="en-GB"/>
              </w:rPr>
              <w:t>Phd</w:t>
            </w:r>
            <w:proofErr w:type="spellEnd"/>
            <w:r w:rsidRPr="00EF2A33">
              <w:rPr>
                <w:lang w:val="en-GB"/>
              </w:rPr>
              <w:t xml:space="preserve"> degree by individual directors. 4 for each of </w:t>
            </w:r>
            <w:proofErr w:type="spellStart"/>
            <w:r w:rsidRPr="00EF2A33">
              <w:rPr>
                <w:lang w:val="en-GB"/>
              </w:rPr>
              <w:t>Phd</w:t>
            </w:r>
            <w:proofErr w:type="spellEnd"/>
            <w:r w:rsidRPr="00EF2A33">
              <w:rPr>
                <w:lang w:val="en-GB"/>
              </w:rPr>
              <w:t xml:space="preserve"> holder directors.</w:t>
            </w:r>
          </w:p>
          <w:p w14:paraId="773717EF" w14:textId="4D2986B3" w:rsidR="0039321E" w:rsidRPr="00EF2A33" w:rsidRDefault="0001355F" w:rsidP="0001355F">
            <w:pPr>
              <w:jc w:val="left"/>
              <w:rPr>
                <w:lang w:val="en-GB"/>
              </w:rPr>
            </w:pPr>
            <w:r w:rsidRPr="00EF2A33">
              <w:rPr>
                <w:lang w:val="en-GB"/>
              </w:rPr>
              <w:t xml:space="preserve">4= Professional Accounting Degree by individual directors. </w:t>
            </w:r>
            <w:r w:rsidR="0039321E" w:rsidRPr="00EF2A33">
              <w:rPr>
                <w:lang w:val="en-GB"/>
              </w:rPr>
              <w:t xml:space="preserve">Professional </w:t>
            </w:r>
            <w:r w:rsidRPr="00EF2A33">
              <w:rPr>
                <w:lang w:val="en-GB"/>
              </w:rPr>
              <w:t>a</w:t>
            </w:r>
            <w:r w:rsidR="0039321E" w:rsidRPr="00EF2A33">
              <w:rPr>
                <w:lang w:val="en-GB"/>
              </w:rPr>
              <w:t xml:space="preserve">ccounting </w:t>
            </w:r>
            <w:r w:rsidRPr="00EF2A33">
              <w:rPr>
                <w:lang w:val="en-GB"/>
              </w:rPr>
              <w:t>d</w:t>
            </w:r>
            <w:r w:rsidR="0039321E" w:rsidRPr="00EF2A33">
              <w:rPr>
                <w:lang w:val="en-GB"/>
              </w:rPr>
              <w:t xml:space="preserve">egree refers </w:t>
            </w:r>
            <w:r w:rsidRPr="00EF2A33">
              <w:rPr>
                <w:lang w:val="en-GB"/>
              </w:rPr>
              <w:t>to</w:t>
            </w:r>
            <w:r w:rsidR="0039321E" w:rsidRPr="00EF2A33">
              <w:rPr>
                <w:lang w:val="en-GB"/>
              </w:rPr>
              <w:t xml:space="preserve"> CA or CMA or ACCA or CIMA degree and is calculated on 4 for each professional.</w:t>
            </w:r>
          </w:p>
        </w:tc>
        <w:tc>
          <w:tcPr>
            <w:tcW w:w="1134" w:type="dxa"/>
            <w:vAlign w:val="center"/>
          </w:tcPr>
          <w:p w14:paraId="179E15C7" w14:textId="7E0B441E" w:rsidR="0039321E" w:rsidRPr="00EF2A33" w:rsidRDefault="0039321E" w:rsidP="00C05C02">
            <w:pPr>
              <w:jc w:val="center"/>
              <w:rPr>
                <w:sz w:val="22"/>
                <w:szCs w:val="22"/>
              </w:rPr>
            </w:pPr>
            <w:r w:rsidRPr="00EF2A33">
              <w:rPr>
                <w:sz w:val="22"/>
                <w:szCs w:val="22"/>
              </w:rPr>
              <w:t>+</w:t>
            </w:r>
          </w:p>
        </w:tc>
        <w:tc>
          <w:tcPr>
            <w:tcW w:w="1481" w:type="dxa"/>
          </w:tcPr>
          <w:p w14:paraId="02FCA3B2" w14:textId="77777777" w:rsidR="0039321E" w:rsidRPr="00EF2A33" w:rsidRDefault="0039321E" w:rsidP="00951070">
            <w:pPr>
              <w:jc w:val="center"/>
              <w:rPr>
                <w:sz w:val="18"/>
                <w:szCs w:val="18"/>
                <w:lang w:val="en-GB"/>
              </w:rPr>
            </w:pPr>
            <w:r w:rsidRPr="00EF2A33">
              <w:rPr>
                <w:sz w:val="18"/>
                <w:szCs w:val="18"/>
                <w:lang w:val="en-GB"/>
              </w:rPr>
              <w:t>Fernández-Temprano &amp; Tejerina-</w:t>
            </w:r>
            <w:proofErr w:type="spellStart"/>
            <w:r w:rsidRPr="00EF2A33">
              <w:rPr>
                <w:sz w:val="18"/>
                <w:szCs w:val="18"/>
                <w:lang w:val="en-GB"/>
              </w:rPr>
              <w:t>Gaite</w:t>
            </w:r>
            <w:proofErr w:type="spellEnd"/>
            <w:r w:rsidRPr="00EF2A33">
              <w:rPr>
                <w:sz w:val="18"/>
                <w:szCs w:val="18"/>
                <w:lang w:val="en-GB"/>
              </w:rPr>
              <w:t xml:space="preserve"> (2020)</w:t>
            </w:r>
          </w:p>
          <w:p w14:paraId="26B620A0" w14:textId="00297A07" w:rsidR="0039321E" w:rsidRPr="00EF2A33" w:rsidRDefault="0039321E" w:rsidP="00C05C02">
            <w:pPr>
              <w:jc w:val="center"/>
              <w:rPr>
                <w:sz w:val="18"/>
                <w:szCs w:val="18"/>
              </w:rPr>
            </w:pPr>
          </w:p>
        </w:tc>
      </w:tr>
      <w:tr w:rsidR="00EF2A33" w:rsidRPr="00EF2A33" w14:paraId="183E3C46" w14:textId="77777777" w:rsidTr="00C05C02">
        <w:trPr>
          <w:trHeight w:val="70"/>
        </w:trPr>
        <w:tc>
          <w:tcPr>
            <w:tcW w:w="8897" w:type="dxa"/>
            <w:gridSpan w:val="4"/>
            <w:vAlign w:val="center"/>
          </w:tcPr>
          <w:p w14:paraId="28E58384" w14:textId="77777777" w:rsidR="00A22E4A" w:rsidRPr="00EF2A33" w:rsidRDefault="00A22E4A" w:rsidP="00C05C02">
            <w:pPr>
              <w:jc w:val="left"/>
              <w:rPr>
                <w:b/>
                <w:bCs/>
                <w:sz w:val="22"/>
                <w:szCs w:val="22"/>
              </w:rPr>
            </w:pPr>
            <w:r w:rsidRPr="00EF2A33">
              <w:rPr>
                <w:b/>
                <w:bCs/>
                <w:sz w:val="22"/>
                <w:szCs w:val="22"/>
              </w:rPr>
              <w:t>Control Variable</w:t>
            </w:r>
          </w:p>
        </w:tc>
        <w:tc>
          <w:tcPr>
            <w:tcW w:w="1481" w:type="dxa"/>
          </w:tcPr>
          <w:p w14:paraId="07F334D3" w14:textId="77777777" w:rsidR="00A22E4A" w:rsidRPr="00EF2A33" w:rsidRDefault="00A22E4A" w:rsidP="00C05C02">
            <w:pPr>
              <w:jc w:val="left"/>
              <w:rPr>
                <w:b/>
                <w:bCs/>
                <w:sz w:val="18"/>
                <w:szCs w:val="18"/>
              </w:rPr>
            </w:pPr>
          </w:p>
        </w:tc>
      </w:tr>
      <w:tr w:rsidR="00EF2A33" w:rsidRPr="00EF2A33" w14:paraId="6DABAE22" w14:textId="77777777" w:rsidTr="00C05C02">
        <w:trPr>
          <w:trHeight w:val="359"/>
        </w:trPr>
        <w:tc>
          <w:tcPr>
            <w:tcW w:w="1488" w:type="dxa"/>
            <w:vAlign w:val="center"/>
          </w:tcPr>
          <w:p w14:paraId="269B170F" w14:textId="77777777" w:rsidR="00A22E4A" w:rsidRPr="00EF2A33" w:rsidRDefault="00A22E4A" w:rsidP="00C05C02">
            <w:pPr>
              <w:jc w:val="left"/>
              <w:rPr>
                <w:sz w:val="22"/>
                <w:szCs w:val="22"/>
              </w:rPr>
            </w:pPr>
            <w:r w:rsidRPr="00EF2A33">
              <w:rPr>
                <w:sz w:val="22"/>
                <w:szCs w:val="22"/>
              </w:rPr>
              <w:t>Total Assets</w:t>
            </w:r>
          </w:p>
        </w:tc>
        <w:tc>
          <w:tcPr>
            <w:tcW w:w="1561" w:type="dxa"/>
            <w:vAlign w:val="center"/>
          </w:tcPr>
          <w:p w14:paraId="26D054D2" w14:textId="77777777" w:rsidR="00A22E4A" w:rsidRPr="00EF2A33" w:rsidRDefault="00A22E4A" w:rsidP="00C05C02">
            <w:pPr>
              <w:jc w:val="center"/>
              <w:rPr>
                <w:sz w:val="22"/>
                <w:szCs w:val="22"/>
              </w:rPr>
            </w:pPr>
            <w:r w:rsidRPr="00EF2A33">
              <w:rPr>
                <w:sz w:val="22"/>
                <w:szCs w:val="22"/>
              </w:rPr>
              <w:t>TA</w:t>
            </w:r>
          </w:p>
        </w:tc>
        <w:tc>
          <w:tcPr>
            <w:tcW w:w="4714" w:type="dxa"/>
            <w:vAlign w:val="center"/>
          </w:tcPr>
          <w:p w14:paraId="2152C2E0" w14:textId="77777777" w:rsidR="00A22E4A" w:rsidRPr="00EF2A33" w:rsidRDefault="00A22E4A" w:rsidP="00C05C02">
            <w:pPr>
              <w:jc w:val="left"/>
              <w:rPr>
                <w:sz w:val="22"/>
                <w:szCs w:val="22"/>
              </w:rPr>
            </w:pPr>
            <w:r w:rsidRPr="00EF2A33">
              <w:rPr>
                <w:sz w:val="22"/>
                <w:szCs w:val="22"/>
              </w:rPr>
              <w:t>Natural logarithm of total assets of the firm.</w:t>
            </w:r>
          </w:p>
        </w:tc>
        <w:tc>
          <w:tcPr>
            <w:tcW w:w="1134" w:type="dxa"/>
          </w:tcPr>
          <w:p w14:paraId="7F0AC2E5" w14:textId="273D44BE" w:rsidR="00A22E4A" w:rsidRPr="00EF2A33" w:rsidRDefault="00F24D02" w:rsidP="00C05C02">
            <w:pPr>
              <w:jc w:val="center"/>
              <w:rPr>
                <w:sz w:val="22"/>
                <w:szCs w:val="22"/>
              </w:rPr>
            </w:pPr>
            <w:r w:rsidRPr="00EF2A33">
              <w:rPr>
                <w:sz w:val="22"/>
                <w:szCs w:val="22"/>
              </w:rPr>
              <w:t>+</w:t>
            </w:r>
          </w:p>
        </w:tc>
        <w:tc>
          <w:tcPr>
            <w:tcW w:w="1481" w:type="dxa"/>
          </w:tcPr>
          <w:p w14:paraId="5AE3BBE2" w14:textId="3D91C958" w:rsidR="00A22E4A" w:rsidRPr="00EF2A33" w:rsidRDefault="00030393" w:rsidP="00C05C02">
            <w:pPr>
              <w:jc w:val="center"/>
              <w:rPr>
                <w:sz w:val="18"/>
                <w:szCs w:val="18"/>
              </w:rPr>
            </w:pPr>
            <w:r w:rsidRPr="00EF2A33">
              <w:rPr>
                <w:sz w:val="18"/>
                <w:szCs w:val="18"/>
              </w:rPr>
              <w:t xml:space="preserve">Rashid (2018); </w:t>
            </w:r>
            <w:proofErr w:type="spellStart"/>
            <w:r w:rsidR="00CE2C6B" w:rsidRPr="00EF2A33">
              <w:rPr>
                <w:sz w:val="18"/>
                <w:szCs w:val="18"/>
                <w:lang w:val="en-GB"/>
              </w:rPr>
              <w:t>Boshnak</w:t>
            </w:r>
            <w:proofErr w:type="spellEnd"/>
            <w:r w:rsidR="00CE2C6B" w:rsidRPr="00EF2A33">
              <w:rPr>
                <w:sz w:val="18"/>
                <w:szCs w:val="18"/>
                <w:lang w:val="en-GB"/>
              </w:rPr>
              <w:t>, (2023)</w:t>
            </w:r>
          </w:p>
        </w:tc>
      </w:tr>
      <w:tr w:rsidR="00EF2A33" w:rsidRPr="00EF2A33" w14:paraId="0F434966" w14:textId="77777777" w:rsidTr="00C05C02">
        <w:trPr>
          <w:trHeight w:val="359"/>
        </w:trPr>
        <w:tc>
          <w:tcPr>
            <w:tcW w:w="1488" w:type="dxa"/>
            <w:tcBorders>
              <w:bottom w:val="single" w:sz="4" w:space="0" w:color="auto"/>
            </w:tcBorders>
          </w:tcPr>
          <w:p w14:paraId="0F8AEE2A" w14:textId="77777777" w:rsidR="00A22E4A" w:rsidRPr="00EF2A33" w:rsidRDefault="00A22E4A" w:rsidP="00C05C02">
            <w:pPr>
              <w:jc w:val="left"/>
              <w:rPr>
                <w:lang w:val="en-GB"/>
              </w:rPr>
            </w:pPr>
            <w:r w:rsidRPr="00EF2A33">
              <w:rPr>
                <w:lang w:val="en-GB"/>
              </w:rPr>
              <w:t>Industry</w:t>
            </w:r>
          </w:p>
        </w:tc>
        <w:tc>
          <w:tcPr>
            <w:tcW w:w="1561" w:type="dxa"/>
            <w:tcBorders>
              <w:bottom w:val="single" w:sz="4" w:space="0" w:color="auto"/>
            </w:tcBorders>
          </w:tcPr>
          <w:p w14:paraId="5FDF897D" w14:textId="77777777" w:rsidR="00A22E4A" w:rsidRPr="00EF2A33" w:rsidRDefault="00A22E4A" w:rsidP="00C05C02">
            <w:pPr>
              <w:jc w:val="center"/>
              <w:rPr>
                <w:lang w:val="en-GB"/>
              </w:rPr>
            </w:pPr>
            <w:r w:rsidRPr="00EF2A33">
              <w:rPr>
                <w:lang w:val="en-GB"/>
              </w:rPr>
              <w:t>INDUS</w:t>
            </w:r>
          </w:p>
        </w:tc>
        <w:tc>
          <w:tcPr>
            <w:tcW w:w="4714" w:type="dxa"/>
            <w:tcBorders>
              <w:bottom w:val="single" w:sz="4" w:space="0" w:color="auto"/>
            </w:tcBorders>
          </w:tcPr>
          <w:p w14:paraId="1DAA5E26" w14:textId="77777777" w:rsidR="00A22E4A" w:rsidRPr="00EF2A33" w:rsidRDefault="00A22E4A" w:rsidP="00C05C02">
            <w:pPr>
              <w:jc w:val="left"/>
              <w:rPr>
                <w:lang w:val="en-GB"/>
              </w:rPr>
            </w:pPr>
            <w:r w:rsidRPr="00EF2A33">
              <w:rPr>
                <w:lang w:val="en-GB"/>
              </w:rPr>
              <w:t>Industry belongingness. Dummy variable.</w:t>
            </w:r>
          </w:p>
        </w:tc>
        <w:tc>
          <w:tcPr>
            <w:tcW w:w="1134" w:type="dxa"/>
            <w:tcBorders>
              <w:bottom w:val="single" w:sz="4" w:space="0" w:color="auto"/>
            </w:tcBorders>
          </w:tcPr>
          <w:p w14:paraId="2BEA9433" w14:textId="2A464684" w:rsidR="00A22E4A" w:rsidRPr="00EF2A33" w:rsidRDefault="00A22E4A" w:rsidP="00C05C02">
            <w:pPr>
              <w:jc w:val="center"/>
            </w:pPr>
          </w:p>
        </w:tc>
        <w:tc>
          <w:tcPr>
            <w:tcW w:w="1481" w:type="dxa"/>
            <w:tcBorders>
              <w:bottom w:val="single" w:sz="4" w:space="0" w:color="auto"/>
            </w:tcBorders>
          </w:tcPr>
          <w:p w14:paraId="61442B70" w14:textId="36C27478" w:rsidR="00A22E4A" w:rsidRPr="00EF2A33" w:rsidRDefault="003D3534" w:rsidP="00C05C02">
            <w:pPr>
              <w:jc w:val="center"/>
              <w:rPr>
                <w:sz w:val="18"/>
                <w:szCs w:val="18"/>
              </w:rPr>
            </w:pPr>
            <w:r w:rsidRPr="00EF2A33">
              <w:rPr>
                <w:sz w:val="18"/>
                <w:szCs w:val="18"/>
                <w:lang w:val="en-GB"/>
              </w:rPr>
              <w:t>Bachiller (2015)</w:t>
            </w:r>
            <w:r w:rsidR="003812E3" w:rsidRPr="00EF2A33">
              <w:rPr>
                <w:sz w:val="18"/>
                <w:szCs w:val="18"/>
                <w:lang w:val="en-GB"/>
              </w:rPr>
              <w:t xml:space="preserve">; </w:t>
            </w:r>
            <w:r w:rsidR="003812E3" w:rsidRPr="00EF2A33">
              <w:rPr>
                <w:sz w:val="18"/>
                <w:szCs w:val="18"/>
              </w:rPr>
              <w:t>Rashid (2018)</w:t>
            </w:r>
          </w:p>
        </w:tc>
      </w:tr>
      <w:tr w:rsidR="00EF2A33" w:rsidRPr="00EF2A33" w14:paraId="6947EEB8" w14:textId="77777777" w:rsidTr="00C05C02">
        <w:trPr>
          <w:trHeight w:val="359"/>
        </w:trPr>
        <w:tc>
          <w:tcPr>
            <w:tcW w:w="1488" w:type="dxa"/>
            <w:tcBorders>
              <w:bottom w:val="single" w:sz="4" w:space="0" w:color="auto"/>
            </w:tcBorders>
          </w:tcPr>
          <w:p w14:paraId="23637C23" w14:textId="77777777" w:rsidR="00A22E4A" w:rsidRPr="00EF2A33" w:rsidRDefault="00A22E4A" w:rsidP="00C05C02">
            <w:pPr>
              <w:jc w:val="left"/>
              <w:rPr>
                <w:lang w:val="en-GB"/>
              </w:rPr>
            </w:pPr>
            <w:r w:rsidRPr="00EF2A33">
              <w:rPr>
                <w:lang w:val="en-GB"/>
              </w:rPr>
              <w:t>Year</w:t>
            </w:r>
          </w:p>
        </w:tc>
        <w:tc>
          <w:tcPr>
            <w:tcW w:w="1561" w:type="dxa"/>
            <w:tcBorders>
              <w:bottom w:val="single" w:sz="4" w:space="0" w:color="auto"/>
            </w:tcBorders>
          </w:tcPr>
          <w:p w14:paraId="3A9E1964" w14:textId="77777777" w:rsidR="00A22E4A" w:rsidRPr="00EF2A33" w:rsidRDefault="00A22E4A" w:rsidP="00C05C02">
            <w:pPr>
              <w:jc w:val="center"/>
              <w:rPr>
                <w:lang w:val="en-GB"/>
              </w:rPr>
            </w:pPr>
            <w:r w:rsidRPr="00EF2A33">
              <w:rPr>
                <w:lang w:val="en-GB"/>
              </w:rPr>
              <w:t>YEAR</w:t>
            </w:r>
          </w:p>
        </w:tc>
        <w:tc>
          <w:tcPr>
            <w:tcW w:w="4714" w:type="dxa"/>
            <w:tcBorders>
              <w:bottom w:val="single" w:sz="4" w:space="0" w:color="auto"/>
            </w:tcBorders>
          </w:tcPr>
          <w:p w14:paraId="5E40E087" w14:textId="77777777" w:rsidR="00A22E4A" w:rsidRPr="00EF2A33" w:rsidRDefault="00A22E4A" w:rsidP="00C05C02">
            <w:pPr>
              <w:jc w:val="left"/>
              <w:rPr>
                <w:lang w:val="en-GB"/>
              </w:rPr>
            </w:pPr>
            <w:r w:rsidRPr="00EF2A33">
              <w:rPr>
                <w:lang w:val="en-GB"/>
              </w:rPr>
              <w:t>Sample year. Dummy variable.</w:t>
            </w:r>
          </w:p>
        </w:tc>
        <w:tc>
          <w:tcPr>
            <w:tcW w:w="1134" w:type="dxa"/>
            <w:tcBorders>
              <w:bottom w:val="single" w:sz="4" w:space="0" w:color="auto"/>
            </w:tcBorders>
          </w:tcPr>
          <w:p w14:paraId="79F274A7" w14:textId="650C0CCB" w:rsidR="00A22E4A" w:rsidRPr="00EF2A33" w:rsidRDefault="00A22E4A" w:rsidP="00C05C02">
            <w:pPr>
              <w:jc w:val="center"/>
            </w:pPr>
          </w:p>
        </w:tc>
        <w:tc>
          <w:tcPr>
            <w:tcW w:w="1481" w:type="dxa"/>
            <w:tcBorders>
              <w:bottom w:val="single" w:sz="4" w:space="0" w:color="auto"/>
            </w:tcBorders>
          </w:tcPr>
          <w:p w14:paraId="65723429" w14:textId="4C3F59D2" w:rsidR="00A22E4A" w:rsidRPr="00EF2A33" w:rsidRDefault="003812E3" w:rsidP="00C05C02">
            <w:pPr>
              <w:jc w:val="center"/>
              <w:rPr>
                <w:sz w:val="18"/>
                <w:szCs w:val="18"/>
              </w:rPr>
            </w:pPr>
            <w:r w:rsidRPr="00EF2A33">
              <w:rPr>
                <w:sz w:val="18"/>
                <w:szCs w:val="18"/>
              </w:rPr>
              <w:t xml:space="preserve">Rashid (2018); </w:t>
            </w:r>
            <w:r w:rsidR="00B71683" w:rsidRPr="00EF2A33">
              <w:rPr>
                <w:sz w:val="18"/>
                <w:szCs w:val="18"/>
                <w:lang w:val="en-GB"/>
              </w:rPr>
              <w:t>Saha and Khan (2024a)</w:t>
            </w:r>
          </w:p>
        </w:tc>
      </w:tr>
      <w:tr w:rsidR="00A22E4A" w:rsidRPr="00EF2A33" w14:paraId="371CBE15" w14:textId="77777777" w:rsidTr="00C05C02">
        <w:trPr>
          <w:trHeight w:val="359"/>
        </w:trPr>
        <w:tc>
          <w:tcPr>
            <w:tcW w:w="3049" w:type="dxa"/>
            <w:gridSpan w:val="2"/>
            <w:tcBorders>
              <w:top w:val="single" w:sz="4" w:space="0" w:color="auto"/>
              <w:left w:val="nil"/>
              <w:bottom w:val="nil"/>
              <w:right w:val="nil"/>
            </w:tcBorders>
          </w:tcPr>
          <w:p w14:paraId="079E0348" w14:textId="77777777" w:rsidR="00A22E4A" w:rsidRPr="00EF2A33" w:rsidRDefault="00A22E4A" w:rsidP="00C05C02">
            <w:r w:rsidRPr="00EF2A33">
              <w:rPr>
                <w:sz w:val="20"/>
                <w:szCs w:val="20"/>
              </w:rPr>
              <w:t>Source: Authors’ own work</w:t>
            </w:r>
          </w:p>
        </w:tc>
        <w:tc>
          <w:tcPr>
            <w:tcW w:w="4714" w:type="dxa"/>
            <w:tcBorders>
              <w:top w:val="single" w:sz="4" w:space="0" w:color="auto"/>
              <w:left w:val="nil"/>
              <w:bottom w:val="nil"/>
              <w:right w:val="nil"/>
            </w:tcBorders>
          </w:tcPr>
          <w:p w14:paraId="53F08CFD" w14:textId="77777777" w:rsidR="00A22E4A" w:rsidRPr="00EF2A33" w:rsidRDefault="00A22E4A" w:rsidP="00C05C02">
            <w:pPr>
              <w:jc w:val="left"/>
              <w:rPr>
                <w:lang w:val="en-GB"/>
              </w:rPr>
            </w:pPr>
          </w:p>
        </w:tc>
        <w:tc>
          <w:tcPr>
            <w:tcW w:w="1134" w:type="dxa"/>
            <w:tcBorders>
              <w:top w:val="single" w:sz="4" w:space="0" w:color="auto"/>
              <w:left w:val="nil"/>
              <w:bottom w:val="nil"/>
              <w:right w:val="nil"/>
            </w:tcBorders>
            <w:vAlign w:val="center"/>
          </w:tcPr>
          <w:p w14:paraId="4E5DA9B7" w14:textId="77777777" w:rsidR="00A22E4A" w:rsidRPr="00EF2A33" w:rsidRDefault="00A22E4A" w:rsidP="00C05C02">
            <w:pPr>
              <w:jc w:val="center"/>
              <w:rPr>
                <w:sz w:val="22"/>
                <w:szCs w:val="22"/>
              </w:rPr>
            </w:pPr>
          </w:p>
        </w:tc>
        <w:tc>
          <w:tcPr>
            <w:tcW w:w="1481" w:type="dxa"/>
            <w:tcBorders>
              <w:top w:val="single" w:sz="4" w:space="0" w:color="auto"/>
              <w:left w:val="nil"/>
              <w:bottom w:val="nil"/>
              <w:right w:val="nil"/>
            </w:tcBorders>
          </w:tcPr>
          <w:p w14:paraId="7A44A938" w14:textId="77777777" w:rsidR="00A22E4A" w:rsidRPr="00EF2A33" w:rsidRDefault="00A22E4A" w:rsidP="00C05C02">
            <w:pPr>
              <w:jc w:val="center"/>
              <w:rPr>
                <w:sz w:val="18"/>
                <w:szCs w:val="18"/>
              </w:rPr>
            </w:pPr>
          </w:p>
        </w:tc>
      </w:tr>
    </w:tbl>
    <w:p w14:paraId="060FA7B7" w14:textId="77777777" w:rsidR="00DB62CC" w:rsidRPr="00EF2A33" w:rsidRDefault="00DB62CC" w:rsidP="003D243F">
      <w:pPr>
        <w:rPr>
          <w:b/>
          <w:bCs/>
          <w:i/>
          <w:iCs/>
          <w:lang w:val="en-GB"/>
        </w:rPr>
      </w:pPr>
    </w:p>
    <w:p w14:paraId="1A273BAC" w14:textId="4A9B2CFC" w:rsidR="00D3691B" w:rsidRPr="00EF2A33" w:rsidRDefault="00DB62CC" w:rsidP="003D243F">
      <w:pPr>
        <w:rPr>
          <w:b/>
          <w:bCs/>
          <w:i/>
          <w:iCs/>
          <w:lang w:val="en-GB"/>
        </w:rPr>
      </w:pPr>
      <w:r w:rsidRPr="00EF2A33">
        <w:rPr>
          <w:b/>
          <w:bCs/>
          <w:i/>
          <w:iCs/>
          <w:lang w:val="en-GB"/>
        </w:rPr>
        <w:t>5.3</w:t>
      </w:r>
      <w:r w:rsidR="00F4037E" w:rsidRPr="00EF2A33">
        <w:rPr>
          <w:b/>
          <w:bCs/>
          <w:i/>
          <w:iCs/>
          <w:lang w:val="en-GB"/>
        </w:rPr>
        <w:t xml:space="preserve"> </w:t>
      </w:r>
      <w:r w:rsidR="00D3691B" w:rsidRPr="00EF2A33">
        <w:rPr>
          <w:b/>
          <w:bCs/>
          <w:i/>
          <w:iCs/>
          <w:lang w:val="en-GB"/>
        </w:rPr>
        <w:t>Research Model</w:t>
      </w:r>
    </w:p>
    <w:p w14:paraId="6ECEC060" w14:textId="6724D35D" w:rsidR="001B6BF3" w:rsidRPr="00EF2A33" w:rsidRDefault="003A5CB5" w:rsidP="000200CB">
      <w:pPr>
        <w:rPr>
          <w:lang w:val="en-GB"/>
        </w:rPr>
      </w:pPr>
      <w:r w:rsidRPr="00EF2A33">
        <w:rPr>
          <w:lang w:val="en-GB"/>
        </w:rPr>
        <w:t xml:space="preserve">Based </w:t>
      </w:r>
      <w:r w:rsidR="00845E95" w:rsidRPr="00EF2A33">
        <w:rPr>
          <w:lang w:val="en-GB"/>
        </w:rPr>
        <w:t xml:space="preserve">on prior studies by authors such as </w:t>
      </w:r>
      <w:r w:rsidR="00AC5756" w:rsidRPr="00EF2A33">
        <w:rPr>
          <w:lang w:val="en-GB"/>
        </w:rPr>
        <w:t>Kyere and Ausloos (2021)</w:t>
      </w:r>
      <w:r w:rsidR="00CF7296" w:rsidRPr="00EF2A33">
        <w:rPr>
          <w:lang w:val="en-GB"/>
        </w:rPr>
        <w:t>,</w:t>
      </w:r>
      <w:r w:rsidR="00AC5756" w:rsidRPr="00EF2A33">
        <w:rPr>
          <w:lang w:val="en-GB"/>
        </w:rPr>
        <w:t xml:space="preserve"> </w:t>
      </w:r>
      <w:r w:rsidR="00071D0A" w:rsidRPr="00EF2A33">
        <w:rPr>
          <w:lang w:val="en-GB"/>
        </w:rPr>
        <w:t>Saha and Khan</w:t>
      </w:r>
      <w:r w:rsidR="00AC5756" w:rsidRPr="00EF2A33">
        <w:rPr>
          <w:lang w:val="en-GB"/>
        </w:rPr>
        <w:t xml:space="preserve"> (20</w:t>
      </w:r>
      <w:r w:rsidR="00CD7CA6" w:rsidRPr="00EF2A33">
        <w:rPr>
          <w:lang w:val="en-GB"/>
        </w:rPr>
        <w:t>24</w:t>
      </w:r>
      <w:r w:rsidR="009A6741" w:rsidRPr="00EF2A33">
        <w:rPr>
          <w:lang w:val="en-GB"/>
        </w:rPr>
        <w:t>a</w:t>
      </w:r>
      <w:r w:rsidR="00AC5756" w:rsidRPr="00EF2A33">
        <w:rPr>
          <w:lang w:val="en-GB"/>
        </w:rPr>
        <w:t xml:space="preserve">), and </w:t>
      </w:r>
      <w:proofErr w:type="spellStart"/>
      <w:r w:rsidR="00AC5756" w:rsidRPr="00EF2A33">
        <w:rPr>
          <w:lang w:val="en-GB"/>
        </w:rPr>
        <w:t>Sehrawat</w:t>
      </w:r>
      <w:proofErr w:type="spellEnd"/>
      <w:r w:rsidR="00AC5756" w:rsidRPr="00EF2A33">
        <w:rPr>
          <w:lang w:val="en-GB"/>
        </w:rPr>
        <w:t xml:space="preserve"> et al. (2020)</w:t>
      </w:r>
      <w:r w:rsidR="00845E95" w:rsidRPr="00EF2A33">
        <w:rPr>
          <w:lang w:val="en-GB"/>
        </w:rPr>
        <w:t xml:space="preserve">, </w:t>
      </w:r>
      <w:r w:rsidR="00D24869" w:rsidRPr="00EF2A33">
        <w:rPr>
          <w:lang w:val="en-GB"/>
        </w:rPr>
        <w:t xml:space="preserve">this study employs four different </w:t>
      </w:r>
      <w:r w:rsidR="00324C8C" w:rsidRPr="00EF2A33">
        <w:rPr>
          <w:lang w:val="en-GB"/>
        </w:rPr>
        <w:t>regression</w:t>
      </w:r>
      <w:r w:rsidR="00D24869" w:rsidRPr="00EF2A33">
        <w:rPr>
          <w:lang w:val="en-GB"/>
        </w:rPr>
        <w:t xml:space="preserve"> models </w:t>
      </w:r>
      <w:r w:rsidR="00845E95" w:rsidRPr="00EF2A33">
        <w:rPr>
          <w:lang w:val="en-GB"/>
        </w:rPr>
        <w:t>to determine relations between corporate governance mechanisms and financial performance</w:t>
      </w:r>
      <w:r w:rsidR="001B6BF3" w:rsidRPr="00EF2A33">
        <w:rPr>
          <w:lang w:val="en-GB"/>
        </w:rPr>
        <w:t>-</w:t>
      </w:r>
    </w:p>
    <w:p w14:paraId="7D1BB535" w14:textId="4AD53001" w:rsidR="001B6BF3" w:rsidRPr="00EF2A33" w:rsidRDefault="001B6BF3" w:rsidP="001B6BF3">
      <w:pPr>
        <w:spacing w:line="240" w:lineRule="auto"/>
        <w:rPr>
          <w:i/>
          <w:vertAlign w:val="subscript"/>
          <w:lang w:val="en-GB"/>
        </w:rPr>
      </w:pPr>
      <m:oMath>
        <m:r>
          <m:rPr>
            <m:sty m:val="p"/>
          </m:rPr>
          <w:rPr>
            <w:rFonts w:ascii="Cambria Math" w:hAnsi="Cambria Math"/>
            <w:lang w:val="en-GB"/>
          </w:rPr>
          <m:t>ROA</m:t>
        </m:r>
      </m:oMath>
      <w:r w:rsidRPr="00EF2A33">
        <w:rPr>
          <w:i/>
          <w:vertAlign w:val="subscript"/>
          <w:lang w:val="en-GB"/>
        </w:rPr>
        <w:t>i,t</w:t>
      </w:r>
      <m:oMath>
        <m:sSub>
          <m:sSubPr>
            <m:ctrlPr>
              <w:rPr>
                <w:rFonts w:ascii="Cambria Math" w:hAnsi="Cambria Math"/>
                <w:i/>
                <w:lang w:val="en-GB"/>
              </w:rPr>
            </m:ctrlPr>
          </m:sSubPr>
          <m:e>
            <m:r>
              <w:rPr>
                <w:rFonts w:ascii="Cambria Math" w:hAnsi="Cambria Math"/>
                <w:lang w:val="en-GB"/>
              </w:rPr>
              <m:t>= β</m:t>
            </m:r>
          </m:e>
          <m:sub>
            <m:r>
              <w:rPr>
                <w:rFonts w:ascii="Cambria Math" w:hAnsi="Cambria Math"/>
                <w:lang w:val="en-GB"/>
              </w:rPr>
              <m:t>0</m:t>
            </m:r>
          </m:sub>
        </m:sSub>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m:rPr>
            <m:sty m:val="p"/>
          </m:rPr>
          <w:rPr>
            <w:rFonts w:ascii="Cambria Math" w:hAnsi="Cambria Math"/>
            <w:sz w:val="22"/>
            <w:szCs w:val="22"/>
          </w:rPr>
          <m:t>INST</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m:rPr>
            <m:sty m:val="p"/>
          </m:rPr>
          <w:rPr>
            <w:rFonts w:ascii="Cambria Math" w:hAnsi="Cambria Math"/>
            <w:sz w:val="22"/>
            <w:szCs w:val="22"/>
          </w:rPr>
          <m:t>FOREIGN</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m:rPr>
            <m:sty m:val="p"/>
          </m:rPr>
          <w:rPr>
            <w:rFonts w:ascii="Cambria Math" w:hAnsi="Cambria Math"/>
            <w:sz w:val="22"/>
            <w:szCs w:val="22"/>
          </w:rPr>
          <m:t>SPDIRECT</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m:rPr>
            <m:sty m:val="p"/>
          </m:rPr>
          <w:rPr>
            <w:rFonts w:ascii="Cambria Math" w:hAnsi="Cambria Math"/>
          </w:rPr>
          <m:t>GOVT</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m:rPr>
            <m:sty m:val="p"/>
          </m:rPr>
          <w:rPr>
            <w:rFonts w:ascii="Cambria Math" w:hAnsi="Cambria Math"/>
            <w:lang w:val="en-GB"/>
          </w:rPr>
          <m:t xml:space="preserve">  BSIZE </m:t>
        </m:r>
      </m:oMath>
      <w:r w:rsidR="00334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6</m:t>
            </m:r>
          </m:sub>
        </m:sSub>
        <m:r>
          <m:rPr>
            <m:sty m:val="p"/>
          </m:rPr>
          <w:rPr>
            <w:rFonts w:ascii="Cambria Math" w:hAnsi="Cambria Math"/>
            <w:lang w:val="en-GB"/>
          </w:rPr>
          <m:t xml:space="preserve"> </m:t>
        </m:r>
        <m:r>
          <m:rPr>
            <m:sty m:val="p"/>
          </m:rPr>
          <w:rPr>
            <w:rFonts w:ascii="Cambria Math" w:hAnsi="Cambria Math"/>
            <w:sz w:val="22"/>
            <w:szCs w:val="22"/>
          </w:rPr>
          <m:t>BIND</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r>
          <m:rPr>
            <m:sty m:val="p"/>
          </m:rPr>
          <w:rPr>
            <w:rFonts w:ascii="Cambria Math" w:hAnsi="Cambria Math"/>
          </w:rPr>
          <m:t>GENDER</m:t>
        </m:r>
        <m:r>
          <m:rPr>
            <m:sty m:val="p"/>
          </m:rPr>
          <w:rPr>
            <w:rFonts w:ascii="Cambria Math" w:hAnsi="Cambria Math"/>
            <w:lang w:val="en-GB"/>
          </w:rPr>
          <m:t xml:space="preserve"> </m:t>
        </m:r>
      </m:oMath>
      <w:r w:rsidR="00334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8</m:t>
            </m:r>
          </m:sub>
        </m:sSub>
        <m:r>
          <m:rPr>
            <m:sty m:val="p"/>
          </m:rPr>
          <w:rPr>
            <w:rFonts w:ascii="Cambria Math" w:hAnsi="Cambria Math"/>
          </w:rPr>
          <m:t>MEETING</m:t>
        </m:r>
        <m:r>
          <m:rPr>
            <m:sty m:val="p"/>
          </m:rPr>
          <w:rPr>
            <w:rFonts w:ascii="Cambria Math" w:hAnsi="Cambria Math"/>
            <w:lang w:val="en-GB"/>
          </w:rPr>
          <m:t xml:space="preserve"> </m:t>
        </m:r>
      </m:oMath>
      <w:r w:rsidR="00334456" w:rsidRPr="00EF2A33">
        <w:rPr>
          <w:i/>
          <w:vertAlign w:val="subscript"/>
          <w:lang w:val="en-GB"/>
        </w:rPr>
        <w:t xml:space="preserve">i,t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9</m:t>
            </m:r>
          </m:sub>
        </m:sSub>
        <m:r>
          <m:rPr>
            <m:sty m:val="p"/>
          </m:rPr>
          <w:rPr>
            <w:rFonts w:ascii="Cambria Math" w:hAnsi="Cambria Math"/>
            <w:lang w:val="en-GB"/>
          </w:rPr>
          <m:t xml:space="preserve"> </m:t>
        </m:r>
        <m:r>
          <m:rPr>
            <m:sty m:val="p"/>
          </m:rPr>
          <w:rPr>
            <w:rFonts w:ascii="Cambria Math" w:hAnsi="Cambria Math"/>
          </w:rPr>
          <m:t>FAMILY</m:t>
        </m:r>
      </m:oMath>
      <w:r w:rsidR="00334456" w:rsidRPr="00EF2A33">
        <w:rPr>
          <w:i/>
          <w:vertAlign w:val="subscript"/>
          <w:lang w:val="en-GB"/>
        </w:rPr>
        <w:t xml:space="preserve">i,t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10</m:t>
            </m:r>
          </m:sub>
        </m:sSub>
        <m:r>
          <m:rPr>
            <m:sty m:val="p"/>
          </m:rPr>
          <w:rPr>
            <w:rFonts w:ascii="Cambria Math" w:hAnsi="Cambria Math"/>
            <w:lang w:val="en-GB"/>
          </w:rPr>
          <m:t xml:space="preserve"> </m:t>
        </m:r>
        <m:r>
          <m:rPr>
            <m:sty m:val="p"/>
          </m:rPr>
          <w:rPr>
            <w:rFonts w:ascii="Cambria Math" w:hAnsi="Cambria Math"/>
          </w:rPr>
          <m:t>EDU</m:t>
        </m:r>
      </m:oMath>
      <w:r w:rsidR="006913F1" w:rsidRPr="00EF2A33">
        <w:rPr>
          <w:i/>
          <w:vertAlign w:val="subscript"/>
          <w:lang w:val="en-GB"/>
        </w:rPr>
        <w:t>i,t</w:t>
      </w:r>
      <w:r w:rsidR="00334456" w:rsidRPr="00EF2A33">
        <w:rPr>
          <w:i/>
          <w:vertAlign w:val="subscript"/>
          <w:lang w:val="en-GB"/>
        </w:rPr>
        <w:t xml:space="preserve"> </w:t>
      </w:r>
      <m:oMath>
        <m:r>
          <m:rPr>
            <m:sty m:val="p"/>
          </m:rPr>
          <w:rPr>
            <w:rFonts w:ascii="Cambria Math" w:hAnsi="Cambria Math"/>
            <w:lang w:val="en-GB"/>
          </w:rPr>
          <m:t xml:space="preserve"> </m:t>
        </m:r>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11</m:t>
            </m:r>
          </m:sub>
        </m:sSub>
        <m:r>
          <m:rPr>
            <m:sty m:val="p"/>
          </m:rPr>
          <w:rPr>
            <w:rFonts w:ascii="Cambria Math" w:hAnsi="Cambria Math"/>
            <w:lang w:val="en-GB"/>
          </w:rPr>
          <m:t xml:space="preserve"> </m:t>
        </m:r>
        <m:r>
          <m:rPr>
            <m:sty m:val="p"/>
          </m:rPr>
          <w:rPr>
            <w:rFonts w:ascii="Cambria Math" w:hAnsi="Cambria Math"/>
          </w:rPr>
          <m:t>TA</m:t>
        </m:r>
      </m:oMath>
      <w:r w:rsidR="00334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+∑Year+</m:t>
        </m:r>
      </m:oMath>
      <w:r w:rsidR="00334456" w:rsidRPr="00EF2A33">
        <w:rPr>
          <w:rFonts w:eastAsiaTheme="minorEastAsia"/>
          <w:i/>
          <w:lang w:val="en-GB"/>
        </w:rPr>
        <w:t xml:space="preserve">∑Industry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334456" w:rsidRPr="00EF2A33">
        <w:rPr>
          <w:i/>
          <w:lang w:val="en-GB"/>
        </w:rPr>
        <w:t xml:space="preserve">  </w:t>
      </w:r>
      <w:r w:rsidR="00334456" w:rsidRPr="00EF2A33">
        <w:rPr>
          <w:i/>
          <w:lang w:val="en-GB"/>
        </w:rPr>
        <w:tab/>
        <w:t xml:space="preserve">…  </w:t>
      </w:r>
      <w:r w:rsidRPr="00EF2A33">
        <w:rPr>
          <w:i/>
          <w:lang w:val="en-GB"/>
        </w:rPr>
        <w:t>(1)</w:t>
      </w:r>
    </w:p>
    <w:p w14:paraId="2B03BDFF" w14:textId="54FEF0D4" w:rsidR="001B6BF3" w:rsidRPr="00EF2A33" w:rsidRDefault="001B6BF3" w:rsidP="001B6BF3">
      <w:pPr>
        <w:spacing w:line="240" w:lineRule="auto"/>
        <w:rPr>
          <w:i/>
          <w:lang w:val="en-GB"/>
        </w:rPr>
      </w:pPr>
      <m:oMath>
        <m:r>
          <m:rPr>
            <m:sty m:val="p"/>
          </m:rPr>
          <w:rPr>
            <w:rFonts w:ascii="Cambria Math" w:hAnsi="Cambria Math"/>
            <w:lang w:val="en-GB"/>
          </w:rPr>
          <m:t>ROE</m:t>
        </m:r>
      </m:oMath>
      <w:r w:rsidRPr="00EF2A33">
        <w:rPr>
          <w:i/>
          <w:vertAlign w:val="subscript"/>
          <w:lang w:val="en-GB"/>
        </w:rPr>
        <w:t>i,t</w:t>
      </w:r>
      <m:oMath>
        <m:sSub>
          <m:sSubPr>
            <m:ctrlPr>
              <w:rPr>
                <w:rFonts w:ascii="Cambria Math" w:hAnsi="Cambria Math"/>
                <w:i/>
                <w:lang w:val="en-GB"/>
              </w:rPr>
            </m:ctrlPr>
          </m:sSubPr>
          <m:e>
            <m:r>
              <w:rPr>
                <w:rFonts w:ascii="Cambria Math" w:hAnsi="Cambria Math"/>
                <w:lang w:val="en-GB"/>
              </w:rPr>
              <m:t>= β</m:t>
            </m:r>
          </m:e>
          <m:sub>
            <m:r>
              <w:rPr>
                <w:rFonts w:ascii="Cambria Math" w:hAnsi="Cambria Math"/>
                <w:lang w:val="en-GB"/>
              </w:rPr>
              <m:t>0</m:t>
            </m:r>
          </m:sub>
        </m:sSub>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m:rPr>
            <m:sty m:val="p"/>
          </m:rPr>
          <w:rPr>
            <w:rFonts w:ascii="Cambria Math" w:hAnsi="Cambria Math"/>
            <w:sz w:val="22"/>
            <w:szCs w:val="22"/>
          </w:rPr>
          <m:t>INST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m:rPr>
            <m:sty m:val="p"/>
          </m:rPr>
          <w:rPr>
            <w:rFonts w:ascii="Cambria Math" w:hAnsi="Cambria Math"/>
            <w:sz w:val="22"/>
            <w:szCs w:val="22"/>
          </w:rPr>
          <m:t>FOREIGN</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m:rPr>
            <m:sty m:val="p"/>
          </m:rPr>
          <w:rPr>
            <w:rFonts w:ascii="Cambria Math" w:hAnsi="Cambria Math"/>
            <w:sz w:val="22"/>
            <w:szCs w:val="22"/>
          </w:rPr>
          <m:t>SPDIRECT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m:rPr>
            <m:sty m:val="p"/>
          </m:rPr>
          <w:rPr>
            <w:rFonts w:ascii="Cambria Math" w:hAnsi="Cambria Math"/>
          </w:rPr>
          <m:t>GOVT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m:rPr>
            <m:sty m:val="p"/>
          </m:rPr>
          <w:rPr>
            <w:rFonts w:ascii="Cambria Math" w:hAnsi="Cambria Math"/>
            <w:lang w:val="en-GB"/>
          </w:rPr>
          <m:t xml:space="preserve">  BSIZE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6</m:t>
            </m:r>
          </m:sub>
        </m:sSub>
        <m:r>
          <m:rPr>
            <m:sty m:val="p"/>
          </m:rPr>
          <w:rPr>
            <w:rFonts w:ascii="Cambria Math" w:hAnsi="Cambria Math"/>
            <w:lang w:val="en-GB"/>
          </w:rPr>
          <m:t xml:space="preserve"> </m:t>
        </m:r>
        <m:r>
          <m:rPr>
            <m:sty m:val="p"/>
          </m:rPr>
          <w:rPr>
            <w:rFonts w:ascii="Cambria Math" w:hAnsi="Cambria Math"/>
            <w:sz w:val="22"/>
            <w:szCs w:val="22"/>
          </w:rPr>
          <m:t>BIND</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r>
          <m:rPr>
            <m:sty m:val="p"/>
          </m:rPr>
          <w:rPr>
            <w:rFonts w:ascii="Cambria Math" w:hAnsi="Cambria Math"/>
          </w:rPr>
          <m:t>GENDER</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8</m:t>
            </m:r>
          </m:sub>
        </m:sSub>
        <m:r>
          <m:rPr>
            <m:sty m:val="p"/>
          </m:rPr>
          <w:rPr>
            <w:rFonts w:ascii="Cambria Math" w:hAnsi="Cambria Math"/>
          </w:rPr>
          <m:t>MEETING</m:t>
        </m:r>
        <m:r>
          <m:rPr>
            <m:sty m:val="p"/>
          </m:rPr>
          <w:rPr>
            <w:rFonts w:ascii="Cambria Math" w:hAnsi="Cambria Math"/>
            <w:lang w:val="en-GB"/>
          </w:rPr>
          <m:t xml:space="preserve"> </m:t>
        </m:r>
      </m:oMath>
      <w:r w:rsidR="00ED3456" w:rsidRPr="00EF2A33">
        <w:rPr>
          <w:i/>
          <w:vertAlign w:val="subscript"/>
          <w:lang w:val="en-GB"/>
        </w:rPr>
        <w:t xml:space="preserve">i,t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9</m:t>
            </m:r>
          </m:sub>
        </m:sSub>
        <m:r>
          <m:rPr>
            <m:sty m:val="p"/>
          </m:rPr>
          <w:rPr>
            <w:rFonts w:ascii="Cambria Math" w:hAnsi="Cambria Math"/>
            <w:lang w:val="en-GB"/>
          </w:rPr>
          <m:t xml:space="preserve"> </m:t>
        </m:r>
        <m:r>
          <m:rPr>
            <m:sty m:val="p"/>
          </m:rPr>
          <w:rPr>
            <w:rFonts w:ascii="Cambria Math" w:hAnsi="Cambria Math"/>
          </w:rPr>
          <m:t>FAMILY</m:t>
        </m:r>
      </m:oMath>
      <w:r w:rsidR="00ED3456" w:rsidRPr="00EF2A33">
        <w:rPr>
          <w:i/>
          <w:vertAlign w:val="subscript"/>
          <w:lang w:val="en-GB"/>
        </w:rPr>
        <w:t xml:space="preserve">i,t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10</m:t>
            </m:r>
          </m:sub>
        </m:sSub>
        <m:r>
          <m:rPr>
            <m:sty m:val="p"/>
          </m:rPr>
          <w:rPr>
            <w:rFonts w:ascii="Cambria Math" w:hAnsi="Cambria Math"/>
            <w:lang w:val="en-GB"/>
          </w:rPr>
          <m:t xml:space="preserve"> </m:t>
        </m:r>
        <m:r>
          <m:rPr>
            <m:sty m:val="p"/>
          </m:rPr>
          <w:rPr>
            <w:rFonts w:ascii="Cambria Math" w:hAnsi="Cambria Math"/>
          </w:rPr>
          <m:t>EDU</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11</m:t>
            </m:r>
          </m:sub>
        </m:sSub>
        <m:r>
          <m:rPr>
            <m:sty m:val="p"/>
          </m:rPr>
          <w:rPr>
            <w:rFonts w:ascii="Cambria Math" w:hAnsi="Cambria Math"/>
            <w:lang w:val="en-GB"/>
          </w:rPr>
          <m:t xml:space="preserve"> </m:t>
        </m:r>
        <m:r>
          <m:rPr>
            <m:sty m:val="p"/>
          </m:rPr>
          <w:rPr>
            <w:rFonts w:ascii="Cambria Math" w:hAnsi="Cambria Math"/>
          </w:rPr>
          <m:t>TA</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+∑Year+</m:t>
        </m:r>
      </m:oMath>
      <w:r w:rsidR="00ED3456" w:rsidRPr="00EF2A33">
        <w:rPr>
          <w:rFonts w:eastAsiaTheme="minorEastAsia"/>
          <w:i/>
          <w:lang w:val="en-GB"/>
        </w:rPr>
        <w:t xml:space="preserve">∑Industry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ED3456" w:rsidRPr="00EF2A33">
        <w:rPr>
          <w:i/>
          <w:lang w:val="en-GB"/>
        </w:rPr>
        <w:t xml:space="preserve">  </w:t>
      </w:r>
      <w:r w:rsidR="00ED3456" w:rsidRPr="00EF2A33">
        <w:rPr>
          <w:i/>
          <w:lang w:val="en-GB"/>
        </w:rPr>
        <w:tab/>
      </w:r>
      <w:r w:rsidRPr="00EF2A33">
        <w:rPr>
          <w:i/>
          <w:lang w:val="en-GB"/>
        </w:rPr>
        <w:t>…  (2)</w:t>
      </w:r>
    </w:p>
    <w:p w14:paraId="499CB056" w14:textId="1CB2FEEC" w:rsidR="001B6BF3" w:rsidRPr="00EF2A33" w:rsidRDefault="001B6BF3" w:rsidP="001B6BF3">
      <w:pPr>
        <w:spacing w:line="240" w:lineRule="auto"/>
        <w:rPr>
          <w:i/>
          <w:vertAlign w:val="subscript"/>
          <w:lang w:val="en-GB"/>
        </w:rPr>
      </w:pPr>
      <w:r w:rsidRPr="00EF2A33">
        <w:rPr>
          <w:sz w:val="22"/>
          <w:szCs w:val="22"/>
        </w:rPr>
        <w:t>MTB</w:t>
      </w:r>
      <w:proofErr w:type="spellStart"/>
      <w:r w:rsidRPr="00EF2A33">
        <w:rPr>
          <w:i/>
          <w:vertAlign w:val="subscript"/>
          <w:lang w:val="en-GB"/>
        </w:rPr>
        <w:t>i,t</w:t>
      </w:r>
      <w:proofErr w:type="spellEnd"/>
      <m:oMath>
        <m:sSub>
          <m:sSubPr>
            <m:ctrlPr>
              <w:rPr>
                <w:rFonts w:ascii="Cambria Math" w:hAnsi="Cambria Math"/>
                <w:i/>
                <w:lang w:val="en-GB"/>
              </w:rPr>
            </m:ctrlPr>
          </m:sSubPr>
          <m:e>
            <m:r>
              <w:rPr>
                <w:rFonts w:ascii="Cambria Math" w:hAnsi="Cambria Math"/>
                <w:lang w:val="en-GB"/>
              </w:rPr>
              <m:t>= β</m:t>
            </m:r>
          </m:e>
          <m:sub>
            <m:r>
              <w:rPr>
                <w:rFonts w:ascii="Cambria Math" w:hAnsi="Cambria Math"/>
                <w:lang w:val="en-GB"/>
              </w:rPr>
              <m:t>0</m:t>
            </m:r>
          </m:sub>
        </m:sSub>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m:rPr>
            <m:sty m:val="p"/>
          </m:rPr>
          <w:rPr>
            <w:rFonts w:ascii="Cambria Math" w:hAnsi="Cambria Math"/>
            <w:sz w:val="22"/>
            <w:szCs w:val="22"/>
          </w:rPr>
          <m:t>INST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m:rPr>
            <m:sty m:val="p"/>
          </m:rPr>
          <w:rPr>
            <w:rFonts w:ascii="Cambria Math" w:hAnsi="Cambria Math"/>
            <w:sz w:val="22"/>
            <w:szCs w:val="22"/>
          </w:rPr>
          <m:t>FOREIGN</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m:rPr>
            <m:sty m:val="p"/>
          </m:rPr>
          <w:rPr>
            <w:rFonts w:ascii="Cambria Math" w:hAnsi="Cambria Math"/>
            <w:sz w:val="22"/>
            <w:szCs w:val="22"/>
          </w:rPr>
          <m:t>SPDIRECT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m:rPr>
            <m:sty m:val="p"/>
          </m:rPr>
          <w:rPr>
            <w:rFonts w:ascii="Cambria Math" w:hAnsi="Cambria Math"/>
          </w:rPr>
          <m:t>GOVT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m:rPr>
            <m:sty m:val="p"/>
          </m:rPr>
          <w:rPr>
            <w:rFonts w:ascii="Cambria Math" w:hAnsi="Cambria Math"/>
            <w:lang w:val="en-GB"/>
          </w:rPr>
          <m:t xml:space="preserve">  BSIZE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6</m:t>
            </m:r>
          </m:sub>
        </m:sSub>
        <m:r>
          <m:rPr>
            <m:sty m:val="p"/>
          </m:rPr>
          <w:rPr>
            <w:rFonts w:ascii="Cambria Math" w:hAnsi="Cambria Math"/>
            <w:lang w:val="en-GB"/>
          </w:rPr>
          <m:t xml:space="preserve"> </m:t>
        </m:r>
        <m:r>
          <m:rPr>
            <m:sty m:val="p"/>
          </m:rPr>
          <w:rPr>
            <w:rFonts w:ascii="Cambria Math" w:hAnsi="Cambria Math"/>
            <w:sz w:val="22"/>
            <w:szCs w:val="22"/>
          </w:rPr>
          <m:t>BIND</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r>
          <m:rPr>
            <m:sty m:val="p"/>
          </m:rPr>
          <w:rPr>
            <w:rFonts w:ascii="Cambria Math" w:hAnsi="Cambria Math"/>
          </w:rPr>
          <m:t>GENDER</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8</m:t>
            </m:r>
          </m:sub>
        </m:sSub>
        <m:r>
          <m:rPr>
            <m:sty m:val="p"/>
          </m:rPr>
          <w:rPr>
            <w:rFonts w:ascii="Cambria Math" w:hAnsi="Cambria Math"/>
          </w:rPr>
          <m:t>MEETING</m:t>
        </m:r>
        <m:r>
          <m:rPr>
            <m:sty m:val="p"/>
          </m:rPr>
          <w:rPr>
            <w:rFonts w:ascii="Cambria Math" w:hAnsi="Cambria Math"/>
            <w:lang w:val="en-GB"/>
          </w:rPr>
          <m:t xml:space="preserve"> </m:t>
        </m:r>
      </m:oMath>
      <w:r w:rsidR="00ED3456" w:rsidRPr="00EF2A33">
        <w:rPr>
          <w:i/>
          <w:vertAlign w:val="subscript"/>
          <w:lang w:val="en-GB"/>
        </w:rPr>
        <w:t xml:space="preserve">i,t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9</m:t>
            </m:r>
          </m:sub>
        </m:sSub>
        <m:r>
          <m:rPr>
            <m:sty m:val="p"/>
          </m:rPr>
          <w:rPr>
            <w:rFonts w:ascii="Cambria Math" w:hAnsi="Cambria Math"/>
            <w:lang w:val="en-GB"/>
          </w:rPr>
          <m:t xml:space="preserve"> </m:t>
        </m:r>
        <m:r>
          <m:rPr>
            <m:sty m:val="p"/>
          </m:rPr>
          <w:rPr>
            <w:rFonts w:ascii="Cambria Math" w:hAnsi="Cambria Math"/>
          </w:rPr>
          <m:t>FAMILY</m:t>
        </m:r>
      </m:oMath>
      <w:r w:rsidR="00ED3456" w:rsidRPr="00EF2A33">
        <w:rPr>
          <w:i/>
          <w:vertAlign w:val="subscript"/>
          <w:lang w:val="en-GB"/>
        </w:rPr>
        <w:t xml:space="preserve">i,t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10</m:t>
            </m:r>
          </m:sub>
        </m:sSub>
        <m:r>
          <m:rPr>
            <m:sty m:val="p"/>
          </m:rPr>
          <w:rPr>
            <w:rFonts w:ascii="Cambria Math" w:hAnsi="Cambria Math"/>
            <w:lang w:val="en-GB"/>
          </w:rPr>
          <m:t xml:space="preserve"> </m:t>
        </m:r>
        <m:r>
          <m:rPr>
            <m:sty m:val="p"/>
          </m:rPr>
          <w:rPr>
            <w:rFonts w:ascii="Cambria Math" w:hAnsi="Cambria Math"/>
          </w:rPr>
          <m:t>EDU</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11</m:t>
            </m:r>
          </m:sub>
        </m:sSub>
        <m:r>
          <m:rPr>
            <m:sty m:val="p"/>
          </m:rPr>
          <w:rPr>
            <w:rFonts w:ascii="Cambria Math" w:hAnsi="Cambria Math"/>
            <w:lang w:val="en-GB"/>
          </w:rPr>
          <m:t xml:space="preserve"> </m:t>
        </m:r>
        <m:r>
          <m:rPr>
            <m:sty m:val="p"/>
          </m:rPr>
          <w:rPr>
            <w:rFonts w:ascii="Cambria Math" w:hAnsi="Cambria Math"/>
          </w:rPr>
          <m:t>TA</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+∑Year+</m:t>
        </m:r>
      </m:oMath>
      <w:r w:rsidR="00ED3456" w:rsidRPr="00EF2A33">
        <w:rPr>
          <w:rFonts w:eastAsiaTheme="minorEastAsia"/>
          <w:i/>
          <w:lang w:val="en-GB"/>
        </w:rPr>
        <w:t xml:space="preserve">∑Industry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ED3456" w:rsidRPr="00EF2A33">
        <w:rPr>
          <w:i/>
          <w:lang w:val="en-GB"/>
        </w:rPr>
        <w:t xml:space="preserve">  </w:t>
      </w:r>
      <w:r w:rsidR="00ED3456" w:rsidRPr="00EF2A33">
        <w:rPr>
          <w:i/>
          <w:lang w:val="en-GB"/>
        </w:rPr>
        <w:tab/>
      </w:r>
      <w:r w:rsidRPr="00EF2A33">
        <w:rPr>
          <w:i/>
          <w:lang w:val="en-GB"/>
        </w:rPr>
        <w:t>…  (3)</w:t>
      </w:r>
    </w:p>
    <w:p w14:paraId="672E7A6E" w14:textId="523C94F4" w:rsidR="001B6BF3" w:rsidRPr="00EF2A33" w:rsidRDefault="001B6BF3" w:rsidP="00CB7349">
      <w:pPr>
        <w:spacing w:line="240" w:lineRule="auto"/>
        <w:rPr>
          <w:i/>
          <w:vertAlign w:val="subscript"/>
          <w:lang w:val="en-GB"/>
        </w:rPr>
      </w:pPr>
      <w:r w:rsidRPr="00EF2A33">
        <w:rPr>
          <w:sz w:val="22"/>
          <w:szCs w:val="22"/>
        </w:rPr>
        <w:lastRenderedPageBreak/>
        <w:t>TOBINQ</w:t>
      </w:r>
      <w:proofErr w:type="spellStart"/>
      <w:r w:rsidRPr="00EF2A33">
        <w:rPr>
          <w:i/>
          <w:vertAlign w:val="subscript"/>
          <w:lang w:val="en-GB"/>
        </w:rPr>
        <w:t>i,t</w:t>
      </w:r>
      <w:proofErr w:type="spellEnd"/>
      <m:oMath>
        <m:sSub>
          <m:sSubPr>
            <m:ctrlPr>
              <w:rPr>
                <w:rFonts w:ascii="Cambria Math" w:hAnsi="Cambria Math"/>
                <w:i/>
                <w:lang w:val="en-GB"/>
              </w:rPr>
            </m:ctrlPr>
          </m:sSubPr>
          <m:e>
            <m:r>
              <w:rPr>
                <w:rFonts w:ascii="Cambria Math" w:hAnsi="Cambria Math"/>
                <w:lang w:val="en-GB"/>
              </w:rPr>
              <m:t>= β</m:t>
            </m:r>
          </m:e>
          <m:sub>
            <m:r>
              <w:rPr>
                <w:rFonts w:ascii="Cambria Math" w:hAnsi="Cambria Math"/>
                <w:lang w:val="en-GB"/>
              </w:rPr>
              <m:t>0</m:t>
            </m:r>
          </m:sub>
        </m:sSub>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m:rPr>
            <m:sty m:val="p"/>
          </m:rPr>
          <w:rPr>
            <w:rFonts w:ascii="Cambria Math" w:hAnsi="Cambria Math"/>
            <w:sz w:val="22"/>
            <w:szCs w:val="22"/>
          </w:rPr>
          <m:t>INST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m:rPr>
            <m:sty m:val="p"/>
          </m:rPr>
          <w:rPr>
            <w:rFonts w:ascii="Cambria Math" w:hAnsi="Cambria Math"/>
            <w:sz w:val="22"/>
            <w:szCs w:val="22"/>
          </w:rPr>
          <m:t>FOREIGN</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m:rPr>
            <m:sty m:val="p"/>
          </m:rPr>
          <w:rPr>
            <w:rFonts w:ascii="Cambria Math" w:hAnsi="Cambria Math"/>
            <w:sz w:val="22"/>
            <w:szCs w:val="22"/>
          </w:rPr>
          <m:t>SPDIRECT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m:rPr>
            <m:sty m:val="p"/>
          </m:rPr>
          <w:rPr>
            <w:rFonts w:ascii="Cambria Math" w:hAnsi="Cambria Math"/>
          </w:rPr>
          <m:t>GOVT</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m:rPr>
            <m:sty m:val="p"/>
          </m:rPr>
          <w:rPr>
            <w:rFonts w:ascii="Cambria Math" w:hAnsi="Cambria Math"/>
            <w:lang w:val="en-GB"/>
          </w:rPr>
          <m:t xml:space="preserve">  BSIZE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6</m:t>
            </m:r>
          </m:sub>
        </m:sSub>
        <m:r>
          <m:rPr>
            <m:sty m:val="p"/>
          </m:rPr>
          <w:rPr>
            <w:rFonts w:ascii="Cambria Math" w:hAnsi="Cambria Math"/>
            <w:lang w:val="en-GB"/>
          </w:rPr>
          <m:t xml:space="preserve"> </m:t>
        </m:r>
        <m:r>
          <m:rPr>
            <m:sty m:val="p"/>
          </m:rPr>
          <w:rPr>
            <w:rFonts w:ascii="Cambria Math" w:hAnsi="Cambria Math"/>
            <w:sz w:val="22"/>
            <w:szCs w:val="22"/>
          </w:rPr>
          <m:t>BIND</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r>
          <m:rPr>
            <m:sty m:val="p"/>
          </m:rPr>
          <w:rPr>
            <w:rFonts w:ascii="Cambria Math" w:hAnsi="Cambria Math"/>
          </w:rPr>
          <m:t>GENDER</m:t>
        </m:r>
        <m:r>
          <m:rPr>
            <m:sty m:val="p"/>
          </m:rPr>
          <w:rPr>
            <w:rFonts w:ascii="Cambria Math" w:hAnsi="Cambria Math"/>
            <w:lang w:val="en-GB"/>
          </w:rPr>
          <m:t xml:space="preserve"> </m:t>
        </m:r>
      </m:oMath>
      <w:r w:rsidR="00ED3456" w:rsidRPr="00EF2A33">
        <w:rPr>
          <w:i/>
          <w:vertAlign w:val="subscript"/>
          <w:lang w:val="en-GB"/>
        </w:rPr>
        <w:t>i,t</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8</m:t>
            </m:r>
          </m:sub>
        </m:sSub>
        <m:r>
          <m:rPr>
            <m:sty m:val="p"/>
          </m:rPr>
          <w:rPr>
            <w:rFonts w:ascii="Cambria Math" w:hAnsi="Cambria Math"/>
          </w:rPr>
          <m:t>MEETING</m:t>
        </m:r>
        <m:r>
          <m:rPr>
            <m:sty m:val="p"/>
          </m:rPr>
          <w:rPr>
            <w:rFonts w:ascii="Cambria Math" w:hAnsi="Cambria Math"/>
            <w:lang w:val="en-GB"/>
          </w:rPr>
          <m:t xml:space="preserve"> </m:t>
        </m:r>
      </m:oMath>
      <w:r w:rsidR="00ED3456" w:rsidRPr="00EF2A33">
        <w:rPr>
          <w:i/>
          <w:vertAlign w:val="subscript"/>
          <w:lang w:val="en-GB"/>
        </w:rPr>
        <w:t xml:space="preserve">i,t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9</m:t>
            </m:r>
          </m:sub>
        </m:sSub>
        <m:r>
          <m:rPr>
            <m:sty m:val="p"/>
          </m:rPr>
          <w:rPr>
            <w:rFonts w:ascii="Cambria Math" w:hAnsi="Cambria Math"/>
            <w:lang w:val="en-GB"/>
          </w:rPr>
          <m:t xml:space="preserve"> </m:t>
        </m:r>
        <m:r>
          <m:rPr>
            <m:sty m:val="p"/>
          </m:rPr>
          <w:rPr>
            <w:rFonts w:ascii="Cambria Math" w:hAnsi="Cambria Math"/>
          </w:rPr>
          <m:t>FAMILY</m:t>
        </m:r>
      </m:oMath>
      <w:r w:rsidR="00ED3456" w:rsidRPr="00EF2A33">
        <w:rPr>
          <w:i/>
          <w:vertAlign w:val="subscript"/>
          <w:lang w:val="en-GB"/>
        </w:rPr>
        <w:t xml:space="preserve">i,t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10</m:t>
            </m:r>
          </m:sub>
        </m:sSub>
        <m:r>
          <m:rPr>
            <m:sty m:val="p"/>
          </m:rPr>
          <w:rPr>
            <w:rFonts w:ascii="Cambria Math" w:hAnsi="Cambria Math"/>
            <w:lang w:val="en-GB"/>
          </w:rPr>
          <m:t xml:space="preserve"> </m:t>
        </m:r>
        <m:r>
          <m:rPr>
            <m:sty m:val="p"/>
          </m:rPr>
          <w:rPr>
            <w:rFonts w:ascii="Cambria Math" w:hAnsi="Cambria Math"/>
          </w:rPr>
          <m:t>EDU</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11</m:t>
            </m:r>
          </m:sub>
        </m:sSub>
        <m:r>
          <m:rPr>
            <m:sty m:val="p"/>
          </m:rPr>
          <w:rPr>
            <w:rFonts w:ascii="Cambria Math" w:hAnsi="Cambria Math"/>
            <w:lang w:val="en-GB"/>
          </w:rPr>
          <m:t xml:space="preserve"> </m:t>
        </m:r>
        <m:r>
          <m:rPr>
            <m:sty m:val="p"/>
          </m:rPr>
          <w:rPr>
            <w:rFonts w:ascii="Cambria Math" w:hAnsi="Cambria Math"/>
          </w:rPr>
          <m:t>TA</m:t>
        </m:r>
      </m:oMath>
      <w:r w:rsidR="00ED3456" w:rsidRPr="00EF2A33">
        <w:rPr>
          <w:i/>
          <w:vertAlign w:val="subscript"/>
          <w:lang w:val="en-GB"/>
        </w:rPr>
        <w:t xml:space="preserve">i,t </w:t>
      </w:r>
      <m:oMath>
        <m:r>
          <m:rPr>
            <m:sty m:val="p"/>
          </m:rPr>
          <w:rPr>
            <w:rFonts w:ascii="Cambria Math" w:hAnsi="Cambria Math"/>
            <w:lang w:val="en-GB"/>
          </w:rPr>
          <m:t xml:space="preserve"> </m:t>
        </m:r>
        <m:r>
          <w:rPr>
            <w:rFonts w:ascii="Cambria Math" w:hAnsi="Cambria Math"/>
            <w:lang w:val="en-GB"/>
          </w:rPr>
          <m:t>+∑Year+</m:t>
        </m:r>
      </m:oMath>
      <w:r w:rsidR="00ED3456" w:rsidRPr="00EF2A33">
        <w:rPr>
          <w:rFonts w:eastAsiaTheme="minorEastAsia"/>
          <w:i/>
          <w:lang w:val="en-GB"/>
        </w:rPr>
        <w:t xml:space="preserve">∑Industry </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i,t</m:t>
            </m:r>
          </m:sub>
        </m:sSub>
      </m:oMath>
      <w:r w:rsidR="00ED3456" w:rsidRPr="00EF2A33">
        <w:rPr>
          <w:i/>
          <w:lang w:val="en-GB"/>
        </w:rPr>
        <w:t xml:space="preserve">  </w:t>
      </w:r>
      <w:r w:rsidR="00ED3456" w:rsidRPr="00EF2A33">
        <w:rPr>
          <w:i/>
          <w:lang w:val="en-GB"/>
        </w:rPr>
        <w:tab/>
      </w:r>
      <w:r w:rsidRPr="00EF2A33">
        <w:rPr>
          <w:i/>
          <w:lang w:val="en-GB"/>
        </w:rPr>
        <w:t>…  (4)</w:t>
      </w:r>
    </w:p>
    <w:p w14:paraId="20D673EA" w14:textId="72C9BCFA" w:rsidR="004B0FA4" w:rsidRPr="00EF2A33" w:rsidRDefault="001C4BC4" w:rsidP="004B0FA4">
      <w:pPr>
        <w:spacing w:before="240" w:line="276" w:lineRule="auto"/>
        <w:rPr>
          <w:lang w:val="en-GB"/>
        </w:rPr>
      </w:pPr>
      <w:r w:rsidRPr="00EF2A33">
        <w:rPr>
          <w:lang w:val="en-GB"/>
        </w:rPr>
        <w:t>Notes: H</w:t>
      </w:r>
      <w:r w:rsidR="004B0FA4" w:rsidRPr="00EF2A33">
        <w:rPr>
          <w:lang w:val="en-GB"/>
        </w:rPr>
        <w:t xml:space="preserve">ere </w:t>
      </w:r>
      <w:proofErr w:type="spellStart"/>
      <w:r w:rsidR="004B0FA4" w:rsidRPr="00EF2A33">
        <w:rPr>
          <w:lang w:val="en-GB"/>
        </w:rPr>
        <w:t>i</w:t>
      </w:r>
      <w:proofErr w:type="spellEnd"/>
      <w:r w:rsidR="004B0FA4" w:rsidRPr="00EF2A33">
        <w:rPr>
          <w:lang w:val="en-GB"/>
        </w:rPr>
        <w:t xml:space="preserve"> and t stand for the firm and the </w:t>
      </w:r>
      <w:proofErr w:type="gramStart"/>
      <w:r w:rsidR="004B0FA4" w:rsidRPr="00EF2A33">
        <w:rPr>
          <w:lang w:val="en-GB"/>
        </w:rPr>
        <w:t>time period</w:t>
      </w:r>
      <w:proofErr w:type="gramEnd"/>
      <w:r w:rsidR="004B0FA4" w:rsidRPr="00EF2A33">
        <w:rPr>
          <w:lang w:val="en-GB"/>
        </w:rPr>
        <w:t>, respectively;</w:t>
      </w:r>
      <w:r w:rsidR="004B0FA4" w:rsidRPr="00EF2A33">
        <w:rPr>
          <w:iCs/>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0</m:t>
            </m:r>
          </m:sub>
        </m:sSub>
      </m:oMath>
      <w:r w:rsidR="004B0FA4" w:rsidRPr="00EF2A33">
        <w:rPr>
          <w:rFonts w:eastAsiaTheme="minorEastAsia"/>
          <w:i/>
          <w:lang w:val="en-GB"/>
        </w:rPr>
        <w:t xml:space="preserve"> =</w:t>
      </w:r>
      <w:r w:rsidR="004B0FA4" w:rsidRPr="00EF2A33">
        <w:rPr>
          <w:lang w:val="en-GB"/>
        </w:rPr>
        <w:t xml:space="preserve"> intercept;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 xml:space="preserve"> and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10</m:t>
            </m:r>
          </m:sub>
        </m:sSub>
      </m:oMath>
      <w:r w:rsidR="004B0FA4" w:rsidRPr="00EF2A33">
        <w:rPr>
          <w:rFonts w:eastAsiaTheme="minorEastAsia"/>
          <w:i/>
          <w:lang w:val="en-GB"/>
        </w:rPr>
        <w:t xml:space="preserve"> = Coefficient of slope parameters, and  </w:t>
      </w:r>
      <m:oMath>
        <m:r>
          <w:rPr>
            <w:rFonts w:ascii="Cambria Math" w:hAnsi="Cambria Math"/>
            <w:lang w:val="en-GB"/>
          </w:rPr>
          <m:t>ε</m:t>
        </m:r>
      </m:oMath>
      <w:r w:rsidR="004B0FA4" w:rsidRPr="00EF2A33">
        <w:rPr>
          <w:lang w:val="en-GB"/>
        </w:rPr>
        <w:t xml:space="preserve"> = error term. All </w:t>
      </w:r>
      <w:r w:rsidR="004B0FA4" w:rsidRPr="00EF2A33">
        <w:rPr>
          <w:rFonts w:eastAsia="Calibri"/>
          <w:lang w:val="en-GB"/>
        </w:rPr>
        <w:t>the variables are defined and measured in</w:t>
      </w:r>
      <w:r w:rsidR="004B0FA4" w:rsidRPr="00EF2A33">
        <w:rPr>
          <w:lang w:val="en-GB"/>
        </w:rPr>
        <w:t xml:space="preserve"> Table 2.</w:t>
      </w:r>
    </w:p>
    <w:p w14:paraId="19929E83" w14:textId="2E5A7981" w:rsidR="00F4037E" w:rsidRPr="00EF2A33" w:rsidRDefault="00F4037E" w:rsidP="003D243F">
      <w:pPr>
        <w:rPr>
          <w:b/>
          <w:bCs/>
          <w:lang w:val="en-GB"/>
        </w:rPr>
      </w:pPr>
      <w:r w:rsidRPr="00EF2A33">
        <w:rPr>
          <w:b/>
          <w:bCs/>
          <w:lang w:val="en-GB"/>
        </w:rPr>
        <w:t>6. Results and Discussions</w:t>
      </w:r>
    </w:p>
    <w:p w14:paraId="6C15F950" w14:textId="41C0A27D" w:rsidR="00F4037E" w:rsidRPr="00EF2A33" w:rsidRDefault="00F4037E" w:rsidP="003D243F">
      <w:pPr>
        <w:rPr>
          <w:b/>
          <w:bCs/>
          <w:i/>
          <w:iCs/>
          <w:lang w:val="en-GB"/>
        </w:rPr>
      </w:pPr>
      <w:r w:rsidRPr="00EF2A33">
        <w:rPr>
          <w:b/>
          <w:bCs/>
          <w:i/>
          <w:iCs/>
          <w:lang w:val="en-GB"/>
        </w:rPr>
        <w:t>6.1 Descriptive Statistics</w:t>
      </w:r>
    </w:p>
    <w:p w14:paraId="12806E8B" w14:textId="28F443AA" w:rsidR="00B34D84" w:rsidRPr="00EF2A33" w:rsidRDefault="00A12255" w:rsidP="003D243F">
      <w:pPr>
        <w:rPr>
          <w:lang w:val="en-GB"/>
        </w:rPr>
      </w:pPr>
      <w:r w:rsidRPr="00EF2A33">
        <w:rPr>
          <w:lang w:val="en-GB"/>
        </w:rPr>
        <w:t>Table 3</w:t>
      </w:r>
      <w:r w:rsidR="008A067C" w:rsidRPr="00EF2A33">
        <w:rPr>
          <w:lang w:val="en-GB"/>
        </w:rPr>
        <w:t xml:space="preserve"> </w:t>
      </w:r>
      <w:r w:rsidRPr="00EF2A33">
        <w:rPr>
          <w:lang w:val="en-GB"/>
        </w:rPr>
        <w:t>summarizes</w:t>
      </w:r>
      <w:r w:rsidR="005D00F9" w:rsidRPr="00EF2A33">
        <w:rPr>
          <w:lang w:val="en-GB"/>
        </w:rPr>
        <w:t xml:space="preserve"> the </w:t>
      </w:r>
      <w:r w:rsidR="009D14FB" w:rsidRPr="00EF2A33">
        <w:rPr>
          <w:lang w:val="en-GB"/>
        </w:rPr>
        <w:t xml:space="preserve">descriptive statistics </w:t>
      </w:r>
      <w:r w:rsidR="00555233" w:rsidRPr="00EF2A33">
        <w:rPr>
          <w:lang w:val="en-GB"/>
        </w:rPr>
        <w:t xml:space="preserve">related to the sample firms' </w:t>
      </w:r>
      <w:r w:rsidR="00BA5E5C" w:rsidRPr="00EF2A33">
        <w:rPr>
          <w:lang w:val="en-GB"/>
        </w:rPr>
        <w:t xml:space="preserve">independent variables, dependent variables </w:t>
      </w:r>
      <w:r w:rsidR="00555233" w:rsidRPr="00EF2A33">
        <w:rPr>
          <w:rFonts w:eastAsia="Calibri"/>
          <w:lang w:val="en-GB"/>
        </w:rPr>
        <w:t>and control variable</w:t>
      </w:r>
      <w:r w:rsidR="00555233" w:rsidRPr="00EF2A33">
        <w:rPr>
          <w:lang w:val="en-GB"/>
        </w:rPr>
        <w:t>s.</w:t>
      </w:r>
      <w:r w:rsidR="0063354B" w:rsidRPr="00EF2A33">
        <w:rPr>
          <w:lang w:val="en-GB"/>
        </w:rPr>
        <w:t xml:space="preserve"> </w:t>
      </w:r>
      <w:r w:rsidR="00ED1897" w:rsidRPr="00EF2A33">
        <w:rPr>
          <w:lang w:val="en-GB"/>
        </w:rPr>
        <w:t>T</w:t>
      </w:r>
      <w:r w:rsidR="00366F66" w:rsidRPr="00EF2A33">
        <w:rPr>
          <w:lang w:val="en-GB"/>
        </w:rPr>
        <w:t>able</w:t>
      </w:r>
      <w:r w:rsidR="00ED1897" w:rsidRPr="00EF2A33">
        <w:rPr>
          <w:lang w:val="en-GB"/>
        </w:rPr>
        <w:t xml:space="preserve"> 3</w:t>
      </w:r>
      <w:r w:rsidR="00366F66" w:rsidRPr="00EF2A33">
        <w:rPr>
          <w:lang w:val="en-GB"/>
        </w:rPr>
        <w:t xml:space="preserve"> </w:t>
      </w:r>
      <w:r w:rsidR="00ED1897" w:rsidRPr="00EF2A33">
        <w:rPr>
          <w:lang w:val="en-GB"/>
        </w:rPr>
        <w:t>presents</w:t>
      </w:r>
      <w:r w:rsidR="005D558E" w:rsidRPr="00EF2A33">
        <w:rPr>
          <w:lang w:val="en-GB"/>
        </w:rPr>
        <w:t xml:space="preserve"> mean value, standard deviation, and minimum and maximum values that </w:t>
      </w:r>
      <w:r w:rsidR="00366F66" w:rsidRPr="00EF2A33">
        <w:rPr>
          <w:lang w:val="en-GB"/>
        </w:rPr>
        <w:t>generat</w:t>
      </w:r>
      <w:r w:rsidR="00BE31C5" w:rsidRPr="00EF2A33">
        <w:rPr>
          <w:lang w:val="en-GB"/>
        </w:rPr>
        <w:t xml:space="preserve">e valuable insights about the sample companies’ existing </w:t>
      </w:r>
      <w:r w:rsidR="00BA5E5C" w:rsidRPr="00EF2A33">
        <w:rPr>
          <w:lang w:val="en-GB"/>
        </w:rPr>
        <w:t>ownership structure, board characteristics</w:t>
      </w:r>
      <w:r w:rsidR="00BA5E5C" w:rsidRPr="00EF2A33">
        <w:rPr>
          <w:rFonts w:eastAsia="Calibri"/>
          <w:lang w:val="en-GB"/>
        </w:rPr>
        <w:t>, and profitability.</w:t>
      </w:r>
      <w:r w:rsidR="00345F98" w:rsidRPr="00EF2A33">
        <w:rPr>
          <w:lang w:val="en-GB"/>
        </w:rPr>
        <w:t xml:space="preserve"> </w:t>
      </w:r>
      <w:r w:rsidR="00D21A68" w:rsidRPr="00EF2A33">
        <w:rPr>
          <w:lang w:val="en-GB"/>
        </w:rPr>
        <w:t xml:space="preserve">According to Panel A of Table 3, the </w:t>
      </w:r>
      <w:r w:rsidR="009D4DA5" w:rsidRPr="00EF2A33">
        <w:rPr>
          <w:lang w:val="en-GB"/>
        </w:rPr>
        <w:t xml:space="preserve">sponsors and directors </w:t>
      </w:r>
      <w:r w:rsidR="00ED1897" w:rsidRPr="00EF2A33">
        <w:rPr>
          <w:lang w:val="en-GB"/>
        </w:rPr>
        <w:t xml:space="preserve">are the majority shareholder who </w:t>
      </w:r>
      <w:r w:rsidR="009D4DA5" w:rsidRPr="00EF2A33">
        <w:rPr>
          <w:lang w:val="en-GB"/>
        </w:rPr>
        <w:t>hold</w:t>
      </w:r>
      <w:r w:rsidR="00ED1897" w:rsidRPr="00EF2A33">
        <w:rPr>
          <w:lang w:val="en-GB"/>
        </w:rPr>
        <w:t>s</w:t>
      </w:r>
      <w:r w:rsidR="009D4DA5" w:rsidRPr="00EF2A33">
        <w:rPr>
          <w:lang w:val="en-GB"/>
        </w:rPr>
        <w:t xml:space="preserve"> the highest percentage of average value 47.78%, with a minimum value of 2.67% and a maximum value of 90%.</w:t>
      </w:r>
      <w:r w:rsidR="00290102" w:rsidRPr="00EF2A33">
        <w:rPr>
          <w:lang w:val="en-GB"/>
        </w:rPr>
        <w:t xml:space="preserve"> A</w:t>
      </w:r>
      <w:r w:rsidR="004354AC" w:rsidRPr="00EF2A33">
        <w:rPr>
          <w:lang w:val="en-GB"/>
        </w:rPr>
        <w:t>s sponsor and directors are the pioneer of a firm and focus on maximum holding</w:t>
      </w:r>
      <w:r w:rsidR="00290102" w:rsidRPr="00EF2A33">
        <w:rPr>
          <w:lang w:val="en-GB"/>
        </w:rPr>
        <w:t xml:space="preserve"> as a part of corporate norm</w:t>
      </w:r>
      <w:r w:rsidR="004354AC" w:rsidRPr="00EF2A33">
        <w:rPr>
          <w:lang w:val="en-GB"/>
        </w:rPr>
        <w:t>. On the other hand, t</w:t>
      </w:r>
      <w:r w:rsidR="00AD2BB3" w:rsidRPr="00EF2A33">
        <w:rPr>
          <w:lang w:val="en-GB"/>
        </w:rPr>
        <w:t xml:space="preserve">he institutional ownership holds the second position where the </w:t>
      </w:r>
      <w:r w:rsidR="00D21A68" w:rsidRPr="00EF2A33">
        <w:rPr>
          <w:lang w:val="en-GB"/>
        </w:rPr>
        <w:t>average value of institutional ownership is 18.15%, with a minimum value of .24% and a maximum value of 54.36%</w:t>
      </w:r>
      <w:r w:rsidR="00CC07D4" w:rsidRPr="00EF2A33">
        <w:rPr>
          <w:lang w:val="en-GB"/>
        </w:rPr>
        <w:t>.</w:t>
      </w:r>
      <w:r w:rsidR="00C51EED" w:rsidRPr="00EF2A33">
        <w:rPr>
          <w:lang w:val="en-GB"/>
        </w:rPr>
        <w:t xml:space="preserve"> </w:t>
      </w:r>
      <w:r w:rsidR="004354AC" w:rsidRPr="00EF2A33">
        <w:rPr>
          <w:lang w:val="en-GB"/>
        </w:rPr>
        <w:t xml:space="preserve">As the institutional ownership always </w:t>
      </w:r>
      <w:r w:rsidR="00E81451" w:rsidRPr="00EF2A33">
        <w:rPr>
          <w:lang w:val="en-GB"/>
        </w:rPr>
        <w:t>focuses</w:t>
      </w:r>
      <w:r w:rsidR="004354AC" w:rsidRPr="00EF2A33">
        <w:rPr>
          <w:lang w:val="en-GB"/>
        </w:rPr>
        <w:t xml:space="preserve"> on the safety and required return, they always grab the investment opportunities in various firms.</w:t>
      </w:r>
      <w:r w:rsidR="00E81451" w:rsidRPr="00EF2A33">
        <w:rPr>
          <w:lang w:val="en-GB"/>
        </w:rPr>
        <w:t xml:space="preserve"> </w:t>
      </w:r>
      <w:r w:rsidR="00C51EED" w:rsidRPr="00EF2A33">
        <w:rPr>
          <w:lang w:val="en-GB"/>
        </w:rPr>
        <w:t xml:space="preserve">Our results reveal that government ownership and foreign ownership are very close to each other with the average ownership </w:t>
      </w:r>
      <w:r w:rsidR="00E63132" w:rsidRPr="00EF2A33">
        <w:t>8.61</w:t>
      </w:r>
      <w:r w:rsidR="00C51EED" w:rsidRPr="00EF2A33">
        <w:t xml:space="preserve">% and </w:t>
      </w:r>
      <w:r w:rsidR="00E63132" w:rsidRPr="00EF2A33">
        <w:t>6.95</w:t>
      </w:r>
      <w:r w:rsidR="00C51EED" w:rsidRPr="00EF2A33">
        <w:t xml:space="preserve">% respectively. </w:t>
      </w:r>
      <w:r w:rsidR="00BD1305" w:rsidRPr="00EF2A33">
        <w:t>The reason behind the lower government ownership is that government always cares</w:t>
      </w:r>
      <w:r w:rsidR="00E81451" w:rsidRPr="00EF2A33">
        <w:t xml:space="preserve"> about the </w:t>
      </w:r>
      <w:proofErr w:type="gramStart"/>
      <w:r w:rsidR="00E81451" w:rsidRPr="00EF2A33">
        <w:t>state run</w:t>
      </w:r>
      <w:proofErr w:type="gramEnd"/>
      <w:r w:rsidR="00E81451" w:rsidRPr="00EF2A33">
        <w:t xml:space="preserve"> firms </w:t>
      </w:r>
      <w:r w:rsidR="00995F1E" w:rsidRPr="00EF2A33">
        <w:t>rather than</w:t>
      </w:r>
      <w:r w:rsidR="00BD1305" w:rsidRPr="00EF2A33">
        <w:t xml:space="preserve"> other commercial firms. On the other hand, </w:t>
      </w:r>
      <w:r w:rsidR="00C81F24" w:rsidRPr="00EF2A33">
        <w:t xml:space="preserve">the </w:t>
      </w:r>
      <w:r w:rsidR="00C81F24" w:rsidRPr="00EF2A33">
        <w:rPr>
          <w:lang w:val="en-GB"/>
        </w:rPr>
        <w:t>least amount of foreign ownership in a firm might be for many reasons including</w:t>
      </w:r>
      <w:r w:rsidR="00E81451" w:rsidRPr="00EF2A33">
        <w:t xml:space="preserve"> </w:t>
      </w:r>
      <w:r w:rsidR="00BD1305" w:rsidRPr="00EF2A33">
        <w:t>macro-economic</w:t>
      </w:r>
      <w:r w:rsidR="00E81451" w:rsidRPr="00EF2A33">
        <w:t xml:space="preserve"> stability, long run goal and investment safety</w:t>
      </w:r>
      <w:r w:rsidR="00BD1305" w:rsidRPr="00EF2A33">
        <w:t xml:space="preserve"> for their investment</w:t>
      </w:r>
      <w:r w:rsidR="00C81F24" w:rsidRPr="00EF2A33">
        <w:t xml:space="preserve">. </w:t>
      </w:r>
      <w:r w:rsidR="00C81F24" w:rsidRPr="00EF2A33">
        <w:rPr>
          <w:lang w:val="en-GB"/>
        </w:rPr>
        <w:t>This result indicates that not all firms in the sample are robust enough to attract foreign investors interested in them. However, some firms have enough foreign ownership almost to take over the whole operation</w:t>
      </w:r>
      <w:r w:rsidR="00587BC3" w:rsidRPr="00EF2A33">
        <w:rPr>
          <w:lang w:val="en-GB"/>
        </w:rPr>
        <w:t xml:space="preserve"> and even Bangladesh has lots of room for improvement in attracting foreign investment</w:t>
      </w:r>
      <w:r w:rsidR="00C81F24" w:rsidRPr="00EF2A33">
        <w:rPr>
          <w:lang w:val="en-GB"/>
        </w:rPr>
        <w:t>.</w:t>
      </w:r>
      <w:r w:rsidR="00833714" w:rsidRPr="00EF2A33">
        <w:t xml:space="preserve"> </w:t>
      </w:r>
      <w:r w:rsidR="00E2431E" w:rsidRPr="00EF2A33">
        <w:rPr>
          <w:lang w:val="en-GB"/>
        </w:rPr>
        <w:t xml:space="preserve">Regarding the board </w:t>
      </w:r>
      <w:r w:rsidR="00984379" w:rsidRPr="00EF2A33">
        <w:rPr>
          <w:lang w:val="en-GB"/>
        </w:rPr>
        <w:t xml:space="preserve">characteristics, the average board size is </w:t>
      </w:r>
      <w:r w:rsidR="00984379" w:rsidRPr="00EF2A33">
        <w:t>9.41</w:t>
      </w:r>
      <w:r w:rsidR="00984379" w:rsidRPr="00EF2A33">
        <w:rPr>
          <w:lang w:val="en-GB"/>
        </w:rPr>
        <w:t xml:space="preserve">, ranging from </w:t>
      </w:r>
      <w:r w:rsidR="00984379" w:rsidRPr="00EF2A33">
        <w:rPr>
          <w:rFonts w:eastAsia="Calibri"/>
          <w:lang w:val="en-GB"/>
        </w:rPr>
        <w:t>a minimum of 5 to 18</w:t>
      </w:r>
      <w:r w:rsidR="00984379" w:rsidRPr="00EF2A33">
        <w:rPr>
          <w:lang w:val="en-GB"/>
        </w:rPr>
        <w:t xml:space="preserve">, indicating that the board of directors is mostly in line with </w:t>
      </w:r>
      <w:r w:rsidR="00F34D9B" w:rsidRPr="00EF2A33">
        <w:rPr>
          <w:lang w:val="en-GB"/>
        </w:rPr>
        <w:t>corporate governance (</w:t>
      </w:r>
      <w:r w:rsidR="00984379" w:rsidRPr="00EF2A33">
        <w:rPr>
          <w:lang w:val="en-GB"/>
        </w:rPr>
        <w:t>CG</w:t>
      </w:r>
      <w:r w:rsidR="00F34D9B" w:rsidRPr="00EF2A33">
        <w:rPr>
          <w:lang w:val="en-GB"/>
        </w:rPr>
        <w:t>)</w:t>
      </w:r>
      <w:r w:rsidR="00984379" w:rsidRPr="00EF2A33">
        <w:rPr>
          <w:lang w:val="en-GB"/>
        </w:rPr>
        <w:t xml:space="preserve"> guideline</w:t>
      </w:r>
      <w:r w:rsidR="00984379" w:rsidRPr="00EF2A33">
        <w:rPr>
          <w:rFonts w:eastAsia="Calibri"/>
          <w:lang w:val="en-GB"/>
        </w:rPr>
        <w:t>s (</w:t>
      </w:r>
      <w:r w:rsidR="00984379" w:rsidRPr="00EF2A33">
        <w:rPr>
          <w:lang w:val="en-GB"/>
        </w:rPr>
        <w:t>Bangladesh Securities and Exchange Commission, 2018)</w:t>
      </w:r>
      <w:r w:rsidR="009A46BE" w:rsidRPr="00EF2A33">
        <w:rPr>
          <w:rFonts w:eastAsia="Calibri"/>
          <w:lang w:val="en-GB"/>
        </w:rPr>
        <w:t>.</w:t>
      </w:r>
      <w:r w:rsidR="002737A3" w:rsidRPr="00EF2A33">
        <w:rPr>
          <w:rFonts w:eastAsia="Calibri"/>
          <w:lang w:val="en-GB"/>
        </w:rPr>
        <w:t xml:space="preserve"> </w:t>
      </w:r>
      <w:r w:rsidR="002737A3" w:rsidRPr="00EF2A33">
        <w:rPr>
          <w:lang w:val="en-GB"/>
        </w:rPr>
        <w:t xml:space="preserve">Additionally, companies nominate independent directors at a rate ranging from 7% to 70%, with an average of </w:t>
      </w:r>
      <w:r w:rsidR="002737A3" w:rsidRPr="00EF2A33">
        <w:t>24.37</w:t>
      </w:r>
      <w:r w:rsidR="00F822F6" w:rsidRPr="00EF2A33">
        <w:rPr>
          <w:lang w:val="en-GB"/>
        </w:rPr>
        <w:t>% during the</w:t>
      </w:r>
      <w:r w:rsidR="002737A3" w:rsidRPr="00EF2A33">
        <w:rPr>
          <w:lang w:val="en-GB"/>
        </w:rPr>
        <w:t xml:space="preserve"> period. This is also </w:t>
      </w:r>
      <w:r w:rsidR="002737A3" w:rsidRPr="00EF2A33">
        <w:rPr>
          <w:lang w:val="en-GB"/>
        </w:rPr>
        <w:lastRenderedPageBreak/>
        <w:t>consistent with CG guidelines</w:t>
      </w:r>
      <w:r w:rsidR="002737A3" w:rsidRPr="00EF2A33">
        <w:rPr>
          <w:rFonts w:eastAsia="Calibri"/>
          <w:lang w:val="en-GB"/>
        </w:rPr>
        <w:t xml:space="preserve">, </w:t>
      </w:r>
      <w:r w:rsidR="002737A3" w:rsidRPr="00EF2A33">
        <w:rPr>
          <w:lang w:val="en-GB"/>
        </w:rPr>
        <w:t xml:space="preserve">where the </w:t>
      </w:r>
      <w:r w:rsidR="007D3C19" w:rsidRPr="00EF2A33">
        <w:rPr>
          <w:lang w:val="en-GB"/>
        </w:rPr>
        <w:t xml:space="preserve">requirement </w:t>
      </w:r>
      <w:r w:rsidR="002737A3" w:rsidRPr="00EF2A33">
        <w:rPr>
          <w:lang w:val="en-GB"/>
        </w:rPr>
        <w:t xml:space="preserve">number of independent directors is </w:t>
      </w:r>
      <w:r w:rsidR="007D3C19" w:rsidRPr="00EF2A33">
        <w:rPr>
          <w:lang w:val="en-GB"/>
        </w:rPr>
        <w:t>1/5</w:t>
      </w:r>
      <w:r w:rsidR="007D3C19" w:rsidRPr="00EF2A33">
        <w:rPr>
          <w:vertAlign w:val="superscript"/>
          <w:lang w:val="en-GB"/>
        </w:rPr>
        <w:t>th</w:t>
      </w:r>
      <w:r w:rsidR="007D3C19" w:rsidRPr="00EF2A33">
        <w:rPr>
          <w:lang w:val="en-GB"/>
        </w:rPr>
        <w:t xml:space="preserve"> or </w:t>
      </w:r>
      <w:r w:rsidR="002737A3" w:rsidRPr="00EF2A33">
        <w:rPr>
          <w:lang w:val="en-GB"/>
        </w:rPr>
        <w:t xml:space="preserve">20% of </w:t>
      </w:r>
      <w:r w:rsidR="002737A3" w:rsidRPr="00EF2A33">
        <w:rPr>
          <w:rFonts w:eastAsia="Calibri"/>
          <w:lang w:val="en-GB"/>
        </w:rPr>
        <w:t xml:space="preserve">the total </w:t>
      </w:r>
      <w:r w:rsidR="002737A3" w:rsidRPr="00EF2A33">
        <w:rPr>
          <w:lang w:val="en-GB"/>
        </w:rPr>
        <w:t>board members (Bangladesh Securities and Exchange Commission, 2018).</w:t>
      </w:r>
      <w:r w:rsidR="00B5412C" w:rsidRPr="00EF2A33">
        <w:rPr>
          <w:lang w:val="en-GB"/>
        </w:rPr>
        <w:t xml:space="preserve"> Even though CG rules do not specify any requirement for the number or proportion of female directors, we find an average of </w:t>
      </w:r>
      <w:r w:rsidR="00E63132" w:rsidRPr="00EF2A33">
        <w:t>16.69</w:t>
      </w:r>
      <w:r w:rsidR="00B5412C" w:rsidRPr="00EF2A33">
        <w:rPr>
          <w:lang w:val="en-GB"/>
        </w:rPr>
        <w:t>% female directors</w:t>
      </w:r>
      <w:r w:rsidR="00B5412C" w:rsidRPr="00EF2A33">
        <w:rPr>
          <w:lang w:val="en-GB" w:bidi="bn-BD"/>
        </w:rPr>
        <w:t>, which is higher than the existing international literature of 7% (</w:t>
      </w:r>
      <w:r w:rsidR="00B5412C" w:rsidRPr="00EF2A33">
        <w:rPr>
          <w:lang w:val="en-GB"/>
        </w:rPr>
        <w:t>Terjesen et al., 2009</w:t>
      </w:r>
      <w:r w:rsidR="00B5412C" w:rsidRPr="00EF2A33">
        <w:rPr>
          <w:lang w:val="en-GB" w:bidi="bn-BD"/>
        </w:rPr>
        <w:t>).</w:t>
      </w:r>
      <w:r w:rsidR="008630A0" w:rsidRPr="00EF2A33">
        <w:rPr>
          <w:lang w:val="en-GB" w:bidi="bn-BD"/>
        </w:rPr>
        <w:t xml:space="preserve"> </w:t>
      </w:r>
      <w:r w:rsidR="008630A0" w:rsidRPr="00EF2A33">
        <w:rPr>
          <w:lang w:val="en-GB"/>
        </w:rPr>
        <w:t>In addition, during the</w:t>
      </w:r>
      <w:r w:rsidR="008630A0" w:rsidRPr="00EF2A33">
        <w:rPr>
          <w:rFonts w:eastAsia="Calibri"/>
          <w:lang w:val="en-GB"/>
        </w:rPr>
        <w:t xml:space="preserve"> period,</w:t>
      </w:r>
      <w:r w:rsidR="008630A0" w:rsidRPr="00EF2A33">
        <w:rPr>
          <w:lang w:val="en-GB" w:bidi="bn-BD"/>
        </w:rPr>
        <w:t xml:space="preserve"> firms follow the provision of board meeting</w:t>
      </w:r>
      <w:r w:rsidR="008630A0" w:rsidRPr="00EF2A33">
        <w:rPr>
          <w:rFonts w:eastAsia="Calibri"/>
          <w:lang w:val="en-GB"/>
        </w:rPr>
        <w:t xml:space="preserve">s, where </w:t>
      </w:r>
      <w:r w:rsidR="008630A0" w:rsidRPr="00EF2A33">
        <w:rPr>
          <w:lang w:val="en-GB" w:bidi="bn-BD"/>
        </w:rPr>
        <w:t>the average number of board meeting</w:t>
      </w:r>
      <w:r w:rsidR="008630A0" w:rsidRPr="00EF2A33">
        <w:rPr>
          <w:rFonts w:eastAsia="Calibri"/>
          <w:lang w:val="en-GB"/>
        </w:rPr>
        <w:t xml:space="preserve">s is </w:t>
      </w:r>
      <w:r w:rsidR="00E63132" w:rsidRPr="00EF2A33">
        <w:t>13.13</w:t>
      </w:r>
      <w:r w:rsidR="00961D38" w:rsidRPr="00EF2A33">
        <w:t xml:space="preserve"> times</w:t>
      </w:r>
      <w:r w:rsidR="00865760" w:rsidRPr="00EF2A33">
        <w:t>,</w:t>
      </w:r>
      <w:r w:rsidR="00865760" w:rsidRPr="00EF2A33">
        <w:rPr>
          <w:lang w:val="en-GB" w:bidi="bn-BD"/>
        </w:rPr>
        <w:t xml:space="preserve"> </w:t>
      </w:r>
      <w:r w:rsidR="00865760" w:rsidRPr="00EF2A33">
        <w:rPr>
          <w:lang w:val="en-GB"/>
        </w:rPr>
        <w:t xml:space="preserve">with a minimum value </w:t>
      </w:r>
      <w:r w:rsidR="007A5110" w:rsidRPr="00EF2A33">
        <w:rPr>
          <w:lang w:val="en-GB"/>
        </w:rPr>
        <w:t xml:space="preserve">of </w:t>
      </w:r>
      <w:r w:rsidR="00865760" w:rsidRPr="00EF2A33">
        <w:t xml:space="preserve">4 </w:t>
      </w:r>
      <w:r w:rsidR="00865760" w:rsidRPr="00EF2A33">
        <w:rPr>
          <w:lang w:val="en-GB"/>
        </w:rPr>
        <w:t xml:space="preserve">and a maximum value </w:t>
      </w:r>
      <w:r w:rsidR="007A5110" w:rsidRPr="00EF2A33">
        <w:rPr>
          <w:lang w:val="en-GB"/>
        </w:rPr>
        <w:t xml:space="preserve">of </w:t>
      </w:r>
      <w:r w:rsidR="00865760" w:rsidRPr="00EF2A33">
        <w:rPr>
          <w:lang w:val="en-GB"/>
        </w:rPr>
        <w:t>44.</w:t>
      </w:r>
      <w:r w:rsidR="002D0B73" w:rsidRPr="00EF2A33">
        <w:rPr>
          <w:lang w:val="en-GB"/>
        </w:rPr>
        <w:t xml:space="preserve"> </w:t>
      </w:r>
      <w:r w:rsidR="002D0B73" w:rsidRPr="00EF2A33">
        <w:rPr>
          <w:lang w:val="en-GB" w:bidi="bn-BD"/>
        </w:rPr>
        <w:t>Additionally, the findings demonstrate that</w:t>
      </w:r>
      <w:r w:rsidR="004D21D1" w:rsidRPr="00EF2A33">
        <w:rPr>
          <w:lang w:val="en-GB" w:bidi="bn-BD"/>
        </w:rPr>
        <w:t xml:space="preserve"> the average percentage of family ownership in a board is </w:t>
      </w:r>
      <w:r w:rsidR="004D21D1" w:rsidRPr="00EF2A33">
        <w:t>23.22</w:t>
      </w:r>
      <w:r w:rsidR="003D3B15" w:rsidRPr="00EF2A33">
        <w:t>,</w:t>
      </w:r>
      <w:r w:rsidR="004D21D1" w:rsidRPr="00EF2A33">
        <w:t xml:space="preserve"> </w:t>
      </w:r>
      <w:r w:rsidR="004D21D1" w:rsidRPr="00EF2A33">
        <w:rPr>
          <w:lang w:val="en-GB"/>
        </w:rPr>
        <w:t xml:space="preserve">with a minimum value </w:t>
      </w:r>
      <w:r w:rsidR="007A5110" w:rsidRPr="00EF2A33">
        <w:rPr>
          <w:lang w:val="en-GB"/>
        </w:rPr>
        <w:t xml:space="preserve">of </w:t>
      </w:r>
      <w:r w:rsidR="004D21D1" w:rsidRPr="00EF2A33">
        <w:t xml:space="preserve">0 </w:t>
      </w:r>
      <w:r w:rsidR="004D21D1" w:rsidRPr="00EF2A33">
        <w:rPr>
          <w:lang w:val="en-GB"/>
        </w:rPr>
        <w:t xml:space="preserve">and a maximum value </w:t>
      </w:r>
      <w:r w:rsidR="007A5110" w:rsidRPr="00EF2A33">
        <w:rPr>
          <w:lang w:val="en-GB"/>
        </w:rPr>
        <w:t xml:space="preserve">of </w:t>
      </w:r>
      <w:r w:rsidR="004D21D1" w:rsidRPr="00EF2A33">
        <w:rPr>
          <w:lang w:val="en-GB"/>
        </w:rPr>
        <w:t>87.5.</w:t>
      </w:r>
      <w:r w:rsidR="003D3B15" w:rsidRPr="00EF2A33">
        <w:rPr>
          <w:lang w:val="en-GB"/>
        </w:rPr>
        <w:t xml:space="preserve"> We find</w:t>
      </w:r>
      <w:r w:rsidR="00B3079F" w:rsidRPr="00EF2A33">
        <w:rPr>
          <w:lang w:val="en-GB"/>
        </w:rPr>
        <w:t xml:space="preserve"> that</w:t>
      </w:r>
      <w:r w:rsidR="003D3B15" w:rsidRPr="00EF2A33">
        <w:rPr>
          <w:lang w:val="en-GB"/>
        </w:rPr>
        <w:t xml:space="preserve"> the average value of directors’ education is </w:t>
      </w:r>
      <w:r w:rsidR="003D3B15" w:rsidRPr="00EF2A33">
        <w:t>2.3</w:t>
      </w:r>
      <w:r w:rsidR="004D5109" w:rsidRPr="00EF2A33">
        <w:t>1</w:t>
      </w:r>
      <w:r w:rsidR="003D3B15" w:rsidRPr="00EF2A33">
        <w:t xml:space="preserve">, </w:t>
      </w:r>
      <w:r w:rsidR="003D3B15" w:rsidRPr="00EF2A33">
        <w:rPr>
          <w:lang w:val="en-GB"/>
        </w:rPr>
        <w:t xml:space="preserve">with a minimum value </w:t>
      </w:r>
      <w:r w:rsidR="003D3B15" w:rsidRPr="00EF2A33">
        <w:t xml:space="preserve">1 </w:t>
      </w:r>
      <w:r w:rsidR="003D3B15" w:rsidRPr="00EF2A33">
        <w:rPr>
          <w:lang w:val="en-GB"/>
        </w:rPr>
        <w:t>and a maximum value 3.5.</w:t>
      </w:r>
    </w:p>
    <w:p w14:paraId="2D97FDB7" w14:textId="4955F894" w:rsidR="00333786" w:rsidRPr="00EF2A33" w:rsidRDefault="0036156A" w:rsidP="009A6F89">
      <w:pPr>
        <w:rPr>
          <w:lang w:val="en-GB"/>
        </w:rPr>
      </w:pPr>
      <w:r w:rsidRPr="00EF2A33">
        <w:rPr>
          <w:rFonts w:eastAsia="Times New Roman"/>
          <w:lang w:val="en-GB"/>
        </w:rPr>
        <w:t>Panel B of Table 3 describes</w:t>
      </w:r>
      <w:r w:rsidRPr="00EF2A33">
        <w:rPr>
          <w:lang w:val="en-GB"/>
        </w:rPr>
        <w:t xml:space="preserve"> </w:t>
      </w:r>
      <w:r w:rsidRPr="00EF2A33">
        <w:rPr>
          <w:rFonts w:eastAsia="Calibri"/>
          <w:noProof/>
          <w:lang w:val="en-GB"/>
        </w:rPr>
        <w:t xml:space="preserve">the accounting and </w:t>
      </w:r>
      <w:r w:rsidR="007A5110" w:rsidRPr="00EF2A33">
        <w:rPr>
          <w:rFonts w:eastAsia="Calibri"/>
          <w:noProof/>
          <w:lang w:val="en-GB"/>
        </w:rPr>
        <w:t>market-based</w:t>
      </w:r>
      <w:r w:rsidRPr="00EF2A33">
        <w:rPr>
          <w:rFonts w:eastAsia="Calibri"/>
          <w:noProof/>
          <w:lang w:val="en-GB"/>
        </w:rPr>
        <w:t xml:space="preserve"> profitability matrix. </w:t>
      </w:r>
      <w:r w:rsidRPr="00EF2A33">
        <w:rPr>
          <w:lang w:val="en-GB"/>
        </w:rPr>
        <w:t xml:space="preserve">Regarding the </w:t>
      </w:r>
      <w:r w:rsidR="007A5110" w:rsidRPr="00EF2A33">
        <w:rPr>
          <w:rFonts w:eastAsia="Calibri"/>
          <w:noProof/>
          <w:lang w:val="en-GB"/>
        </w:rPr>
        <w:t>accouting-based</w:t>
      </w:r>
      <w:r w:rsidRPr="00EF2A33">
        <w:rPr>
          <w:rFonts w:eastAsia="Calibri"/>
          <w:noProof/>
          <w:lang w:val="en-GB"/>
        </w:rPr>
        <w:t xml:space="preserve"> </w:t>
      </w:r>
      <w:r w:rsidR="007A5110" w:rsidRPr="00EF2A33">
        <w:rPr>
          <w:rFonts w:eastAsia="Calibri"/>
          <w:noProof/>
          <w:lang w:val="en-GB"/>
        </w:rPr>
        <w:t>profitability</w:t>
      </w:r>
      <w:r w:rsidR="00000804" w:rsidRPr="00EF2A33">
        <w:rPr>
          <w:lang w:val="en-GB"/>
        </w:rPr>
        <w:t>;</w:t>
      </w:r>
      <w:r w:rsidRPr="00EF2A33">
        <w:rPr>
          <w:lang w:val="en-GB"/>
        </w:rPr>
        <w:t xml:space="preserve"> the return on assets </w:t>
      </w:r>
      <w:r w:rsidR="00DF6CA2" w:rsidRPr="00EF2A33">
        <w:rPr>
          <w:lang w:val="en-GB"/>
        </w:rPr>
        <w:t>has a mean of approximately 7.3</w:t>
      </w:r>
      <w:r w:rsidRPr="00EF2A33">
        <w:rPr>
          <w:lang w:val="en-GB"/>
        </w:rPr>
        <w:t>%, a maximum of 43.1</w:t>
      </w:r>
      <w:r w:rsidR="00E63132" w:rsidRPr="00EF2A33">
        <w:rPr>
          <w:lang w:val="en-GB"/>
        </w:rPr>
        <w:t>%, and a minimum of 1</w:t>
      </w:r>
      <w:r w:rsidRPr="00EF2A33">
        <w:rPr>
          <w:lang w:val="en-GB"/>
        </w:rPr>
        <w:t>%. On the other hand, return on equity has a m</w:t>
      </w:r>
      <w:r w:rsidR="00DA0C86" w:rsidRPr="00EF2A33">
        <w:rPr>
          <w:lang w:val="en-GB"/>
        </w:rPr>
        <w:t>aximum of 90%, a minimum of 1</w:t>
      </w:r>
      <w:r w:rsidRPr="00EF2A33">
        <w:rPr>
          <w:lang w:val="en-GB"/>
        </w:rPr>
        <w:t xml:space="preserve">%, </w:t>
      </w:r>
      <w:r w:rsidR="00DF6CA2" w:rsidRPr="00EF2A33">
        <w:rPr>
          <w:lang w:val="en-GB"/>
        </w:rPr>
        <w:t>and a mean of approximately 17.3</w:t>
      </w:r>
      <w:r w:rsidRPr="00EF2A33">
        <w:rPr>
          <w:lang w:val="en-GB"/>
        </w:rPr>
        <w:t xml:space="preserve">%. </w:t>
      </w:r>
      <w:r w:rsidR="00555005" w:rsidRPr="00EF2A33">
        <w:rPr>
          <w:lang w:val="en-GB"/>
        </w:rPr>
        <w:t xml:space="preserve">The mean value of the market-to-book ratio and </w:t>
      </w:r>
      <w:r w:rsidR="006B629D" w:rsidRPr="00EF2A33">
        <w:rPr>
          <w:lang w:val="en-GB"/>
        </w:rPr>
        <w:t>Tobin’s Q</w:t>
      </w:r>
      <w:r w:rsidR="006B629D" w:rsidRPr="00EF2A33">
        <w:t xml:space="preserve"> </w:t>
      </w:r>
      <w:r w:rsidR="00555005" w:rsidRPr="00EF2A33">
        <w:t>are</w:t>
      </w:r>
      <w:r w:rsidR="00555005" w:rsidRPr="00EF2A33">
        <w:rPr>
          <w:lang w:val="en-GB"/>
        </w:rPr>
        <w:t xml:space="preserve"> around </w:t>
      </w:r>
      <w:r w:rsidR="00DA0C86" w:rsidRPr="00EF2A33">
        <w:t>7.68</w:t>
      </w:r>
      <w:r w:rsidR="00555005" w:rsidRPr="00EF2A33">
        <w:t xml:space="preserve"> and </w:t>
      </w:r>
      <w:r w:rsidR="00DA0C86" w:rsidRPr="00EF2A33">
        <w:t>2.33</w:t>
      </w:r>
      <w:r w:rsidR="00555005" w:rsidRPr="00EF2A33">
        <w:t xml:space="preserve"> respectively.</w:t>
      </w:r>
      <w:r w:rsidR="00A33F7F" w:rsidRPr="00EF2A33">
        <w:rPr>
          <w:lang w:val="en-GB"/>
        </w:rPr>
        <w:t xml:space="preserve"> </w:t>
      </w:r>
      <w:r w:rsidR="00DF6CA2" w:rsidRPr="00EF2A33">
        <w:rPr>
          <w:lang w:val="en-GB"/>
        </w:rPr>
        <w:t xml:space="preserve">These statistics illustrate the variability in performance across the sample firms, providing insights into the distribution and range of each dependent variable. </w:t>
      </w:r>
      <w:r w:rsidRPr="00EF2A33">
        <w:rPr>
          <w:lang w:val="en-GB"/>
        </w:rPr>
        <w:t>These statistics illustrate the variability in performance across the sample firms, providing insights into the distribution and range of each dependent variable.</w:t>
      </w:r>
    </w:p>
    <w:p w14:paraId="1AFF3471" w14:textId="4688AA33" w:rsidR="009A6F89" w:rsidRPr="00EF2A33" w:rsidRDefault="00333786" w:rsidP="003D243F">
      <w:pPr>
        <w:rPr>
          <w:rFonts w:eastAsia="Calibri"/>
          <w:noProof/>
          <w:lang w:val="en-GB"/>
        </w:rPr>
      </w:pPr>
      <w:r w:rsidRPr="00EF2A33">
        <w:rPr>
          <w:lang w:val="en-GB"/>
        </w:rPr>
        <w:t>Regarding the control variable</w:t>
      </w:r>
      <w:r w:rsidR="00BA4783" w:rsidRPr="00EF2A33">
        <w:rPr>
          <w:lang w:val="en-GB"/>
        </w:rPr>
        <w:t>s</w:t>
      </w:r>
      <w:r w:rsidRPr="00EF2A33">
        <w:rPr>
          <w:lang w:val="en-GB"/>
        </w:rPr>
        <w:t xml:space="preserve">, </w:t>
      </w:r>
      <w:r w:rsidRPr="00EF2A33">
        <w:rPr>
          <w:rFonts w:eastAsia="Times New Roman"/>
          <w:lang w:val="en-GB"/>
        </w:rPr>
        <w:t>Panel C of Table 3 describes</w:t>
      </w:r>
      <w:r w:rsidRPr="00EF2A33">
        <w:rPr>
          <w:lang w:val="en-GB"/>
        </w:rPr>
        <w:t xml:space="preserve"> </w:t>
      </w:r>
      <w:r w:rsidRPr="00EF2A33">
        <w:rPr>
          <w:rFonts w:eastAsia="Calibri"/>
          <w:noProof/>
          <w:lang w:val="en-GB"/>
        </w:rPr>
        <w:t xml:space="preserve">that </w:t>
      </w:r>
      <w:r w:rsidRPr="00EF2A33">
        <w:rPr>
          <w:lang w:val="en-GB"/>
        </w:rPr>
        <w:t xml:space="preserve">total assets have a </w:t>
      </w:r>
      <w:r w:rsidR="0011491E" w:rsidRPr="00EF2A33">
        <w:rPr>
          <w:lang w:val="en-GB"/>
        </w:rPr>
        <w:t xml:space="preserve">mean value of </w:t>
      </w:r>
      <w:r w:rsidR="0011491E" w:rsidRPr="00EF2A33">
        <w:t xml:space="preserve">92191 </w:t>
      </w:r>
      <w:r w:rsidR="0011491E" w:rsidRPr="00EF2A33">
        <w:rPr>
          <w:lang w:val="en-GB"/>
        </w:rPr>
        <w:t xml:space="preserve">million with </w:t>
      </w:r>
      <w:r w:rsidR="007A36A1" w:rsidRPr="00EF2A33">
        <w:rPr>
          <w:lang w:val="en-GB"/>
        </w:rPr>
        <w:t>a</w:t>
      </w:r>
      <w:r w:rsidR="0011491E" w:rsidRPr="00EF2A33">
        <w:rPr>
          <w:lang w:val="en-GB"/>
        </w:rPr>
        <w:t xml:space="preserve"> </w:t>
      </w:r>
      <w:r w:rsidRPr="00EF2A33">
        <w:rPr>
          <w:lang w:val="en-GB"/>
        </w:rPr>
        <w:t xml:space="preserve">maximum value of approximately BDT </w:t>
      </w:r>
      <w:r w:rsidRPr="00EF2A33">
        <w:t>475011.91</w:t>
      </w:r>
      <w:r w:rsidRPr="00EF2A33">
        <w:rPr>
          <w:lang w:val="en-GB"/>
        </w:rPr>
        <w:t xml:space="preserve"> million and a minimum v</w:t>
      </w:r>
      <w:r w:rsidR="00DA0C86" w:rsidRPr="00EF2A33">
        <w:rPr>
          <w:lang w:val="en-GB"/>
        </w:rPr>
        <w:t>alue of approximately BDT 35.35</w:t>
      </w:r>
      <w:r w:rsidRPr="00EF2A33">
        <w:rPr>
          <w:lang w:val="en-GB"/>
        </w:rPr>
        <w:t xml:space="preserve"> million </w:t>
      </w:r>
      <w:r w:rsidR="007A36A1" w:rsidRPr="00EF2A33">
        <w:rPr>
          <w:lang w:val="en-GB"/>
        </w:rPr>
        <w:t>indicating</w:t>
      </w:r>
      <w:r w:rsidRPr="00EF2A33">
        <w:rPr>
          <w:lang w:val="en-GB"/>
        </w:rPr>
        <w:t xml:space="preserve"> a considerable level of difference in firm size amidst the Bangladesh market. </w:t>
      </w:r>
    </w:p>
    <w:p w14:paraId="1A9A06F2" w14:textId="4CEBAF42" w:rsidR="003F1527" w:rsidRPr="00EF2A33" w:rsidRDefault="00130B92" w:rsidP="003F1527">
      <w:pPr>
        <w:pStyle w:val="Caption"/>
        <w:keepNext/>
        <w:rPr>
          <w:i w:val="0"/>
          <w:color w:val="auto"/>
          <w:sz w:val="24"/>
          <w:szCs w:val="24"/>
        </w:rPr>
      </w:pPr>
      <w:r w:rsidRPr="00EF2A33">
        <w:rPr>
          <w:b/>
          <w:bCs/>
          <w:color w:val="auto"/>
          <w:sz w:val="24"/>
          <w:szCs w:val="24"/>
        </w:rPr>
        <w:br/>
      </w:r>
      <w:r w:rsidRPr="00EF2A33">
        <w:rPr>
          <w:i w:val="0"/>
          <w:color w:val="auto"/>
          <w:sz w:val="24"/>
          <w:szCs w:val="24"/>
        </w:rPr>
        <w:t>Table 3: Descriptive Statistics</w:t>
      </w:r>
    </w:p>
    <w:p w14:paraId="22094516" w14:textId="77777777" w:rsidR="003F1527" w:rsidRPr="00EF2A33" w:rsidRDefault="003F1527" w:rsidP="003F1527">
      <w:pPr>
        <w:pStyle w:val="Heading4"/>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auto"/>
        </w:rPr>
      </w:pPr>
      <w:r w:rsidRPr="00EF2A33">
        <w:rPr>
          <w:rFonts w:ascii="Times New Roman" w:hAnsi="Times New Roman" w:cs="Times New Roman"/>
          <w:color w:val="auto"/>
        </w:rPr>
        <w:t>Panel A: Ownership Structure and Board Characteristics</w:t>
      </w:r>
    </w:p>
    <w:tbl>
      <w:tblPr>
        <w:tblStyle w:val="GridTable1Light1"/>
        <w:tblW w:w="8897" w:type="dxa"/>
        <w:tblLayout w:type="fixed"/>
        <w:tblLook w:val="04A0" w:firstRow="1" w:lastRow="0" w:firstColumn="1" w:lastColumn="0" w:noHBand="0" w:noVBand="1"/>
      </w:tblPr>
      <w:tblGrid>
        <w:gridCol w:w="3369"/>
        <w:gridCol w:w="1417"/>
        <w:gridCol w:w="1418"/>
        <w:gridCol w:w="1375"/>
        <w:gridCol w:w="1318"/>
      </w:tblGrid>
      <w:tr w:rsidR="00EF2A33" w:rsidRPr="00EF2A33" w14:paraId="69567058" w14:textId="77777777" w:rsidTr="0001355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369" w:type="dxa"/>
            <w:hideMark/>
          </w:tcPr>
          <w:p w14:paraId="58AC284B" w14:textId="77777777" w:rsidR="003F1527" w:rsidRPr="00EF2A33" w:rsidRDefault="003F1527" w:rsidP="00657D84">
            <w:pPr>
              <w:jc w:val="center"/>
              <w:rPr>
                <w:b w:val="0"/>
                <w:bCs w:val="0"/>
                <w:sz w:val="21"/>
                <w:szCs w:val="21"/>
              </w:rPr>
            </w:pPr>
            <w:r w:rsidRPr="00EF2A33">
              <w:rPr>
                <w:sz w:val="21"/>
                <w:szCs w:val="21"/>
              </w:rPr>
              <w:t>Variable</w:t>
            </w:r>
          </w:p>
        </w:tc>
        <w:tc>
          <w:tcPr>
            <w:tcW w:w="1417" w:type="dxa"/>
            <w:hideMark/>
          </w:tcPr>
          <w:p w14:paraId="5F92B423" w14:textId="77777777" w:rsidR="003F1527" w:rsidRPr="00EF2A33" w:rsidRDefault="003F1527" w:rsidP="00657D84">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Mean</w:t>
            </w:r>
          </w:p>
        </w:tc>
        <w:tc>
          <w:tcPr>
            <w:tcW w:w="1418" w:type="dxa"/>
            <w:hideMark/>
          </w:tcPr>
          <w:p w14:paraId="1A159C53" w14:textId="77777777" w:rsidR="003F1527" w:rsidRPr="00EF2A33" w:rsidRDefault="003F1527" w:rsidP="00657D84">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Standard Deviation</w:t>
            </w:r>
          </w:p>
        </w:tc>
        <w:tc>
          <w:tcPr>
            <w:tcW w:w="1375" w:type="dxa"/>
            <w:hideMark/>
          </w:tcPr>
          <w:p w14:paraId="4A1AEE6C" w14:textId="77777777" w:rsidR="003F1527" w:rsidRPr="00EF2A33" w:rsidRDefault="003F1527" w:rsidP="00657D84">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Minimum</w:t>
            </w:r>
          </w:p>
        </w:tc>
        <w:tc>
          <w:tcPr>
            <w:tcW w:w="1318" w:type="dxa"/>
            <w:hideMark/>
          </w:tcPr>
          <w:p w14:paraId="06399003" w14:textId="77777777" w:rsidR="003F1527" w:rsidRPr="00EF2A33" w:rsidRDefault="003F1527" w:rsidP="00657D84">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Maximum</w:t>
            </w:r>
          </w:p>
        </w:tc>
      </w:tr>
      <w:tr w:rsidR="00EF2A33" w:rsidRPr="00EF2A33" w14:paraId="73351FA8" w14:textId="77777777" w:rsidTr="0001355F">
        <w:trPr>
          <w:trHeight w:val="194"/>
        </w:trPr>
        <w:tc>
          <w:tcPr>
            <w:cnfStyle w:val="001000000000" w:firstRow="0" w:lastRow="0" w:firstColumn="1" w:lastColumn="0" w:oddVBand="0" w:evenVBand="0" w:oddHBand="0" w:evenHBand="0" w:firstRowFirstColumn="0" w:firstRowLastColumn="0" w:lastRowFirstColumn="0" w:lastRowLastColumn="0"/>
            <w:tcW w:w="3369" w:type="dxa"/>
          </w:tcPr>
          <w:p w14:paraId="3420D515" w14:textId="77777777" w:rsidR="003F1527" w:rsidRPr="00EF2A33" w:rsidRDefault="003F1527" w:rsidP="00657D84">
            <w:r w:rsidRPr="00EF2A33">
              <w:t>Sponsor and Directors (%)</w:t>
            </w:r>
          </w:p>
        </w:tc>
        <w:tc>
          <w:tcPr>
            <w:tcW w:w="1417" w:type="dxa"/>
          </w:tcPr>
          <w:p w14:paraId="6A9B5CCB"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47.78</w:t>
            </w:r>
          </w:p>
        </w:tc>
        <w:tc>
          <w:tcPr>
            <w:tcW w:w="1418" w:type="dxa"/>
          </w:tcPr>
          <w:p w14:paraId="6543D39A"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21.1</w:t>
            </w:r>
          </w:p>
        </w:tc>
        <w:tc>
          <w:tcPr>
            <w:tcW w:w="1375" w:type="dxa"/>
          </w:tcPr>
          <w:p w14:paraId="76199E72"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2.67</w:t>
            </w:r>
          </w:p>
        </w:tc>
        <w:tc>
          <w:tcPr>
            <w:tcW w:w="1318" w:type="dxa"/>
          </w:tcPr>
          <w:p w14:paraId="4FE08402"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90</w:t>
            </w:r>
          </w:p>
        </w:tc>
      </w:tr>
      <w:tr w:rsidR="00EF2A33" w:rsidRPr="00EF2A33" w14:paraId="1C707AEA"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tcPr>
          <w:p w14:paraId="580C758D" w14:textId="77777777" w:rsidR="003F1527" w:rsidRPr="00EF2A33" w:rsidRDefault="003F1527" w:rsidP="00657D84">
            <w:r w:rsidRPr="00EF2A33">
              <w:t>Institutional Ownership (%)</w:t>
            </w:r>
          </w:p>
        </w:tc>
        <w:tc>
          <w:tcPr>
            <w:tcW w:w="1417" w:type="dxa"/>
          </w:tcPr>
          <w:p w14:paraId="71069649"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18.15</w:t>
            </w:r>
          </w:p>
        </w:tc>
        <w:tc>
          <w:tcPr>
            <w:tcW w:w="1418" w:type="dxa"/>
          </w:tcPr>
          <w:p w14:paraId="24C05639"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12.54</w:t>
            </w:r>
          </w:p>
        </w:tc>
        <w:tc>
          <w:tcPr>
            <w:tcW w:w="1375" w:type="dxa"/>
          </w:tcPr>
          <w:p w14:paraId="01B88B2C"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0.24</w:t>
            </w:r>
          </w:p>
        </w:tc>
        <w:tc>
          <w:tcPr>
            <w:tcW w:w="1318" w:type="dxa"/>
          </w:tcPr>
          <w:p w14:paraId="1FBFCEE2"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54.36</w:t>
            </w:r>
          </w:p>
        </w:tc>
      </w:tr>
      <w:tr w:rsidR="00EF2A33" w:rsidRPr="00EF2A33" w14:paraId="52ABB3B7"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tcPr>
          <w:p w14:paraId="22282014" w14:textId="77777777" w:rsidR="003F1527" w:rsidRPr="00EF2A33" w:rsidRDefault="003F1527" w:rsidP="00657D84">
            <w:r w:rsidRPr="00EF2A33">
              <w:t>Government Ownership (%)</w:t>
            </w:r>
          </w:p>
        </w:tc>
        <w:tc>
          <w:tcPr>
            <w:tcW w:w="1417" w:type="dxa"/>
          </w:tcPr>
          <w:p w14:paraId="78635429"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8.61</w:t>
            </w:r>
          </w:p>
        </w:tc>
        <w:tc>
          <w:tcPr>
            <w:tcW w:w="1418" w:type="dxa"/>
          </w:tcPr>
          <w:p w14:paraId="15A0B23E"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6.32</w:t>
            </w:r>
          </w:p>
        </w:tc>
        <w:tc>
          <w:tcPr>
            <w:tcW w:w="1375" w:type="dxa"/>
          </w:tcPr>
          <w:p w14:paraId="50E2A60D"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0.21</w:t>
            </w:r>
          </w:p>
        </w:tc>
        <w:tc>
          <w:tcPr>
            <w:tcW w:w="1318" w:type="dxa"/>
          </w:tcPr>
          <w:p w14:paraId="22091D09"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23.47</w:t>
            </w:r>
          </w:p>
        </w:tc>
      </w:tr>
      <w:tr w:rsidR="00EF2A33" w:rsidRPr="00EF2A33" w14:paraId="78E715AE"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tcPr>
          <w:p w14:paraId="201A5E55" w14:textId="77777777" w:rsidR="003F1527" w:rsidRPr="00EF2A33" w:rsidRDefault="003F1527" w:rsidP="00657D84">
            <w:r w:rsidRPr="00EF2A33">
              <w:t>Foreign Ownership (%)</w:t>
            </w:r>
          </w:p>
        </w:tc>
        <w:tc>
          <w:tcPr>
            <w:tcW w:w="1417" w:type="dxa"/>
          </w:tcPr>
          <w:p w14:paraId="2EA1971B"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6.95</w:t>
            </w:r>
          </w:p>
        </w:tc>
        <w:tc>
          <w:tcPr>
            <w:tcW w:w="1418" w:type="dxa"/>
          </w:tcPr>
          <w:p w14:paraId="082EB171"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5.75</w:t>
            </w:r>
          </w:p>
        </w:tc>
        <w:tc>
          <w:tcPr>
            <w:tcW w:w="1375" w:type="dxa"/>
          </w:tcPr>
          <w:p w14:paraId="0259EC3C"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0.12</w:t>
            </w:r>
          </w:p>
        </w:tc>
        <w:tc>
          <w:tcPr>
            <w:tcW w:w="1318" w:type="dxa"/>
          </w:tcPr>
          <w:p w14:paraId="4EC86568"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29.84</w:t>
            </w:r>
          </w:p>
        </w:tc>
      </w:tr>
      <w:tr w:rsidR="00EF2A33" w:rsidRPr="00EF2A33" w14:paraId="12F1C4BE"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tcPr>
          <w:p w14:paraId="5437AF51" w14:textId="77777777" w:rsidR="003F1527" w:rsidRPr="00EF2A33" w:rsidRDefault="003F1527" w:rsidP="00657D84">
            <w:r w:rsidRPr="00EF2A33">
              <w:t>Board Size</w:t>
            </w:r>
          </w:p>
        </w:tc>
        <w:tc>
          <w:tcPr>
            <w:tcW w:w="1417" w:type="dxa"/>
          </w:tcPr>
          <w:p w14:paraId="774DA10C"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9.41</w:t>
            </w:r>
          </w:p>
        </w:tc>
        <w:tc>
          <w:tcPr>
            <w:tcW w:w="1418" w:type="dxa"/>
          </w:tcPr>
          <w:p w14:paraId="78283567"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2.55</w:t>
            </w:r>
          </w:p>
        </w:tc>
        <w:tc>
          <w:tcPr>
            <w:tcW w:w="1375" w:type="dxa"/>
          </w:tcPr>
          <w:p w14:paraId="3995ADC6"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5</w:t>
            </w:r>
          </w:p>
        </w:tc>
        <w:tc>
          <w:tcPr>
            <w:tcW w:w="1318" w:type="dxa"/>
          </w:tcPr>
          <w:p w14:paraId="3E385A6C"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18</w:t>
            </w:r>
          </w:p>
        </w:tc>
      </w:tr>
      <w:tr w:rsidR="00EF2A33" w:rsidRPr="00EF2A33" w14:paraId="47C19107"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tcPr>
          <w:p w14:paraId="601568E4" w14:textId="77777777" w:rsidR="003F1527" w:rsidRPr="00EF2A33" w:rsidRDefault="003F1527" w:rsidP="00657D84">
            <w:r w:rsidRPr="00EF2A33">
              <w:t>Board Independence (%)</w:t>
            </w:r>
          </w:p>
        </w:tc>
        <w:tc>
          <w:tcPr>
            <w:tcW w:w="1417" w:type="dxa"/>
          </w:tcPr>
          <w:p w14:paraId="3065D1B0"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24.37</w:t>
            </w:r>
          </w:p>
        </w:tc>
        <w:tc>
          <w:tcPr>
            <w:tcW w:w="1418" w:type="dxa"/>
          </w:tcPr>
          <w:p w14:paraId="4D2A2521"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15.65</w:t>
            </w:r>
          </w:p>
        </w:tc>
        <w:tc>
          <w:tcPr>
            <w:tcW w:w="1375" w:type="dxa"/>
          </w:tcPr>
          <w:p w14:paraId="64DF34CF"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7</w:t>
            </w:r>
          </w:p>
        </w:tc>
        <w:tc>
          <w:tcPr>
            <w:tcW w:w="1318" w:type="dxa"/>
          </w:tcPr>
          <w:p w14:paraId="61F9D086"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70</w:t>
            </w:r>
          </w:p>
        </w:tc>
      </w:tr>
      <w:tr w:rsidR="00EF2A33" w:rsidRPr="00EF2A33" w14:paraId="4AE94346" w14:textId="77777777" w:rsidTr="0001355F">
        <w:trPr>
          <w:trHeight w:val="153"/>
        </w:trPr>
        <w:tc>
          <w:tcPr>
            <w:cnfStyle w:val="001000000000" w:firstRow="0" w:lastRow="0" w:firstColumn="1" w:lastColumn="0" w:oddVBand="0" w:evenVBand="0" w:oddHBand="0" w:evenHBand="0" w:firstRowFirstColumn="0" w:firstRowLastColumn="0" w:lastRowFirstColumn="0" w:lastRowLastColumn="0"/>
            <w:tcW w:w="3369" w:type="dxa"/>
            <w:hideMark/>
          </w:tcPr>
          <w:p w14:paraId="67E5860B" w14:textId="77777777" w:rsidR="003F1527" w:rsidRPr="00EF2A33" w:rsidRDefault="003F1527" w:rsidP="00657D84">
            <w:r w:rsidRPr="00EF2A33">
              <w:t>Gender Diversity (%)</w:t>
            </w:r>
          </w:p>
        </w:tc>
        <w:tc>
          <w:tcPr>
            <w:tcW w:w="1417" w:type="dxa"/>
            <w:hideMark/>
          </w:tcPr>
          <w:p w14:paraId="6B543F4B"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16.69</w:t>
            </w:r>
          </w:p>
        </w:tc>
        <w:tc>
          <w:tcPr>
            <w:tcW w:w="1418" w:type="dxa"/>
            <w:hideMark/>
          </w:tcPr>
          <w:p w14:paraId="1A0CFE49"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6.81</w:t>
            </w:r>
          </w:p>
        </w:tc>
        <w:tc>
          <w:tcPr>
            <w:tcW w:w="1375" w:type="dxa"/>
            <w:hideMark/>
          </w:tcPr>
          <w:p w14:paraId="7F83E87E"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w:t>
            </w:r>
          </w:p>
        </w:tc>
        <w:tc>
          <w:tcPr>
            <w:tcW w:w="1318" w:type="dxa"/>
            <w:hideMark/>
          </w:tcPr>
          <w:p w14:paraId="027B2FE6"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50</w:t>
            </w:r>
          </w:p>
        </w:tc>
      </w:tr>
      <w:tr w:rsidR="00EF2A33" w:rsidRPr="00EF2A33" w14:paraId="2200B1E2" w14:textId="77777777" w:rsidTr="0001355F">
        <w:trPr>
          <w:trHeight w:val="50"/>
        </w:trPr>
        <w:tc>
          <w:tcPr>
            <w:cnfStyle w:val="001000000000" w:firstRow="0" w:lastRow="0" w:firstColumn="1" w:lastColumn="0" w:oddVBand="0" w:evenVBand="0" w:oddHBand="0" w:evenHBand="0" w:firstRowFirstColumn="0" w:firstRowLastColumn="0" w:lastRowFirstColumn="0" w:lastRowLastColumn="0"/>
            <w:tcW w:w="3369" w:type="dxa"/>
            <w:hideMark/>
          </w:tcPr>
          <w:p w14:paraId="71C6C186" w14:textId="77777777" w:rsidR="003F1527" w:rsidRPr="00EF2A33" w:rsidRDefault="003F1527" w:rsidP="00657D84">
            <w:r w:rsidRPr="00EF2A33">
              <w:t>Board Meetings</w:t>
            </w:r>
          </w:p>
        </w:tc>
        <w:tc>
          <w:tcPr>
            <w:tcW w:w="1417" w:type="dxa"/>
            <w:hideMark/>
          </w:tcPr>
          <w:p w14:paraId="70FB3480"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13.13</w:t>
            </w:r>
          </w:p>
        </w:tc>
        <w:tc>
          <w:tcPr>
            <w:tcW w:w="1418" w:type="dxa"/>
            <w:hideMark/>
          </w:tcPr>
          <w:p w14:paraId="701A183F"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6.92</w:t>
            </w:r>
          </w:p>
        </w:tc>
        <w:tc>
          <w:tcPr>
            <w:tcW w:w="1375" w:type="dxa"/>
            <w:hideMark/>
          </w:tcPr>
          <w:p w14:paraId="34210B91"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4</w:t>
            </w:r>
          </w:p>
        </w:tc>
        <w:tc>
          <w:tcPr>
            <w:tcW w:w="1318" w:type="dxa"/>
            <w:hideMark/>
          </w:tcPr>
          <w:p w14:paraId="72C59C0E"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44</w:t>
            </w:r>
          </w:p>
        </w:tc>
      </w:tr>
      <w:tr w:rsidR="00EF2A33" w:rsidRPr="00EF2A33" w14:paraId="0FA60479" w14:textId="77777777" w:rsidTr="0001355F">
        <w:trPr>
          <w:trHeight w:val="50"/>
        </w:trPr>
        <w:tc>
          <w:tcPr>
            <w:cnfStyle w:val="001000000000" w:firstRow="0" w:lastRow="0" w:firstColumn="1" w:lastColumn="0" w:oddVBand="0" w:evenVBand="0" w:oddHBand="0" w:evenHBand="0" w:firstRowFirstColumn="0" w:firstRowLastColumn="0" w:lastRowFirstColumn="0" w:lastRowLastColumn="0"/>
            <w:tcW w:w="3369" w:type="dxa"/>
            <w:hideMark/>
          </w:tcPr>
          <w:p w14:paraId="0FB4FB0E" w14:textId="77777777" w:rsidR="003F1527" w:rsidRPr="00EF2A33" w:rsidRDefault="003F1527" w:rsidP="00657D84">
            <w:r w:rsidRPr="00EF2A33">
              <w:t>Family Ownership (%)</w:t>
            </w:r>
          </w:p>
        </w:tc>
        <w:tc>
          <w:tcPr>
            <w:tcW w:w="1417" w:type="dxa"/>
            <w:hideMark/>
          </w:tcPr>
          <w:p w14:paraId="2D0FF44C"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23.22</w:t>
            </w:r>
          </w:p>
        </w:tc>
        <w:tc>
          <w:tcPr>
            <w:tcW w:w="1418" w:type="dxa"/>
            <w:hideMark/>
          </w:tcPr>
          <w:p w14:paraId="581BC187"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18.11</w:t>
            </w:r>
          </w:p>
        </w:tc>
        <w:tc>
          <w:tcPr>
            <w:tcW w:w="1375" w:type="dxa"/>
            <w:hideMark/>
          </w:tcPr>
          <w:p w14:paraId="3BDC418B"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w:t>
            </w:r>
          </w:p>
        </w:tc>
        <w:tc>
          <w:tcPr>
            <w:tcW w:w="1318" w:type="dxa"/>
            <w:hideMark/>
          </w:tcPr>
          <w:p w14:paraId="0BCB41BF"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87.5</w:t>
            </w:r>
          </w:p>
        </w:tc>
      </w:tr>
      <w:tr w:rsidR="00EF2A33" w:rsidRPr="00EF2A33" w14:paraId="77066F60" w14:textId="77777777" w:rsidTr="0001355F">
        <w:trPr>
          <w:trHeight w:val="50"/>
        </w:trPr>
        <w:tc>
          <w:tcPr>
            <w:cnfStyle w:val="001000000000" w:firstRow="0" w:lastRow="0" w:firstColumn="1" w:lastColumn="0" w:oddVBand="0" w:evenVBand="0" w:oddHBand="0" w:evenHBand="0" w:firstRowFirstColumn="0" w:firstRowLastColumn="0" w:lastRowFirstColumn="0" w:lastRowLastColumn="0"/>
            <w:tcW w:w="3369" w:type="dxa"/>
            <w:hideMark/>
          </w:tcPr>
          <w:p w14:paraId="6F063F64" w14:textId="77777777" w:rsidR="003F1527" w:rsidRPr="00EF2A33" w:rsidRDefault="003F1527" w:rsidP="00657D84">
            <w:r w:rsidRPr="00EF2A33">
              <w:t>Directors' Education</w:t>
            </w:r>
          </w:p>
        </w:tc>
        <w:tc>
          <w:tcPr>
            <w:tcW w:w="1417" w:type="dxa"/>
            <w:hideMark/>
          </w:tcPr>
          <w:p w14:paraId="5DBACA53"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2.31</w:t>
            </w:r>
          </w:p>
        </w:tc>
        <w:tc>
          <w:tcPr>
            <w:tcW w:w="1418" w:type="dxa"/>
            <w:hideMark/>
          </w:tcPr>
          <w:p w14:paraId="61F0BAAD"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0.7</w:t>
            </w:r>
          </w:p>
        </w:tc>
        <w:tc>
          <w:tcPr>
            <w:tcW w:w="1375" w:type="dxa"/>
            <w:hideMark/>
          </w:tcPr>
          <w:p w14:paraId="6B366798"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1</w:t>
            </w:r>
          </w:p>
        </w:tc>
        <w:tc>
          <w:tcPr>
            <w:tcW w:w="1318" w:type="dxa"/>
            <w:hideMark/>
          </w:tcPr>
          <w:p w14:paraId="21312FE0" w14:textId="77777777" w:rsidR="003F1527" w:rsidRPr="00EF2A33" w:rsidRDefault="003F1527" w:rsidP="00657D84">
            <w:pPr>
              <w:jc w:val="center"/>
              <w:cnfStyle w:val="000000000000" w:firstRow="0" w:lastRow="0" w:firstColumn="0" w:lastColumn="0" w:oddVBand="0" w:evenVBand="0" w:oddHBand="0" w:evenHBand="0" w:firstRowFirstColumn="0" w:firstRowLastColumn="0" w:lastRowFirstColumn="0" w:lastRowLastColumn="0"/>
            </w:pPr>
            <w:r w:rsidRPr="00EF2A33">
              <w:t>3.5</w:t>
            </w:r>
          </w:p>
        </w:tc>
      </w:tr>
    </w:tbl>
    <w:p w14:paraId="4A4A7107" w14:textId="54E86603" w:rsidR="00A374FD" w:rsidRPr="00EF2A33" w:rsidRDefault="00A374FD" w:rsidP="00A374FD">
      <w:pPr>
        <w:pStyle w:val="Heading4"/>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auto"/>
        </w:rPr>
      </w:pPr>
      <w:r w:rsidRPr="00EF2A33">
        <w:rPr>
          <w:rFonts w:ascii="Times New Roman" w:hAnsi="Times New Roman" w:cs="Times New Roman"/>
          <w:color w:val="auto"/>
        </w:rPr>
        <w:t>Panel B: Accounting and Market-Based Profitability</w:t>
      </w:r>
    </w:p>
    <w:tbl>
      <w:tblPr>
        <w:tblStyle w:val="GridTable1Light1"/>
        <w:tblW w:w="8897" w:type="dxa"/>
        <w:tblLook w:val="04A0" w:firstRow="1" w:lastRow="0" w:firstColumn="1" w:lastColumn="0" w:noHBand="0" w:noVBand="1"/>
      </w:tblPr>
      <w:tblGrid>
        <w:gridCol w:w="3227"/>
        <w:gridCol w:w="1559"/>
        <w:gridCol w:w="1409"/>
        <w:gridCol w:w="1397"/>
        <w:gridCol w:w="1305"/>
      </w:tblGrid>
      <w:tr w:rsidR="00EF2A33" w:rsidRPr="00EF2A33" w14:paraId="1B8BFEA9" w14:textId="77777777" w:rsidTr="0001355F">
        <w:trPr>
          <w:cnfStyle w:val="100000000000" w:firstRow="1" w:lastRow="0" w:firstColumn="0" w:lastColumn="0" w:oddVBand="0" w:evenVBand="0" w:oddHBand="0"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3227" w:type="dxa"/>
            <w:hideMark/>
          </w:tcPr>
          <w:p w14:paraId="24DEEDD7" w14:textId="77777777" w:rsidR="00A374FD" w:rsidRPr="00EF2A33" w:rsidRDefault="00A374FD" w:rsidP="00837727">
            <w:pPr>
              <w:jc w:val="center"/>
              <w:rPr>
                <w:b w:val="0"/>
                <w:bCs w:val="0"/>
                <w:sz w:val="21"/>
                <w:szCs w:val="21"/>
              </w:rPr>
            </w:pPr>
            <w:r w:rsidRPr="00EF2A33">
              <w:rPr>
                <w:sz w:val="21"/>
                <w:szCs w:val="21"/>
              </w:rPr>
              <w:t>Variable</w:t>
            </w:r>
          </w:p>
        </w:tc>
        <w:tc>
          <w:tcPr>
            <w:tcW w:w="1559" w:type="dxa"/>
            <w:hideMark/>
          </w:tcPr>
          <w:p w14:paraId="175711D9"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Mean</w:t>
            </w:r>
          </w:p>
        </w:tc>
        <w:tc>
          <w:tcPr>
            <w:tcW w:w="1409" w:type="dxa"/>
            <w:hideMark/>
          </w:tcPr>
          <w:p w14:paraId="025462EA"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Standard Deviation</w:t>
            </w:r>
          </w:p>
        </w:tc>
        <w:tc>
          <w:tcPr>
            <w:tcW w:w="0" w:type="auto"/>
            <w:hideMark/>
          </w:tcPr>
          <w:p w14:paraId="7A635D82"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Minimum</w:t>
            </w:r>
          </w:p>
        </w:tc>
        <w:tc>
          <w:tcPr>
            <w:tcW w:w="1305" w:type="dxa"/>
            <w:hideMark/>
          </w:tcPr>
          <w:p w14:paraId="51072E67"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Maximum</w:t>
            </w:r>
          </w:p>
        </w:tc>
      </w:tr>
      <w:tr w:rsidR="00EF2A33" w:rsidRPr="00EF2A33" w14:paraId="7888949A" w14:textId="77777777" w:rsidTr="0001355F">
        <w:trPr>
          <w:trHeight w:val="132"/>
        </w:trPr>
        <w:tc>
          <w:tcPr>
            <w:cnfStyle w:val="001000000000" w:firstRow="0" w:lastRow="0" w:firstColumn="1" w:lastColumn="0" w:oddVBand="0" w:evenVBand="0" w:oddHBand="0" w:evenHBand="0" w:firstRowFirstColumn="0" w:firstRowLastColumn="0" w:lastRowFirstColumn="0" w:lastRowLastColumn="0"/>
            <w:tcW w:w="3227" w:type="dxa"/>
            <w:hideMark/>
          </w:tcPr>
          <w:p w14:paraId="64B559AE" w14:textId="77777777" w:rsidR="00A374FD" w:rsidRPr="00EF2A33" w:rsidRDefault="00A374FD" w:rsidP="003A599D">
            <w:pPr>
              <w:rPr>
                <w:sz w:val="21"/>
                <w:szCs w:val="21"/>
              </w:rPr>
            </w:pPr>
            <w:r w:rsidRPr="00EF2A33">
              <w:rPr>
                <w:sz w:val="21"/>
                <w:szCs w:val="21"/>
              </w:rPr>
              <w:t>Return on Assets (%)</w:t>
            </w:r>
          </w:p>
        </w:tc>
        <w:tc>
          <w:tcPr>
            <w:tcW w:w="1559" w:type="dxa"/>
            <w:hideMark/>
          </w:tcPr>
          <w:p w14:paraId="1C3E6292"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7.3</w:t>
            </w:r>
          </w:p>
        </w:tc>
        <w:tc>
          <w:tcPr>
            <w:tcW w:w="1409" w:type="dxa"/>
            <w:hideMark/>
          </w:tcPr>
          <w:p w14:paraId="20584645"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5.9</w:t>
            </w:r>
          </w:p>
        </w:tc>
        <w:tc>
          <w:tcPr>
            <w:tcW w:w="0" w:type="auto"/>
            <w:hideMark/>
          </w:tcPr>
          <w:p w14:paraId="758C86A0"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w:t>
            </w:r>
          </w:p>
        </w:tc>
        <w:tc>
          <w:tcPr>
            <w:tcW w:w="1305" w:type="dxa"/>
            <w:hideMark/>
          </w:tcPr>
          <w:p w14:paraId="2B15A5DB"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43.1</w:t>
            </w:r>
          </w:p>
        </w:tc>
      </w:tr>
      <w:tr w:rsidR="00EF2A33" w:rsidRPr="00EF2A33" w14:paraId="060ECCE3" w14:textId="77777777" w:rsidTr="0001355F">
        <w:trPr>
          <w:trHeight w:val="44"/>
        </w:trPr>
        <w:tc>
          <w:tcPr>
            <w:cnfStyle w:val="001000000000" w:firstRow="0" w:lastRow="0" w:firstColumn="1" w:lastColumn="0" w:oddVBand="0" w:evenVBand="0" w:oddHBand="0" w:evenHBand="0" w:firstRowFirstColumn="0" w:firstRowLastColumn="0" w:lastRowFirstColumn="0" w:lastRowLastColumn="0"/>
            <w:tcW w:w="3227" w:type="dxa"/>
            <w:hideMark/>
          </w:tcPr>
          <w:p w14:paraId="2AB9D42E" w14:textId="77777777" w:rsidR="00A374FD" w:rsidRPr="00EF2A33" w:rsidRDefault="00A374FD" w:rsidP="003A599D">
            <w:pPr>
              <w:rPr>
                <w:sz w:val="21"/>
                <w:szCs w:val="21"/>
              </w:rPr>
            </w:pPr>
            <w:r w:rsidRPr="00EF2A33">
              <w:rPr>
                <w:sz w:val="21"/>
                <w:szCs w:val="21"/>
              </w:rPr>
              <w:t>Return on Equity (%)</w:t>
            </w:r>
          </w:p>
        </w:tc>
        <w:tc>
          <w:tcPr>
            <w:tcW w:w="1559" w:type="dxa"/>
            <w:hideMark/>
          </w:tcPr>
          <w:p w14:paraId="360DA27B"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17.3</w:t>
            </w:r>
          </w:p>
        </w:tc>
        <w:tc>
          <w:tcPr>
            <w:tcW w:w="1409" w:type="dxa"/>
            <w:hideMark/>
          </w:tcPr>
          <w:p w14:paraId="441F243F"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14.8</w:t>
            </w:r>
          </w:p>
        </w:tc>
        <w:tc>
          <w:tcPr>
            <w:tcW w:w="0" w:type="auto"/>
            <w:hideMark/>
          </w:tcPr>
          <w:p w14:paraId="79BE5D60"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w:t>
            </w:r>
          </w:p>
        </w:tc>
        <w:tc>
          <w:tcPr>
            <w:tcW w:w="1305" w:type="dxa"/>
            <w:hideMark/>
          </w:tcPr>
          <w:p w14:paraId="17111993"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90</w:t>
            </w:r>
          </w:p>
        </w:tc>
      </w:tr>
      <w:tr w:rsidR="00EF2A33" w:rsidRPr="00EF2A33" w14:paraId="44E86850" w14:textId="77777777" w:rsidTr="0001355F">
        <w:trPr>
          <w:trHeight w:val="44"/>
        </w:trPr>
        <w:tc>
          <w:tcPr>
            <w:cnfStyle w:val="001000000000" w:firstRow="0" w:lastRow="0" w:firstColumn="1" w:lastColumn="0" w:oddVBand="0" w:evenVBand="0" w:oddHBand="0" w:evenHBand="0" w:firstRowFirstColumn="0" w:firstRowLastColumn="0" w:lastRowFirstColumn="0" w:lastRowLastColumn="0"/>
            <w:tcW w:w="3227" w:type="dxa"/>
            <w:hideMark/>
          </w:tcPr>
          <w:p w14:paraId="00D6C196" w14:textId="77777777" w:rsidR="00A374FD" w:rsidRPr="00EF2A33" w:rsidRDefault="00A374FD" w:rsidP="003A599D">
            <w:pPr>
              <w:rPr>
                <w:sz w:val="21"/>
                <w:szCs w:val="21"/>
              </w:rPr>
            </w:pPr>
            <w:r w:rsidRPr="00EF2A33">
              <w:rPr>
                <w:sz w:val="21"/>
                <w:szCs w:val="21"/>
              </w:rPr>
              <w:t>Market-to-Book Ratio</w:t>
            </w:r>
          </w:p>
        </w:tc>
        <w:tc>
          <w:tcPr>
            <w:tcW w:w="1559" w:type="dxa"/>
            <w:hideMark/>
          </w:tcPr>
          <w:p w14:paraId="49CD55E8"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7.68</w:t>
            </w:r>
          </w:p>
        </w:tc>
        <w:tc>
          <w:tcPr>
            <w:tcW w:w="1409" w:type="dxa"/>
            <w:hideMark/>
          </w:tcPr>
          <w:p w14:paraId="65658AE2"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4.32</w:t>
            </w:r>
          </w:p>
        </w:tc>
        <w:tc>
          <w:tcPr>
            <w:tcW w:w="0" w:type="auto"/>
            <w:hideMark/>
          </w:tcPr>
          <w:p w14:paraId="038DF119"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1.2</w:t>
            </w:r>
          </w:p>
        </w:tc>
        <w:tc>
          <w:tcPr>
            <w:tcW w:w="1305" w:type="dxa"/>
            <w:hideMark/>
          </w:tcPr>
          <w:p w14:paraId="7766FC42"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21.5</w:t>
            </w:r>
          </w:p>
        </w:tc>
      </w:tr>
      <w:tr w:rsidR="00EF2A33" w:rsidRPr="00EF2A33" w14:paraId="46DB1255" w14:textId="77777777" w:rsidTr="0001355F">
        <w:trPr>
          <w:trHeight w:val="44"/>
        </w:trPr>
        <w:tc>
          <w:tcPr>
            <w:cnfStyle w:val="001000000000" w:firstRow="0" w:lastRow="0" w:firstColumn="1" w:lastColumn="0" w:oddVBand="0" w:evenVBand="0" w:oddHBand="0" w:evenHBand="0" w:firstRowFirstColumn="0" w:firstRowLastColumn="0" w:lastRowFirstColumn="0" w:lastRowLastColumn="0"/>
            <w:tcW w:w="3227" w:type="dxa"/>
            <w:hideMark/>
          </w:tcPr>
          <w:p w14:paraId="22F6941D" w14:textId="77777777" w:rsidR="00A374FD" w:rsidRPr="00EF2A33" w:rsidRDefault="00A374FD" w:rsidP="003A599D">
            <w:pPr>
              <w:rPr>
                <w:sz w:val="21"/>
                <w:szCs w:val="21"/>
              </w:rPr>
            </w:pPr>
            <w:r w:rsidRPr="00EF2A33">
              <w:rPr>
                <w:sz w:val="21"/>
                <w:szCs w:val="21"/>
              </w:rPr>
              <w:t>Tobin’s Q</w:t>
            </w:r>
          </w:p>
        </w:tc>
        <w:tc>
          <w:tcPr>
            <w:tcW w:w="1559" w:type="dxa"/>
            <w:hideMark/>
          </w:tcPr>
          <w:p w14:paraId="689CE836"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2.33</w:t>
            </w:r>
          </w:p>
        </w:tc>
        <w:tc>
          <w:tcPr>
            <w:tcW w:w="1409" w:type="dxa"/>
            <w:hideMark/>
          </w:tcPr>
          <w:p w14:paraId="66854AFD"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1.05</w:t>
            </w:r>
          </w:p>
        </w:tc>
        <w:tc>
          <w:tcPr>
            <w:tcW w:w="0" w:type="auto"/>
            <w:hideMark/>
          </w:tcPr>
          <w:p w14:paraId="229AB0EA"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0.5</w:t>
            </w:r>
          </w:p>
        </w:tc>
        <w:tc>
          <w:tcPr>
            <w:tcW w:w="1305" w:type="dxa"/>
            <w:hideMark/>
          </w:tcPr>
          <w:p w14:paraId="2381D528" w14:textId="77777777" w:rsidR="00A374FD" w:rsidRPr="00EF2A33" w:rsidRDefault="00A374FD" w:rsidP="0083772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5.2</w:t>
            </w:r>
          </w:p>
        </w:tc>
      </w:tr>
    </w:tbl>
    <w:p w14:paraId="5D5B2690" w14:textId="77777777" w:rsidR="00A374FD" w:rsidRPr="00EF2A33" w:rsidRDefault="00A374FD" w:rsidP="00A374FD">
      <w:pPr>
        <w:pStyle w:val="Heading4"/>
        <w:pBdr>
          <w:top w:val="single" w:sz="2" w:space="0" w:color="E3E3E3"/>
          <w:left w:val="single" w:sz="2" w:space="0" w:color="E3E3E3"/>
          <w:bottom w:val="single" w:sz="2" w:space="0" w:color="E3E3E3"/>
          <w:right w:val="single" w:sz="2" w:space="0" w:color="E3E3E3"/>
        </w:pBdr>
        <w:shd w:val="clear" w:color="auto" w:fill="FFFFFF"/>
        <w:rPr>
          <w:rFonts w:ascii="Times New Roman" w:hAnsi="Times New Roman" w:cs="Times New Roman"/>
          <w:color w:val="auto"/>
        </w:rPr>
      </w:pPr>
      <w:r w:rsidRPr="00EF2A33">
        <w:rPr>
          <w:rFonts w:ascii="Times New Roman" w:hAnsi="Times New Roman" w:cs="Times New Roman"/>
          <w:color w:val="auto"/>
        </w:rPr>
        <w:t>Panel C: Control Variables</w:t>
      </w:r>
    </w:p>
    <w:tbl>
      <w:tblPr>
        <w:tblStyle w:val="GridTable1Light1"/>
        <w:tblW w:w="8943" w:type="dxa"/>
        <w:tblLook w:val="04A0" w:firstRow="1" w:lastRow="0" w:firstColumn="1" w:lastColumn="0" w:noHBand="0" w:noVBand="1"/>
      </w:tblPr>
      <w:tblGrid>
        <w:gridCol w:w="3227"/>
        <w:gridCol w:w="1559"/>
        <w:gridCol w:w="1418"/>
        <w:gridCol w:w="1417"/>
        <w:gridCol w:w="1322"/>
      </w:tblGrid>
      <w:tr w:rsidR="00EF2A33" w:rsidRPr="00EF2A33" w14:paraId="743C2621" w14:textId="77777777" w:rsidTr="0001355F">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3227" w:type="dxa"/>
            <w:hideMark/>
          </w:tcPr>
          <w:p w14:paraId="0CE33A6E" w14:textId="77777777" w:rsidR="00A374FD" w:rsidRPr="00EF2A33" w:rsidRDefault="00A374FD" w:rsidP="00837727">
            <w:pPr>
              <w:jc w:val="center"/>
              <w:rPr>
                <w:b w:val="0"/>
                <w:bCs w:val="0"/>
                <w:sz w:val="21"/>
                <w:szCs w:val="21"/>
              </w:rPr>
            </w:pPr>
            <w:r w:rsidRPr="00EF2A33">
              <w:rPr>
                <w:sz w:val="21"/>
                <w:szCs w:val="21"/>
              </w:rPr>
              <w:t>Variable</w:t>
            </w:r>
          </w:p>
        </w:tc>
        <w:tc>
          <w:tcPr>
            <w:tcW w:w="1559" w:type="dxa"/>
            <w:hideMark/>
          </w:tcPr>
          <w:p w14:paraId="044558D1"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Mean</w:t>
            </w:r>
          </w:p>
        </w:tc>
        <w:tc>
          <w:tcPr>
            <w:tcW w:w="1418" w:type="dxa"/>
            <w:hideMark/>
          </w:tcPr>
          <w:p w14:paraId="736D0F02"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Standard Deviation</w:t>
            </w:r>
          </w:p>
        </w:tc>
        <w:tc>
          <w:tcPr>
            <w:tcW w:w="1417" w:type="dxa"/>
            <w:hideMark/>
          </w:tcPr>
          <w:p w14:paraId="39E5ABB3"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Minimum</w:t>
            </w:r>
          </w:p>
        </w:tc>
        <w:tc>
          <w:tcPr>
            <w:tcW w:w="1322" w:type="dxa"/>
            <w:hideMark/>
          </w:tcPr>
          <w:p w14:paraId="3AF8C220" w14:textId="77777777" w:rsidR="00A374FD" w:rsidRPr="00EF2A33" w:rsidRDefault="00A374FD" w:rsidP="00837727">
            <w:pPr>
              <w:jc w:val="center"/>
              <w:cnfStyle w:val="100000000000" w:firstRow="1" w:lastRow="0" w:firstColumn="0" w:lastColumn="0" w:oddVBand="0" w:evenVBand="0" w:oddHBand="0" w:evenHBand="0" w:firstRowFirstColumn="0" w:firstRowLastColumn="0" w:lastRowFirstColumn="0" w:lastRowLastColumn="0"/>
              <w:rPr>
                <w:b w:val="0"/>
                <w:bCs w:val="0"/>
                <w:sz w:val="21"/>
                <w:szCs w:val="21"/>
              </w:rPr>
            </w:pPr>
            <w:r w:rsidRPr="00EF2A33">
              <w:rPr>
                <w:sz w:val="21"/>
                <w:szCs w:val="21"/>
              </w:rPr>
              <w:t>Maximum</w:t>
            </w:r>
          </w:p>
        </w:tc>
      </w:tr>
      <w:tr w:rsidR="00EF2A33" w:rsidRPr="00EF2A33" w14:paraId="5CED6FFB" w14:textId="77777777" w:rsidTr="0001355F">
        <w:trPr>
          <w:trHeight w:val="47"/>
        </w:trPr>
        <w:tc>
          <w:tcPr>
            <w:cnfStyle w:val="001000000000" w:firstRow="0" w:lastRow="0" w:firstColumn="1" w:lastColumn="0" w:oddVBand="0" w:evenVBand="0" w:oddHBand="0" w:evenHBand="0" w:firstRowFirstColumn="0" w:firstRowLastColumn="0" w:lastRowFirstColumn="0" w:lastRowLastColumn="0"/>
            <w:tcW w:w="3227" w:type="dxa"/>
            <w:hideMark/>
          </w:tcPr>
          <w:p w14:paraId="428FBE64" w14:textId="77777777" w:rsidR="00A374FD" w:rsidRPr="00EF2A33" w:rsidRDefault="00A374FD" w:rsidP="00837727">
            <w:pPr>
              <w:rPr>
                <w:sz w:val="21"/>
                <w:szCs w:val="21"/>
              </w:rPr>
            </w:pPr>
            <w:r w:rsidRPr="00EF2A33">
              <w:rPr>
                <w:sz w:val="21"/>
                <w:szCs w:val="21"/>
              </w:rPr>
              <w:t>Total Assets</w:t>
            </w:r>
          </w:p>
        </w:tc>
        <w:tc>
          <w:tcPr>
            <w:tcW w:w="1559" w:type="dxa"/>
            <w:hideMark/>
          </w:tcPr>
          <w:p w14:paraId="1F87ECA7" w14:textId="77777777" w:rsidR="00A374FD" w:rsidRPr="00EF2A33" w:rsidRDefault="00A374FD" w:rsidP="00CA0CF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92191 million</w:t>
            </w:r>
          </w:p>
        </w:tc>
        <w:tc>
          <w:tcPr>
            <w:tcW w:w="1418" w:type="dxa"/>
            <w:hideMark/>
          </w:tcPr>
          <w:p w14:paraId="3C8E92D7" w14:textId="77777777" w:rsidR="00A374FD" w:rsidRPr="00EF2A33" w:rsidRDefault="00A374FD" w:rsidP="00CA0CF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172034 million</w:t>
            </w:r>
          </w:p>
        </w:tc>
        <w:tc>
          <w:tcPr>
            <w:tcW w:w="1417" w:type="dxa"/>
            <w:hideMark/>
          </w:tcPr>
          <w:p w14:paraId="44A42995" w14:textId="77777777" w:rsidR="00A374FD" w:rsidRPr="00EF2A33" w:rsidRDefault="00A374FD" w:rsidP="00CA0CF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35.35 million</w:t>
            </w:r>
          </w:p>
        </w:tc>
        <w:tc>
          <w:tcPr>
            <w:tcW w:w="1322" w:type="dxa"/>
            <w:hideMark/>
          </w:tcPr>
          <w:p w14:paraId="68DC0D0C" w14:textId="77777777" w:rsidR="00A374FD" w:rsidRPr="00EF2A33" w:rsidRDefault="00A374FD" w:rsidP="00CA0CF7">
            <w:pPr>
              <w:jc w:val="center"/>
              <w:cnfStyle w:val="000000000000" w:firstRow="0" w:lastRow="0" w:firstColumn="0" w:lastColumn="0" w:oddVBand="0" w:evenVBand="0" w:oddHBand="0" w:evenHBand="0" w:firstRowFirstColumn="0" w:firstRowLastColumn="0" w:lastRowFirstColumn="0" w:lastRowLastColumn="0"/>
              <w:rPr>
                <w:sz w:val="21"/>
                <w:szCs w:val="21"/>
              </w:rPr>
            </w:pPr>
            <w:r w:rsidRPr="00EF2A33">
              <w:rPr>
                <w:sz w:val="21"/>
                <w:szCs w:val="21"/>
              </w:rPr>
              <w:t>475011.91 million</w:t>
            </w:r>
          </w:p>
        </w:tc>
      </w:tr>
    </w:tbl>
    <w:p w14:paraId="6FCBF011" w14:textId="77777777" w:rsidR="009503D7" w:rsidRPr="00EF2A33" w:rsidRDefault="009503D7" w:rsidP="003D243F">
      <w:pPr>
        <w:rPr>
          <w:sz w:val="2"/>
          <w:szCs w:val="2"/>
          <w:lang w:val="en-GB"/>
        </w:rPr>
      </w:pPr>
    </w:p>
    <w:p w14:paraId="4F813D23" w14:textId="77777777" w:rsidR="008F6166" w:rsidRPr="00EF2A33" w:rsidRDefault="008F6166" w:rsidP="008F6166">
      <w:pPr>
        <w:spacing w:line="240" w:lineRule="auto"/>
        <w:rPr>
          <w:sz w:val="20"/>
          <w:szCs w:val="20"/>
          <w:lang w:val="en-GB"/>
        </w:rPr>
      </w:pPr>
      <w:r w:rsidRPr="00EF2A33">
        <w:rPr>
          <w:sz w:val="20"/>
          <w:szCs w:val="20"/>
          <w:lang w:val="en-GB"/>
        </w:rPr>
        <w:t>Note: See Table 2 for variable definitions.</w:t>
      </w:r>
    </w:p>
    <w:p w14:paraId="2C134873" w14:textId="77777777" w:rsidR="008F6166" w:rsidRPr="00EF2A33" w:rsidRDefault="008F6166" w:rsidP="008F6166">
      <w:r w:rsidRPr="00EF2A33">
        <w:rPr>
          <w:sz w:val="20"/>
          <w:szCs w:val="20"/>
        </w:rPr>
        <w:t>Source: Authors’ own work</w:t>
      </w:r>
    </w:p>
    <w:p w14:paraId="32D5CF5F" w14:textId="77777777" w:rsidR="008F6166" w:rsidRPr="00EF2A33" w:rsidRDefault="008F6166" w:rsidP="003D243F">
      <w:pPr>
        <w:rPr>
          <w:bCs/>
          <w:iCs/>
          <w:lang w:val="en-GB"/>
        </w:rPr>
      </w:pPr>
    </w:p>
    <w:p w14:paraId="712E9247" w14:textId="246A4EF1" w:rsidR="009C4EED" w:rsidRPr="00EF2A33" w:rsidRDefault="009C4EED" w:rsidP="003D243F">
      <w:pPr>
        <w:rPr>
          <w:b/>
          <w:bCs/>
          <w:i/>
          <w:iCs/>
          <w:lang w:val="en-GB"/>
        </w:rPr>
      </w:pPr>
      <w:r w:rsidRPr="00EF2A33">
        <w:rPr>
          <w:b/>
          <w:bCs/>
          <w:i/>
          <w:iCs/>
          <w:lang w:val="en-GB"/>
        </w:rPr>
        <w:t>6.2</w:t>
      </w:r>
      <w:r w:rsidR="004F50AB" w:rsidRPr="00EF2A33">
        <w:rPr>
          <w:b/>
          <w:bCs/>
          <w:i/>
          <w:iCs/>
          <w:lang w:val="en-GB"/>
        </w:rPr>
        <w:t xml:space="preserve"> Bivariate Analysis</w:t>
      </w:r>
    </w:p>
    <w:p w14:paraId="41A45CF9" w14:textId="36500E5E" w:rsidR="00F22CAA" w:rsidRPr="00EF2A33" w:rsidRDefault="003854A8" w:rsidP="003D243F">
      <w:pPr>
        <w:rPr>
          <w:rFonts w:eastAsia="Times New Roman"/>
          <w:lang w:val="en-GB"/>
        </w:rPr>
      </w:pPr>
      <w:r w:rsidRPr="00EF2A33">
        <w:rPr>
          <w:lang w:val="en-GB"/>
        </w:rPr>
        <w:t>Table 4 shows the Pearson correlations and variance inflation factors (VIF)</w:t>
      </w:r>
      <w:r w:rsidRPr="00EF2A33">
        <w:rPr>
          <w:rFonts w:eastAsia="Calibri"/>
          <w:lang w:val="en-GB"/>
        </w:rPr>
        <w:t xml:space="preserve"> of the independent variables</w:t>
      </w:r>
      <w:r w:rsidR="00F22CAA" w:rsidRPr="00EF2A33">
        <w:rPr>
          <w:lang w:val="en-GB"/>
        </w:rPr>
        <w:t xml:space="preserve">. </w:t>
      </w:r>
      <w:r w:rsidR="00270F51" w:rsidRPr="00EF2A33">
        <w:rPr>
          <w:rFonts w:eastAsia="Calibri"/>
          <w:lang w:val="en-GB"/>
        </w:rPr>
        <w:t xml:space="preserve">The </w:t>
      </w:r>
      <w:r w:rsidR="00270F51" w:rsidRPr="00EF2A33">
        <w:rPr>
          <w:lang w:val="en-GB"/>
        </w:rPr>
        <w:t xml:space="preserve">correlation coefficients implied no severe multicollinearity issues </w:t>
      </w:r>
      <w:r w:rsidR="00270F51" w:rsidRPr="00EF2A33">
        <w:rPr>
          <w:lang w:val="en-GB" w:bidi="bn-BD"/>
        </w:rPr>
        <w:t>(Tabachnick, 2001)</w:t>
      </w:r>
      <w:r w:rsidR="00270F51" w:rsidRPr="00EF2A33">
        <w:rPr>
          <w:lang w:val="en-GB"/>
        </w:rPr>
        <w:t>.</w:t>
      </w:r>
      <w:r w:rsidR="001D2216" w:rsidRPr="00EF2A33">
        <w:rPr>
          <w:lang w:val="en-GB"/>
        </w:rPr>
        <w:t xml:space="preserve"> </w:t>
      </w:r>
      <w:r w:rsidR="00F22CAA" w:rsidRPr="00EF2A33">
        <w:rPr>
          <w:lang w:val="en-GB"/>
        </w:rPr>
        <w:t xml:space="preserve">The VIF test is a tool for assessing potential multicollinearity among variables within the regression model. A mean VIF exceeding 10 signals the possibility of multicollinearity issues, while a VIF smaller than 1 suggests potential bias in the regression equation (Saha and Khan, 2024b). In the present study, the mean VIF is calculated as 1.442, indicating the absence of both multicollinearity and bias in the regression model (Rahman &amp; Saima, 2018; Masum &amp; Khan, 2019; Sobhan, 2021). This finding instils confidence in the robustness of the regression results and assures the independence of variables within the model. </w:t>
      </w:r>
    </w:p>
    <w:p w14:paraId="49439E70" w14:textId="77777777" w:rsidR="00804526" w:rsidRPr="00EF2A33" w:rsidRDefault="00804526" w:rsidP="00804526">
      <w:pPr>
        <w:pStyle w:val="Caption"/>
        <w:keepNext/>
        <w:rPr>
          <w:i w:val="0"/>
          <w:color w:val="auto"/>
          <w:sz w:val="24"/>
          <w:szCs w:val="24"/>
        </w:rPr>
      </w:pPr>
      <w:r w:rsidRPr="00EF2A33">
        <w:rPr>
          <w:i w:val="0"/>
          <w:color w:val="auto"/>
          <w:sz w:val="24"/>
          <w:szCs w:val="24"/>
        </w:rPr>
        <w:t>Table 4: Correlation Matrix</w:t>
      </w:r>
    </w:p>
    <w:tbl>
      <w:tblPr>
        <w:tblW w:w="11071" w:type="dxa"/>
        <w:tblLayout w:type="fixed"/>
        <w:tblLook w:val="0000" w:firstRow="0" w:lastRow="0" w:firstColumn="0" w:lastColumn="0" w:noHBand="0" w:noVBand="0"/>
      </w:tblPr>
      <w:tblGrid>
        <w:gridCol w:w="798"/>
        <w:gridCol w:w="192"/>
        <w:gridCol w:w="459"/>
        <w:gridCol w:w="796"/>
        <w:gridCol w:w="866"/>
        <w:gridCol w:w="920"/>
        <w:gridCol w:w="739"/>
        <w:gridCol w:w="903"/>
        <w:gridCol w:w="791"/>
        <w:gridCol w:w="819"/>
        <w:gridCol w:w="812"/>
        <w:gridCol w:w="799"/>
        <w:gridCol w:w="798"/>
        <w:gridCol w:w="798"/>
        <w:gridCol w:w="581"/>
      </w:tblGrid>
      <w:tr w:rsidR="00EF2A33" w:rsidRPr="00EF2A33" w14:paraId="429F1EAD" w14:textId="77777777" w:rsidTr="00B35847">
        <w:trPr>
          <w:trHeight w:val="271"/>
        </w:trPr>
        <w:tc>
          <w:tcPr>
            <w:tcW w:w="990" w:type="dxa"/>
            <w:gridSpan w:val="2"/>
            <w:tcBorders>
              <w:top w:val="single" w:sz="4" w:space="0" w:color="auto"/>
              <w:bottom w:val="single" w:sz="4" w:space="0" w:color="auto"/>
            </w:tcBorders>
          </w:tcPr>
          <w:p w14:paraId="42220A2D" w14:textId="77777777" w:rsidR="00B35847" w:rsidRPr="00EF2A33" w:rsidRDefault="00B35847" w:rsidP="00DB4BE4">
            <w:pPr>
              <w:widowControl w:val="0"/>
              <w:autoSpaceDE w:val="0"/>
              <w:autoSpaceDN w:val="0"/>
              <w:adjustRightInd w:val="0"/>
              <w:spacing w:after="0" w:line="240" w:lineRule="auto"/>
              <w:rPr>
                <w:sz w:val="14"/>
                <w:szCs w:val="14"/>
              </w:rPr>
            </w:pPr>
            <w:r w:rsidRPr="00EF2A33">
              <w:rPr>
                <w:sz w:val="14"/>
                <w:szCs w:val="14"/>
              </w:rPr>
              <w:t>Variables</w:t>
            </w:r>
          </w:p>
        </w:tc>
        <w:tc>
          <w:tcPr>
            <w:tcW w:w="459" w:type="dxa"/>
            <w:tcBorders>
              <w:top w:val="single" w:sz="4" w:space="0" w:color="auto"/>
              <w:bottom w:val="single" w:sz="4" w:space="0" w:color="auto"/>
            </w:tcBorders>
          </w:tcPr>
          <w:p w14:paraId="2EED31DF"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rFonts w:eastAsia="Times New Roman"/>
                <w:sz w:val="14"/>
                <w:szCs w:val="14"/>
                <w:lang w:val="en-GB"/>
              </w:rPr>
              <w:t>VIF</w:t>
            </w:r>
          </w:p>
        </w:tc>
        <w:tc>
          <w:tcPr>
            <w:tcW w:w="796" w:type="dxa"/>
            <w:tcBorders>
              <w:top w:val="single" w:sz="4" w:space="0" w:color="auto"/>
              <w:bottom w:val="single" w:sz="4" w:space="0" w:color="auto"/>
            </w:tcBorders>
          </w:tcPr>
          <w:p w14:paraId="5C9F0377"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INST</w:t>
            </w:r>
          </w:p>
        </w:tc>
        <w:tc>
          <w:tcPr>
            <w:tcW w:w="866" w:type="dxa"/>
            <w:tcBorders>
              <w:top w:val="single" w:sz="4" w:space="0" w:color="auto"/>
              <w:bottom w:val="single" w:sz="4" w:space="0" w:color="auto"/>
            </w:tcBorders>
          </w:tcPr>
          <w:p w14:paraId="5B54C2B2"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FOREIGN</w:t>
            </w:r>
          </w:p>
        </w:tc>
        <w:tc>
          <w:tcPr>
            <w:tcW w:w="920" w:type="dxa"/>
            <w:tcBorders>
              <w:top w:val="single" w:sz="4" w:space="0" w:color="auto"/>
              <w:bottom w:val="single" w:sz="4" w:space="0" w:color="auto"/>
            </w:tcBorders>
          </w:tcPr>
          <w:p w14:paraId="5DBE1807" w14:textId="14183B60"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SPDIRECT</w:t>
            </w:r>
          </w:p>
        </w:tc>
        <w:tc>
          <w:tcPr>
            <w:tcW w:w="739" w:type="dxa"/>
            <w:tcBorders>
              <w:top w:val="single" w:sz="4" w:space="0" w:color="auto"/>
              <w:bottom w:val="single" w:sz="4" w:space="0" w:color="auto"/>
            </w:tcBorders>
          </w:tcPr>
          <w:p w14:paraId="60ACBDED"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GOVT</w:t>
            </w:r>
          </w:p>
        </w:tc>
        <w:tc>
          <w:tcPr>
            <w:tcW w:w="903" w:type="dxa"/>
            <w:tcBorders>
              <w:top w:val="single" w:sz="4" w:space="0" w:color="auto"/>
              <w:bottom w:val="single" w:sz="4" w:space="0" w:color="auto"/>
            </w:tcBorders>
          </w:tcPr>
          <w:p w14:paraId="5DFF10D3"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BSIZE</w:t>
            </w:r>
          </w:p>
        </w:tc>
        <w:tc>
          <w:tcPr>
            <w:tcW w:w="791" w:type="dxa"/>
            <w:tcBorders>
              <w:top w:val="single" w:sz="4" w:space="0" w:color="auto"/>
              <w:bottom w:val="single" w:sz="4" w:space="0" w:color="auto"/>
            </w:tcBorders>
          </w:tcPr>
          <w:p w14:paraId="1D3565CA"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INDPER</w:t>
            </w:r>
          </w:p>
        </w:tc>
        <w:tc>
          <w:tcPr>
            <w:tcW w:w="819" w:type="dxa"/>
            <w:tcBorders>
              <w:top w:val="single" w:sz="4" w:space="0" w:color="auto"/>
              <w:bottom w:val="single" w:sz="4" w:space="0" w:color="auto"/>
            </w:tcBorders>
          </w:tcPr>
          <w:p w14:paraId="248EC8E2"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GENDER</w:t>
            </w:r>
          </w:p>
        </w:tc>
        <w:tc>
          <w:tcPr>
            <w:tcW w:w="812" w:type="dxa"/>
            <w:tcBorders>
              <w:top w:val="single" w:sz="4" w:space="0" w:color="auto"/>
              <w:bottom w:val="single" w:sz="4" w:space="0" w:color="auto"/>
            </w:tcBorders>
          </w:tcPr>
          <w:p w14:paraId="14BD390E"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MEETING</w:t>
            </w:r>
          </w:p>
        </w:tc>
        <w:tc>
          <w:tcPr>
            <w:tcW w:w="799" w:type="dxa"/>
            <w:tcBorders>
              <w:top w:val="single" w:sz="4" w:space="0" w:color="auto"/>
              <w:bottom w:val="single" w:sz="4" w:space="0" w:color="auto"/>
            </w:tcBorders>
          </w:tcPr>
          <w:p w14:paraId="3A429558" w14:textId="77777777"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FAMILY</w:t>
            </w:r>
          </w:p>
        </w:tc>
        <w:tc>
          <w:tcPr>
            <w:tcW w:w="798" w:type="dxa"/>
            <w:tcBorders>
              <w:top w:val="single" w:sz="4" w:space="0" w:color="auto"/>
              <w:bottom w:val="single" w:sz="4" w:space="0" w:color="auto"/>
            </w:tcBorders>
          </w:tcPr>
          <w:p w14:paraId="601CAA13" w14:textId="77777777" w:rsidR="00B35847" w:rsidRPr="00EF2A33" w:rsidRDefault="00B35847" w:rsidP="00DB4BE4">
            <w:pPr>
              <w:widowControl w:val="0"/>
              <w:autoSpaceDE w:val="0"/>
              <w:autoSpaceDN w:val="0"/>
              <w:adjustRightInd w:val="0"/>
              <w:spacing w:after="0" w:line="240" w:lineRule="auto"/>
              <w:jc w:val="left"/>
              <w:rPr>
                <w:sz w:val="14"/>
                <w:szCs w:val="14"/>
              </w:rPr>
            </w:pPr>
          </w:p>
        </w:tc>
        <w:tc>
          <w:tcPr>
            <w:tcW w:w="798" w:type="dxa"/>
            <w:tcBorders>
              <w:top w:val="single" w:sz="4" w:space="0" w:color="auto"/>
              <w:bottom w:val="single" w:sz="4" w:space="0" w:color="auto"/>
            </w:tcBorders>
          </w:tcPr>
          <w:p w14:paraId="276820D8" w14:textId="23BE8C64" w:rsidR="00B35847" w:rsidRPr="00EF2A33" w:rsidRDefault="00B35847" w:rsidP="00DB4BE4">
            <w:pPr>
              <w:widowControl w:val="0"/>
              <w:autoSpaceDE w:val="0"/>
              <w:autoSpaceDN w:val="0"/>
              <w:adjustRightInd w:val="0"/>
              <w:spacing w:after="0" w:line="240" w:lineRule="auto"/>
              <w:jc w:val="left"/>
              <w:rPr>
                <w:sz w:val="14"/>
                <w:szCs w:val="14"/>
              </w:rPr>
            </w:pPr>
            <w:r w:rsidRPr="00EF2A33">
              <w:rPr>
                <w:sz w:val="14"/>
                <w:szCs w:val="14"/>
              </w:rPr>
              <w:t>EDU</w:t>
            </w:r>
          </w:p>
        </w:tc>
        <w:tc>
          <w:tcPr>
            <w:tcW w:w="581" w:type="dxa"/>
            <w:tcBorders>
              <w:top w:val="single" w:sz="4" w:space="0" w:color="auto"/>
              <w:bottom w:val="single" w:sz="4" w:space="0" w:color="auto"/>
            </w:tcBorders>
          </w:tcPr>
          <w:p w14:paraId="60C0CA12" w14:textId="77777777" w:rsidR="00B35847" w:rsidRPr="00EF2A33" w:rsidRDefault="00B35847" w:rsidP="00DB4BE4">
            <w:pPr>
              <w:widowControl w:val="0"/>
              <w:autoSpaceDE w:val="0"/>
              <w:autoSpaceDN w:val="0"/>
              <w:adjustRightInd w:val="0"/>
              <w:spacing w:after="0" w:line="240" w:lineRule="auto"/>
              <w:rPr>
                <w:sz w:val="14"/>
                <w:szCs w:val="14"/>
              </w:rPr>
            </w:pPr>
            <w:r w:rsidRPr="00EF2A33">
              <w:rPr>
                <w:sz w:val="14"/>
                <w:szCs w:val="14"/>
              </w:rPr>
              <w:t>TA</w:t>
            </w:r>
          </w:p>
        </w:tc>
      </w:tr>
      <w:tr w:rsidR="00EF2A33" w:rsidRPr="00EF2A33" w14:paraId="55A06CB0" w14:textId="77777777" w:rsidTr="00B35847">
        <w:trPr>
          <w:trHeight w:val="74"/>
        </w:trPr>
        <w:tc>
          <w:tcPr>
            <w:tcW w:w="990" w:type="dxa"/>
            <w:gridSpan w:val="2"/>
            <w:tcBorders>
              <w:top w:val="single" w:sz="4" w:space="0" w:color="auto"/>
            </w:tcBorders>
          </w:tcPr>
          <w:p w14:paraId="6D68A69D"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INST</w:t>
            </w:r>
          </w:p>
        </w:tc>
        <w:tc>
          <w:tcPr>
            <w:tcW w:w="459" w:type="dxa"/>
            <w:tcBorders>
              <w:top w:val="single" w:sz="4" w:space="0" w:color="auto"/>
            </w:tcBorders>
          </w:tcPr>
          <w:p w14:paraId="62CCD815" w14:textId="2BB7CD1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1.8</w:t>
            </w:r>
          </w:p>
        </w:tc>
        <w:tc>
          <w:tcPr>
            <w:tcW w:w="796" w:type="dxa"/>
            <w:tcBorders>
              <w:top w:val="single" w:sz="4" w:space="0" w:color="auto"/>
            </w:tcBorders>
          </w:tcPr>
          <w:p w14:paraId="678A91FE" w14:textId="397F1B6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866" w:type="dxa"/>
            <w:tcBorders>
              <w:top w:val="single" w:sz="4" w:space="0" w:color="auto"/>
            </w:tcBorders>
          </w:tcPr>
          <w:p w14:paraId="4A0F9A7C"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920" w:type="dxa"/>
            <w:tcBorders>
              <w:top w:val="single" w:sz="4" w:space="0" w:color="auto"/>
            </w:tcBorders>
          </w:tcPr>
          <w:p w14:paraId="53A65F6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39" w:type="dxa"/>
            <w:tcBorders>
              <w:top w:val="single" w:sz="4" w:space="0" w:color="auto"/>
            </w:tcBorders>
          </w:tcPr>
          <w:p w14:paraId="30A638B9"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903" w:type="dxa"/>
            <w:tcBorders>
              <w:top w:val="single" w:sz="4" w:space="0" w:color="auto"/>
            </w:tcBorders>
          </w:tcPr>
          <w:p w14:paraId="73DAF04A"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1" w:type="dxa"/>
            <w:tcBorders>
              <w:top w:val="single" w:sz="4" w:space="0" w:color="auto"/>
            </w:tcBorders>
          </w:tcPr>
          <w:p w14:paraId="314133FB"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9" w:type="dxa"/>
            <w:tcBorders>
              <w:top w:val="single" w:sz="4" w:space="0" w:color="auto"/>
            </w:tcBorders>
          </w:tcPr>
          <w:p w14:paraId="2D73E9A5"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Borders>
              <w:top w:val="single" w:sz="4" w:space="0" w:color="auto"/>
            </w:tcBorders>
          </w:tcPr>
          <w:p w14:paraId="52D72107"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Borders>
              <w:top w:val="single" w:sz="4" w:space="0" w:color="auto"/>
            </w:tcBorders>
          </w:tcPr>
          <w:p w14:paraId="221AEB54"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Borders>
              <w:top w:val="single" w:sz="4" w:space="0" w:color="auto"/>
            </w:tcBorders>
          </w:tcPr>
          <w:p w14:paraId="3CFFBF8E"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Borders>
              <w:top w:val="single" w:sz="4" w:space="0" w:color="auto"/>
            </w:tcBorders>
          </w:tcPr>
          <w:p w14:paraId="7DC2AA90" w14:textId="46B586C3"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Borders>
              <w:top w:val="single" w:sz="4" w:space="0" w:color="auto"/>
            </w:tcBorders>
          </w:tcPr>
          <w:p w14:paraId="3016473B"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008B1C22" w14:textId="77777777" w:rsidTr="00B35847">
        <w:trPr>
          <w:trHeight w:val="81"/>
        </w:trPr>
        <w:tc>
          <w:tcPr>
            <w:tcW w:w="990" w:type="dxa"/>
            <w:gridSpan w:val="2"/>
          </w:tcPr>
          <w:p w14:paraId="06768CB5"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FOREIGN</w:t>
            </w:r>
          </w:p>
        </w:tc>
        <w:tc>
          <w:tcPr>
            <w:tcW w:w="459" w:type="dxa"/>
          </w:tcPr>
          <w:p w14:paraId="0D00BD65" w14:textId="5ACB5DDF"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1.2</w:t>
            </w:r>
          </w:p>
        </w:tc>
        <w:tc>
          <w:tcPr>
            <w:tcW w:w="796" w:type="dxa"/>
          </w:tcPr>
          <w:p w14:paraId="706E83A9" w14:textId="29FEAF2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-0.17**</w:t>
            </w:r>
          </w:p>
        </w:tc>
        <w:tc>
          <w:tcPr>
            <w:tcW w:w="866" w:type="dxa"/>
          </w:tcPr>
          <w:p w14:paraId="5ABDDE88" w14:textId="471F76F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920" w:type="dxa"/>
          </w:tcPr>
          <w:p w14:paraId="410EF61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39" w:type="dxa"/>
          </w:tcPr>
          <w:p w14:paraId="76031B9A"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903" w:type="dxa"/>
          </w:tcPr>
          <w:p w14:paraId="7046E7F1"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1" w:type="dxa"/>
          </w:tcPr>
          <w:p w14:paraId="6B3CF24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9" w:type="dxa"/>
          </w:tcPr>
          <w:p w14:paraId="1C274CA9"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Pr>
          <w:p w14:paraId="2AB4B228"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71237C4C"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3D951722"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796472A8" w14:textId="3A6486D3"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1D8F8B66"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046256BA" w14:textId="77777777" w:rsidTr="00B35847">
        <w:trPr>
          <w:trHeight w:val="70"/>
        </w:trPr>
        <w:tc>
          <w:tcPr>
            <w:tcW w:w="990" w:type="dxa"/>
            <w:gridSpan w:val="2"/>
          </w:tcPr>
          <w:p w14:paraId="73C2F99F" w14:textId="1212E62A"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SPDIRECT</w:t>
            </w:r>
          </w:p>
        </w:tc>
        <w:tc>
          <w:tcPr>
            <w:tcW w:w="459" w:type="dxa"/>
          </w:tcPr>
          <w:p w14:paraId="19EF4E96" w14:textId="6BDA64B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1.2</w:t>
            </w:r>
          </w:p>
        </w:tc>
        <w:tc>
          <w:tcPr>
            <w:tcW w:w="796" w:type="dxa"/>
          </w:tcPr>
          <w:p w14:paraId="0CA69F3F" w14:textId="70E7B05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-0.4***</w:t>
            </w:r>
          </w:p>
        </w:tc>
        <w:tc>
          <w:tcPr>
            <w:tcW w:w="866" w:type="dxa"/>
          </w:tcPr>
          <w:p w14:paraId="6F37E3B0" w14:textId="48845AC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w:t>
            </w:r>
          </w:p>
        </w:tc>
        <w:tc>
          <w:tcPr>
            <w:tcW w:w="920" w:type="dxa"/>
          </w:tcPr>
          <w:p w14:paraId="4E26D2CB" w14:textId="121C9BC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739" w:type="dxa"/>
          </w:tcPr>
          <w:p w14:paraId="4271995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903" w:type="dxa"/>
          </w:tcPr>
          <w:p w14:paraId="1B13EE5B"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1" w:type="dxa"/>
          </w:tcPr>
          <w:p w14:paraId="66ABCD6E"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9" w:type="dxa"/>
          </w:tcPr>
          <w:p w14:paraId="67F4F3E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Pr>
          <w:p w14:paraId="3B3D4021"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37D204B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2CFA0038"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0F0B81FA" w14:textId="1BA53BF6"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47860EB7"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71CFE0DE" w14:textId="77777777" w:rsidTr="00B35847">
        <w:trPr>
          <w:trHeight w:val="74"/>
        </w:trPr>
        <w:tc>
          <w:tcPr>
            <w:tcW w:w="990" w:type="dxa"/>
            <w:gridSpan w:val="2"/>
          </w:tcPr>
          <w:p w14:paraId="4BA5C428"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GOVT</w:t>
            </w:r>
          </w:p>
        </w:tc>
        <w:tc>
          <w:tcPr>
            <w:tcW w:w="459" w:type="dxa"/>
          </w:tcPr>
          <w:p w14:paraId="31632147" w14:textId="6397E2D3"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1.7</w:t>
            </w:r>
          </w:p>
        </w:tc>
        <w:tc>
          <w:tcPr>
            <w:tcW w:w="796" w:type="dxa"/>
          </w:tcPr>
          <w:p w14:paraId="4300661A" w14:textId="28F9BCAE"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w:t>
            </w:r>
          </w:p>
        </w:tc>
        <w:tc>
          <w:tcPr>
            <w:tcW w:w="866" w:type="dxa"/>
          </w:tcPr>
          <w:p w14:paraId="0159CDF6" w14:textId="5FD91BEE"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-0.26**</w:t>
            </w:r>
          </w:p>
        </w:tc>
        <w:tc>
          <w:tcPr>
            <w:tcW w:w="920" w:type="dxa"/>
          </w:tcPr>
          <w:p w14:paraId="6D3F1A06" w14:textId="3EE602CB"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0.18**</w:t>
            </w:r>
          </w:p>
        </w:tc>
        <w:tc>
          <w:tcPr>
            <w:tcW w:w="739" w:type="dxa"/>
          </w:tcPr>
          <w:p w14:paraId="28D65936" w14:textId="1758C19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903" w:type="dxa"/>
          </w:tcPr>
          <w:p w14:paraId="42292364"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1" w:type="dxa"/>
          </w:tcPr>
          <w:p w14:paraId="3F3F84B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9" w:type="dxa"/>
          </w:tcPr>
          <w:p w14:paraId="02D2AAE9"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Pr>
          <w:p w14:paraId="66F364FD"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22762E88"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7988F6EB"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2AE3E21D" w14:textId="0DE7327F"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036629B0"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5F6E0DEB" w14:textId="77777777" w:rsidTr="00B35847">
        <w:trPr>
          <w:trHeight w:val="74"/>
        </w:trPr>
        <w:tc>
          <w:tcPr>
            <w:tcW w:w="990" w:type="dxa"/>
            <w:gridSpan w:val="2"/>
          </w:tcPr>
          <w:p w14:paraId="4EF2AB98"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BSIZE</w:t>
            </w:r>
          </w:p>
        </w:tc>
        <w:tc>
          <w:tcPr>
            <w:tcW w:w="459" w:type="dxa"/>
          </w:tcPr>
          <w:p w14:paraId="4EADD0B1" w14:textId="2C009C4C"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1.8</w:t>
            </w:r>
          </w:p>
        </w:tc>
        <w:tc>
          <w:tcPr>
            <w:tcW w:w="796" w:type="dxa"/>
          </w:tcPr>
          <w:p w14:paraId="7D2BF468" w14:textId="6B54AAD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0.03</w:t>
            </w:r>
          </w:p>
        </w:tc>
        <w:tc>
          <w:tcPr>
            <w:tcW w:w="866" w:type="dxa"/>
          </w:tcPr>
          <w:p w14:paraId="1A4C3F62" w14:textId="5674925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w:t>
            </w:r>
          </w:p>
        </w:tc>
        <w:tc>
          <w:tcPr>
            <w:tcW w:w="920" w:type="dxa"/>
          </w:tcPr>
          <w:p w14:paraId="7A2840FB" w14:textId="0DE32A0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0.23***</w:t>
            </w:r>
          </w:p>
        </w:tc>
        <w:tc>
          <w:tcPr>
            <w:tcW w:w="739" w:type="dxa"/>
          </w:tcPr>
          <w:p w14:paraId="7551C7BB" w14:textId="6BA10B7B"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-0.02</w:t>
            </w:r>
          </w:p>
        </w:tc>
        <w:tc>
          <w:tcPr>
            <w:tcW w:w="903" w:type="dxa"/>
          </w:tcPr>
          <w:p w14:paraId="5D683603" w14:textId="44CBB99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791" w:type="dxa"/>
          </w:tcPr>
          <w:p w14:paraId="01ECEC48"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9" w:type="dxa"/>
          </w:tcPr>
          <w:p w14:paraId="79313BCD"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Pr>
          <w:p w14:paraId="70D029C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7CDF7CE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36824AF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24C77A05" w14:textId="16758BD6"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13A0CC0A"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75488DDB" w14:textId="77777777" w:rsidTr="00B35847">
        <w:trPr>
          <w:trHeight w:val="74"/>
        </w:trPr>
        <w:tc>
          <w:tcPr>
            <w:tcW w:w="990" w:type="dxa"/>
            <w:gridSpan w:val="2"/>
          </w:tcPr>
          <w:p w14:paraId="1C18E051"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INDPER</w:t>
            </w:r>
          </w:p>
        </w:tc>
        <w:tc>
          <w:tcPr>
            <w:tcW w:w="459" w:type="dxa"/>
          </w:tcPr>
          <w:p w14:paraId="01624524" w14:textId="7F5A446F"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1.5</w:t>
            </w:r>
          </w:p>
        </w:tc>
        <w:tc>
          <w:tcPr>
            <w:tcW w:w="796" w:type="dxa"/>
          </w:tcPr>
          <w:p w14:paraId="32033505" w14:textId="3A68BAC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w:t>
            </w:r>
          </w:p>
        </w:tc>
        <w:tc>
          <w:tcPr>
            <w:tcW w:w="866" w:type="dxa"/>
          </w:tcPr>
          <w:p w14:paraId="4015CA79" w14:textId="095602BA"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0.12*</w:t>
            </w:r>
          </w:p>
        </w:tc>
        <w:tc>
          <w:tcPr>
            <w:tcW w:w="920" w:type="dxa"/>
          </w:tcPr>
          <w:p w14:paraId="1F055824" w14:textId="1F4AA74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-0.13**</w:t>
            </w:r>
          </w:p>
        </w:tc>
        <w:tc>
          <w:tcPr>
            <w:tcW w:w="739" w:type="dxa"/>
          </w:tcPr>
          <w:p w14:paraId="2B132696" w14:textId="56D77219"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w:t>
            </w:r>
          </w:p>
        </w:tc>
        <w:tc>
          <w:tcPr>
            <w:tcW w:w="903" w:type="dxa"/>
          </w:tcPr>
          <w:p w14:paraId="18BC033D" w14:textId="0FEEA63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w:t>
            </w:r>
          </w:p>
        </w:tc>
        <w:tc>
          <w:tcPr>
            <w:tcW w:w="791" w:type="dxa"/>
          </w:tcPr>
          <w:p w14:paraId="7FD4FE38" w14:textId="18CA900F"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819" w:type="dxa"/>
          </w:tcPr>
          <w:p w14:paraId="292999FD"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812" w:type="dxa"/>
          </w:tcPr>
          <w:p w14:paraId="3C054B1D"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321F66F6"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1102AF01"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79BDB385" w14:textId="3F829E60"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7D9CF271"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6D79956D" w14:textId="77777777" w:rsidTr="00B35847">
        <w:trPr>
          <w:trHeight w:val="74"/>
        </w:trPr>
        <w:tc>
          <w:tcPr>
            <w:tcW w:w="990" w:type="dxa"/>
            <w:gridSpan w:val="2"/>
          </w:tcPr>
          <w:p w14:paraId="7B76F6C0"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GENDER</w:t>
            </w:r>
          </w:p>
        </w:tc>
        <w:tc>
          <w:tcPr>
            <w:tcW w:w="459" w:type="dxa"/>
          </w:tcPr>
          <w:p w14:paraId="1DE52F0B" w14:textId="0C7377FC"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1.7</w:t>
            </w:r>
          </w:p>
        </w:tc>
        <w:tc>
          <w:tcPr>
            <w:tcW w:w="796" w:type="dxa"/>
          </w:tcPr>
          <w:p w14:paraId="7C4A863E" w14:textId="48E0DE3B"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0.03</w:t>
            </w:r>
          </w:p>
        </w:tc>
        <w:tc>
          <w:tcPr>
            <w:tcW w:w="866" w:type="dxa"/>
          </w:tcPr>
          <w:p w14:paraId="520D0324" w14:textId="08962B6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0.28***</w:t>
            </w:r>
          </w:p>
        </w:tc>
        <w:tc>
          <w:tcPr>
            <w:tcW w:w="920" w:type="dxa"/>
          </w:tcPr>
          <w:p w14:paraId="583E5744" w14:textId="4CB67DF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-0.11</w:t>
            </w:r>
          </w:p>
        </w:tc>
        <w:tc>
          <w:tcPr>
            <w:tcW w:w="739" w:type="dxa"/>
          </w:tcPr>
          <w:p w14:paraId="6AA6A7B6" w14:textId="0E20432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w:t>
            </w:r>
          </w:p>
        </w:tc>
        <w:tc>
          <w:tcPr>
            <w:tcW w:w="903" w:type="dxa"/>
          </w:tcPr>
          <w:p w14:paraId="167CF36C" w14:textId="5DC35EB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-0.11</w:t>
            </w:r>
          </w:p>
        </w:tc>
        <w:tc>
          <w:tcPr>
            <w:tcW w:w="791" w:type="dxa"/>
          </w:tcPr>
          <w:p w14:paraId="529324D7" w14:textId="499990B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0.13*</w:t>
            </w:r>
          </w:p>
        </w:tc>
        <w:tc>
          <w:tcPr>
            <w:tcW w:w="819" w:type="dxa"/>
          </w:tcPr>
          <w:p w14:paraId="71F92531" w14:textId="14B1755E"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812" w:type="dxa"/>
          </w:tcPr>
          <w:p w14:paraId="7E14C7E0"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9" w:type="dxa"/>
          </w:tcPr>
          <w:p w14:paraId="7E44DEF9"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41AC3FA0"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332AE760" w14:textId="2F0082F2"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0FFB1D87"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0AFBEC25" w14:textId="77777777" w:rsidTr="00B35847">
        <w:trPr>
          <w:trHeight w:val="74"/>
        </w:trPr>
        <w:tc>
          <w:tcPr>
            <w:tcW w:w="990" w:type="dxa"/>
            <w:gridSpan w:val="2"/>
          </w:tcPr>
          <w:p w14:paraId="6C665E99"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MEETING</w:t>
            </w:r>
          </w:p>
        </w:tc>
        <w:tc>
          <w:tcPr>
            <w:tcW w:w="459" w:type="dxa"/>
          </w:tcPr>
          <w:p w14:paraId="2E47F1EB" w14:textId="7E696C2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1.7</w:t>
            </w:r>
          </w:p>
        </w:tc>
        <w:tc>
          <w:tcPr>
            <w:tcW w:w="796" w:type="dxa"/>
          </w:tcPr>
          <w:p w14:paraId="19189239" w14:textId="1384A7DB"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w:t>
            </w:r>
          </w:p>
        </w:tc>
        <w:tc>
          <w:tcPr>
            <w:tcW w:w="866" w:type="dxa"/>
          </w:tcPr>
          <w:p w14:paraId="5EAE63FB" w14:textId="166EAA7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0.27***</w:t>
            </w:r>
          </w:p>
        </w:tc>
        <w:tc>
          <w:tcPr>
            <w:tcW w:w="920" w:type="dxa"/>
          </w:tcPr>
          <w:p w14:paraId="633E74C4" w14:textId="2C05AC9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w:t>
            </w:r>
          </w:p>
        </w:tc>
        <w:tc>
          <w:tcPr>
            <w:tcW w:w="739" w:type="dxa"/>
          </w:tcPr>
          <w:p w14:paraId="6E126236" w14:textId="2935ED6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-0.01</w:t>
            </w:r>
          </w:p>
        </w:tc>
        <w:tc>
          <w:tcPr>
            <w:tcW w:w="903" w:type="dxa"/>
          </w:tcPr>
          <w:p w14:paraId="524E97BE" w14:textId="7CD2245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-0.21**</w:t>
            </w:r>
          </w:p>
        </w:tc>
        <w:tc>
          <w:tcPr>
            <w:tcW w:w="791" w:type="dxa"/>
          </w:tcPr>
          <w:p w14:paraId="2C20440B" w14:textId="40952CE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0.22***</w:t>
            </w:r>
          </w:p>
        </w:tc>
        <w:tc>
          <w:tcPr>
            <w:tcW w:w="819" w:type="dxa"/>
          </w:tcPr>
          <w:p w14:paraId="6CDF22AD" w14:textId="3FC8A79A"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0.4***</w:t>
            </w:r>
          </w:p>
        </w:tc>
        <w:tc>
          <w:tcPr>
            <w:tcW w:w="812" w:type="dxa"/>
          </w:tcPr>
          <w:p w14:paraId="47422808" w14:textId="1ADDA3FB"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799" w:type="dxa"/>
          </w:tcPr>
          <w:p w14:paraId="50068502"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2C5CBF9E"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25299038" w14:textId="0811C26F"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468E7CCD"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04C21F35" w14:textId="77777777" w:rsidTr="00B35847">
        <w:trPr>
          <w:trHeight w:val="74"/>
        </w:trPr>
        <w:tc>
          <w:tcPr>
            <w:tcW w:w="990" w:type="dxa"/>
            <w:gridSpan w:val="2"/>
          </w:tcPr>
          <w:p w14:paraId="7D9F0B79"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FAMILY</w:t>
            </w:r>
          </w:p>
        </w:tc>
        <w:tc>
          <w:tcPr>
            <w:tcW w:w="459" w:type="dxa"/>
          </w:tcPr>
          <w:p w14:paraId="59881E76" w14:textId="369B3AB3"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2.3</w:t>
            </w:r>
          </w:p>
        </w:tc>
        <w:tc>
          <w:tcPr>
            <w:tcW w:w="796" w:type="dxa"/>
          </w:tcPr>
          <w:p w14:paraId="5605784C" w14:textId="3A41009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0.01</w:t>
            </w:r>
          </w:p>
        </w:tc>
        <w:tc>
          <w:tcPr>
            <w:tcW w:w="866" w:type="dxa"/>
          </w:tcPr>
          <w:p w14:paraId="2AE4D6E0" w14:textId="6EAE0B5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0.16**</w:t>
            </w:r>
          </w:p>
        </w:tc>
        <w:tc>
          <w:tcPr>
            <w:tcW w:w="920" w:type="dxa"/>
          </w:tcPr>
          <w:p w14:paraId="28140BFE" w14:textId="4464588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-0.26***</w:t>
            </w:r>
          </w:p>
        </w:tc>
        <w:tc>
          <w:tcPr>
            <w:tcW w:w="739" w:type="dxa"/>
          </w:tcPr>
          <w:p w14:paraId="241CE717" w14:textId="70259B2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-0.4***</w:t>
            </w:r>
          </w:p>
        </w:tc>
        <w:tc>
          <w:tcPr>
            <w:tcW w:w="903" w:type="dxa"/>
          </w:tcPr>
          <w:p w14:paraId="03DA32B4" w14:textId="2D1F7AA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-0.32***</w:t>
            </w:r>
          </w:p>
        </w:tc>
        <w:tc>
          <w:tcPr>
            <w:tcW w:w="791" w:type="dxa"/>
          </w:tcPr>
          <w:p w14:paraId="64D7D298" w14:textId="4CF05D1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0.14**</w:t>
            </w:r>
          </w:p>
        </w:tc>
        <w:tc>
          <w:tcPr>
            <w:tcW w:w="819" w:type="dxa"/>
          </w:tcPr>
          <w:p w14:paraId="46B6FBB1" w14:textId="6E621D0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0.5***</w:t>
            </w:r>
          </w:p>
        </w:tc>
        <w:tc>
          <w:tcPr>
            <w:tcW w:w="812" w:type="dxa"/>
          </w:tcPr>
          <w:p w14:paraId="74E29368" w14:textId="30C6E1B4"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0.26***</w:t>
            </w:r>
          </w:p>
        </w:tc>
        <w:tc>
          <w:tcPr>
            <w:tcW w:w="799" w:type="dxa"/>
          </w:tcPr>
          <w:p w14:paraId="333E0261" w14:textId="4E6C24BE"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798" w:type="dxa"/>
          </w:tcPr>
          <w:p w14:paraId="2FA7B573"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6CEE17FB" w14:textId="7D2FD913" w:rsidR="00B35847" w:rsidRPr="00EF2A33" w:rsidRDefault="00B35847" w:rsidP="00DB4BE4">
            <w:pPr>
              <w:widowControl w:val="0"/>
              <w:autoSpaceDE w:val="0"/>
              <w:autoSpaceDN w:val="0"/>
              <w:adjustRightInd w:val="0"/>
              <w:spacing w:after="0" w:line="240" w:lineRule="auto"/>
              <w:jc w:val="left"/>
              <w:rPr>
                <w:sz w:val="16"/>
                <w:szCs w:val="16"/>
              </w:rPr>
            </w:pPr>
          </w:p>
        </w:tc>
        <w:tc>
          <w:tcPr>
            <w:tcW w:w="581" w:type="dxa"/>
          </w:tcPr>
          <w:p w14:paraId="051AE2BC"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1AF29BBD" w14:textId="77777777" w:rsidTr="00B35847">
        <w:trPr>
          <w:trHeight w:val="74"/>
        </w:trPr>
        <w:tc>
          <w:tcPr>
            <w:tcW w:w="990" w:type="dxa"/>
            <w:gridSpan w:val="2"/>
          </w:tcPr>
          <w:p w14:paraId="2633E2F0"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EDU</w:t>
            </w:r>
          </w:p>
        </w:tc>
        <w:tc>
          <w:tcPr>
            <w:tcW w:w="459" w:type="dxa"/>
          </w:tcPr>
          <w:p w14:paraId="2F95CAE2" w14:textId="14D0FE4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1.8</w:t>
            </w:r>
          </w:p>
        </w:tc>
        <w:tc>
          <w:tcPr>
            <w:tcW w:w="796" w:type="dxa"/>
          </w:tcPr>
          <w:p w14:paraId="209514B3" w14:textId="07260D4E"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0.08</w:t>
            </w:r>
          </w:p>
        </w:tc>
        <w:tc>
          <w:tcPr>
            <w:tcW w:w="866" w:type="dxa"/>
          </w:tcPr>
          <w:p w14:paraId="1247CD47" w14:textId="79726663"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0.26***</w:t>
            </w:r>
          </w:p>
        </w:tc>
        <w:tc>
          <w:tcPr>
            <w:tcW w:w="920" w:type="dxa"/>
          </w:tcPr>
          <w:p w14:paraId="679AE3BF" w14:textId="5068F97D"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0.10</w:t>
            </w:r>
          </w:p>
        </w:tc>
        <w:tc>
          <w:tcPr>
            <w:tcW w:w="739" w:type="dxa"/>
          </w:tcPr>
          <w:p w14:paraId="3C20171D" w14:textId="08F48B6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-0.14**</w:t>
            </w:r>
          </w:p>
        </w:tc>
        <w:tc>
          <w:tcPr>
            <w:tcW w:w="903" w:type="dxa"/>
          </w:tcPr>
          <w:p w14:paraId="36238F9F" w14:textId="5BF4BCC5"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-0.17**</w:t>
            </w:r>
          </w:p>
        </w:tc>
        <w:tc>
          <w:tcPr>
            <w:tcW w:w="791" w:type="dxa"/>
          </w:tcPr>
          <w:p w14:paraId="0D49A9AC" w14:textId="6971DEBF"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0.11</w:t>
            </w:r>
          </w:p>
        </w:tc>
        <w:tc>
          <w:tcPr>
            <w:tcW w:w="819" w:type="dxa"/>
          </w:tcPr>
          <w:p w14:paraId="5DFED5F8" w14:textId="466D002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-0.04</w:t>
            </w:r>
          </w:p>
        </w:tc>
        <w:tc>
          <w:tcPr>
            <w:tcW w:w="812" w:type="dxa"/>
          </w:tcPr>
          <w:p w14:paraId="14636490" w14:textId="7A8FD01D"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-0.03</w:t>
            </w:r>
          </w:p>
        </w:tc>
        <w:tc>
          <w:tcPr>
            <w:tcW w:w="799" w:type="dxa"/>
          </w:tcPr>
          <w:p w14:paraId="44159725" w14:textId="1C311EB3"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-0.15**</w:t>
            </w:r>
          </w:p>
        </w:tc>
        <w:tc>
          <w:tcPr>
            <w:tcW w:w="798" w:type="dxa"/>
          </w:tcPr>
          <w:p w14:paraId="3022983B"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0B542E14" w14:textId="4FE8C6E1"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1.00</w:t>
            </w:r>
          </w:p>
        </w:tc>
        <w:tc>
          <w:tcPr>
            <w:tcW w:w="581" w:type="dxa"/>
          </w:tcPr>
          <w:p w14:paraId="37785B41" w14:textId="77777777" w:rsidR="00B35847" w:rsidRPr="00EF2A33" w:rsidRDefault="00B35847" w:rsidP="00DB4BE4">
            <w:pPr>
              <w:widowControl w:val="0"/>
              <w:autoSpaceDE w:val="0"/>
              <w:autoSpaceDN w:val="0"/>
              <w:adjustRightInd w:val="0"/>
              <w:spacing w:after="0" w:line="240" w:lineRule="auto"/>
              <w:rPr>
                <w:sz w:val="16"/>
                <w:szCs w:val="16"/>
              </w:rPr>
            </w:pPr>
          </w:p>
        </w:tc>
      </w:tr>
      <w:tr w:rsidR="00EF2A33" w:rsidRPr="00EF2A33" w14:paraId="14386762" w14:textId="77777777" w:rsidTr="00B35847">
        <w:trPr>
          <w:trHeight w:val="74"/>
        </w:trPr>
        <w:tc>
          <w:tcPr>
            <w:tcW w:w="990" w:type="dxa"/>
            <w:gridSpan w:val="2"/>
          </w:tcPr>
          <w:p w14:paraId="684D52D0" w14:textId="77777777"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TA</w:t>
            </w:r>
          </w:p>
        </w:tc>
        <w:tc>
          <w:tcPr>
            <w:tcW w:w="459" w:type="dxa"/>
          </w:tcPr>
          <w:p w14:paraId="796ED565" w14:textId="4B6D37C6"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2.0</w:t>
            </w:r>
          </w:p>
        </w:tc>
        <w:tc>
          <w:tcPr>
            <w:tcW w:w="796" w:type="dxa"/>
          </w:tcPr>
          <w:p w14:paraId="2BFD69BF" w14:textId="0BE1AE60"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0.39***</w:t>
            </w:r>
          </w:p>
        </w:tc>
        <w:tc>
          <w:tcPr>
            <w:tcW w:w="866" w:type="dxa"/>
          </w:tcPr>
          <w:p w14:paraId="33CE8700" w14:textId="5318626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-0.18**</w:t>
            </w:r>
          </w:p>
        </w:tc>
        <w:tc>
          <w:tcPr>
            <w:tcW w:w="920" w:type="dxa"/>
          </w:tcPr>
          <w:p w14:paraId="151DD0D6" w14:textId="6B78D64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-0.33***</w:t>
            </w:r>
          </w:p>
        </w:tc>
        <w:tc>
          <w:tcPr>
            <w:tcW w:w="739" w:type="dxa"/>
          </w:tcPr>
          <w:p w14:paraId="33E1604F" w14:textId="1A4A262F"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-0.01</w:t>
            </w:r>
          </w:p>
        </w:tc>
        <w:tc>
          <w:tcPr>
            <w:tcW w:w="903" w:type="dxa"/>
          </w:tcPr>
          <w:p w14:paraId="683883E0" w14:textId="1B86AD2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0.25***</w:t>
            </w:r>
          </w:p>
        </w:tc>
        <w:tc>
          <w:tcPr>
            <w:tcW w:w="791" w:type="dxa"/>
          </w:tcPr>
          <w:p w14:paraId="5B2805A9" w14:textId="2ED77A97"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-0.04</w:t>
            </w:r>
          </w:p>
        </w:tc>
        <w:tc>
          <w:tcPr>
            <w:tcW w:w="819" w:type="dxa"/>
          </w:tcPr>
          <w:p w14:paraId="296E03B4" w14:textId="1858FEC8"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0.15**</w:t>
            </w:r>
          </w:p>
        </w:tc>
        <w:tc>
          <w:tcPr>
            <w:tcW w:w="812" w:type="dxa"/>
          </w:tcPr>
          <w:p w14:paraId="7C90EC06" w14:textId="29016E14"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0.29***</w:t>
            </w:r>
          </w:p>
        </w:tc>
        <w:tc>
          <w:tcPr>
            <w:tcW w:w="799" w:type="dxa"/>
          </w:tcPr>
          <w:p w14:paraId="5EBBA800" w14:textId="242934D2"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-0.03</w:t>
            </w:r>
          </w:p>
        </w:tc>
        <w:tc>
          <w:tcPr>
            <w:tcW w:w="798" w:type="dxa"/>
          </w:tcPr>
          <w:p w14:paraId="6505121A" w14:textId="77777777" w:rsidR="00B35847" w:rsidRPr="00EF2A33" w:rsidRDefault="00B35847" w:rsidP="00DB4BE4">
            <w:pPr>
              <w:widowControl w:val="0"/>
              <w:autoSpaceDE w:val="0"/>
              <w:autoSpaceDN w:val="0"/>
              <w:adjustRightInd w:val="0"/>
              <w:spacing w:after="0" w:line="240" w:lineRule="auto"/>
              <w:jc w:val="left"/>
              <w:rPr>
                <w:sz w:val="16"/>
                <w:szCs w:val="16"/>
              </w:rPr>
            </w:pPr>
          </w:p>
        </w:tc>
        <w:tc>
          <w:tcPr>
            <w:tcW w:w="798" w:type="dxa"/>
          </w:tcPr>
          <w:p w14:paraId="6028F193" w14:textId="3A36D7E4" w:rsidR="00B35847" w:rsidRPr="00EF2A33" w:rsidRDefault="00B35847" w:rsidP="00DB4BE4">
            <w:pPr>
              <w:widowControl w:val="0"/>
              <w:autoSpaceDE w:val="0"/>
              <w:autoSpaceDN w:val="0"/>
              <w:adjustRightInd w:val="0"/>
              <w:spacing w:after="0" w:line="240" w:lineRule="auto"/>
              <w:jc w:val="left"/>
              <w:rPr>
                <w:sz w:val="16"/>
                <w:szCs w:val="16"/>
              </w:rPr>
            </w:pPr>
            <w:r w:rsidRPr="00EF2A33">
              <w:rPr>
                <w:sz w:val="16"/>
                <w:szCs w:val="16"/>
              </w:rPr>
              <w:t>-0.18**</w:t>
            </w:r>
          </w:p>
        </w:tc>
        <w:tc>
          <w:tcPr>
            <w:tcW w:w="581" w:type="dxa"/>
          </w:tcPr>
          <w:p w14:paraId="1DC86B9F" w14:textId="5AF1361E" w:rsidR="00B35847" w:rsidRPr="00EF2A33" w:rsidRDefault="00B35847" w:rsidP="00DB4BE4">
            <w:pPr>
              <w:widowControl w:val="0"/>
              <w:autoSpaceDE w:val="0"/>
              <w:autoSpaceDN w:val="0"/>
              <w:adjustRightInd w:val="0"/>
              <w:spacing w:after="0" w:line="240" w:lineRule="auto"/>
              <w:rPr>
                <w:sz w:val="16"/>
                <w:szCs w:val="16"/>
              </w:rPr>
            </w:pPr>
            <w:r w:rsidRPr="00EF2A33">
              <w:rPr>
                <w:sz w:val="16"/>
                <w:szCs w:val="16"/>
              </w:rPr>
              <w:t>1.00</w:t>
            </w:r>
          </w:p>
        </w:tc>
      </w:tr>
      <w:tr w:rsidR="00B35847" w:rsidRPr="00EF2A33" w14:paraId="4263FEA6" w14:textId="77777777" w:rsidTr="00B35847">
        <w:trPr>
          <w:trHeight w:val="74"/>
        </w:trPr>
        <w:tc>
          <w:tcPr>
            <w:tcW w:w="798" w:type="dxa"/>
          </w:tcPr>
          <w:p w14:paraId="6F07CAEC" w14:textId="77777777" w:rsidR="00B35847" w:rsidRPr="00EF2A33" w:rsidRDefault="00B35847" w:rsidP="004125EA">
            <w:pPr>
              <w:spacing w:after="0" w:line="240" w:lineRule="auto"/>
              <w:rPr>
                <w:sz w:val="16"/>
                <w:szCs w:val="16"/>
                <w:lang w:val="en-GB"/>
              </w:rPr>
            </w:pPr>
          </w:p>
        </w:tc>
        <w:tc>
          <w:tcPr>
            <w:tcW w:w="10273" w:type="dxa"/>
            <w:gridSpan w:val="14"/>
          </w:tcPr>
          <w:p w14:paraId="0AE13127" w14:textId="0E946C34" w:rsidR="00B35847" w:rsidRPr="00EF2A33" w:rsidRDefault="00B35847" w:rsidP="004125EA">
            <w:pPr>
              <w:spacing w:after="0" w:line="240" w:lineRule="auto"/>
              <w:rPr>
                <w:sz w:val="16"/>
                <w:szCs w:val="16"/>
                <w:lang w:val="en-GB"/>
              </w:rPr>
            </w:pPr>
          </w:p>
          <w:p w14:paraId="79BB0E43" w14:textId="77777777" w:rsidR="00B35847" w:rsidRPr="00EF2A33" w:rsidRDefault="00B35847" w:rsidP="007D23FD">
            <w:pPr>
              <w:pBdr>
                <w:top w:val="single" w:sz="4" w:space="1" w:color="auto"/>
                <w:bottom w:val="single" w:sz="4" w:space="1" w:color="auto"/>
              </w:pBdr>
              <w:spacing w:after="0" w:line="240" w:lineRule="auto"/>
              <w:rPr>
                <w:sz w:val="16"/>
                <w:szCs w:val="16"/>
                <w:lang w:val="en-GB"/>
              </w:rPr>
            </w:pPr>
            <w:r w:rsidRPr="00EF2A33">
              <w:rPr>
                <w:sz w:val="16"/>
                <w:szCs w:val="16"/>
                <w:lang w:val="en-GB"/>
              </w:rPr>
              <w:t xml:space="preserve">Notes: (1) *, **, *** </w:t>
            </w:r>
            <w:r w:rsidRPr="00EF2A33">
              <w:rPr>
                <w:rFonts w:eastAsia="Calibri"/>
                <w:sz w:val="16"/>
                <w:szCs w:val="16"/>
                <w:lang w:val="en-GB"/>
              </w:rPr>
              <w:t>indicate significance at the 10%, 5%, and 1% confidenc</w:t>
            </w:r>
            <w:r w:rsidRPr="00EF2A33">
              <w:rPr>
                <w:sz w:val="16"/>
                <w:szCs w:val="16"/>
                <w:lang w:val="en-GB"/>
              </w:rPr>
              <w:t>e</w:t>
            </w:r>
            <w:r w:rsidRPr="00EF2A33">
              <w:rPr>
                <w:rFonts w:eastAsia="Calibri"/>
                <w:sz w:val="16"/>
                <w:szCs w:val="16"/>
                <w:lang w:val="en-GB"/>
              </w:rPr>
              <w:t xml:space="preserve"> levels</w:t>
            </w:r>
            <w:r w:rsidRPr="00EF2A33">
              <w:rPr>
                <w:sz w:val="16"/>
                <w:szCs w:val="16"/>
                <w:lang w:val="en-GB"/>
              </w:rPr>
              <w:t xml:space="preserve"> respectively. (2) See Table 2 for </w:t>
            </w:r>
            <w:r w:rsidRPr="00EF2A33">
              <w:rPr>
                <w:rFonts w:eastAsia="Calibri"/>
                <w:sz w:val="16"/>
                <w:szCs w:val="16"/>
                <w:lang w:val="en-GB"/>
              </w:rPr>
              <w:t>the variable definitions.</w:t>
            </w:r>
          </w:p>
          <w:p w14:paraId="0EFAB0F9" w14:textId="795C1244" w:rsidR="00B35847" w:rsidRPr="00EF2A33" w:rsidRDefault="00B35847" w:rsidP="004125EA">
            <w:pPr>
              <w:spacing w:after="0"/>
              <w:rPr>
                <w:lang w:val="en-GB"/>
              </w:rPr>
            </w:pPr>
            <w:r w:rsidRPr="00EF2A33">
              <w:rPr>
                <w:sz w:val="16"/>
                <w:szCs w:val="16"/>
              </w:rPr>
              <w:t>Source: Authors’ own work</w:t>
            </w:r>
          </w:p>
        </w:tc>
      </w:tr>
    </w:tbl>
    <w:p w14:paraId="371DCA00" w14:textId="77777777" w:rsidR="00BB34A8" w:rsidRPr="00EF2A33" w:rsidRDefault="00BB34A8" w:rsidP="00366CD7">
      <w:pPr>
        <w:rPr>
          <w:lang w:val="en-GB"/>
        </w:rPr>
      </w:pPr>
    </w:p>
    <w:p w14:paraId="2B7D0F76" w14:textId="0CC4ECBF" w:rsidR="00A07F27" w:rsidRPr="00EF2A33" w:rsidRDefault="00A07F27" w:rsidP="003D243F">
      <w:pPr>
        <w:rPr>
          <w:b/>
          <w:bCs/>
          <w:i/>
          <w:iCs/>
          <w:lang w:val="en-GB"/>
        </w:rPr>
      </w:pPr>
      <w:r w:rsidRPr="00EF2A33">
        <w:rPr>
          <w:b/>
          <w:bCs/>
          <w:i/>
          <w:iCs/>
          <w:lang w:val="en-GB"/>
        </w:rPr>
        <w:t xml:space="preserve">6.3 Multivariate </w:t>
      </w:r>
      <w:r w:rsidR="00706E37" w:rsidRPr="00EF2A33">
        <w:rPr>
          <w:b/>
          <w:bCs/>
          <w:i/>
          <w:iCs/>
          <w:lang w:val="en-GB"/>
        </w:rPr>
        <w:t>Regression Results</w:t>
      </w:r>
    </w:p>
    <w:p w14:paraId="0F4FBDCF" w14:textId="7AB65657" w:rsidR="0081438A" w:rsidRPr="00EF2A33" w:rsidRDefault="00ED35B5" w:rsidP="00A73CFB">
      <w:pPr>
        <w:autoSpaceDE w:val="0"/>
        <w:autoSpaceDN w:val="0"/>
        <w:adjustRightInd w:val="0"/>
        <w:rPr>
          <w:lang w:val="en-GB"/>
        </w:rPr>
      </w:pPr>
      <w:r w:rsidRPr="00EF2A33">
        <w:rPr>
          <w:lang w:val="en-GB"/>
        </w:rPr>
        <w:t xml:space="preserve">Table </w:t>
      </w:r>
      <w:r w:rsidR="007019A9" w:rsidRPr="00EF2A33">
        <w:rPr>
          <w:lang w:val="en-GB"/>
        </w:rPr>
        <w:t>5</w:t>
      </w:r>
      <w:r w:rsidRPr="00EF2A33">
        <w:rPr>
          <w:lang w:val="en-GB"/>
        </w:rPr>
        <w:t xml:space="preserve"> demonstrates the </w:t>
      </w:r>
      <w:r w:rsidR="00834A03" w:rsidRPr="00EF2A33">
        <w:rPr>
          <w:bCs/>
        </w:rPr>
        <w:t>panel FE industry</w:t>
      </w:r>
      <w:r w:rsidR="00834A03" w:rsidRPr="00EF2A33">
        <w:rPr>
          <w:lang w:val="en-GB"/>
        </w:rPr>
        <w:t xml:space="preserve"> </w:t>
      </w:r>
      <w:r w:rsidRPr="00EF2A33">
        <w:rPr>
          <w:lang w:val="en-GB"/>
        </w:rPr>
        <w:t xml:space="preserve">results </w:t>
      </w:r>
      <w:r w:rsidR="00B85064" w:rsidRPr="00EF2A33">
        <w:rPr>
          <w:lang w:val="en-GB"/>
        </w:rPr>
        <w:t xml:space="preserve">where </w:t>
      </w:r>
      <w:r w:rsidR="009E63CF" w:rsidRPr="00EF2A33">
        <w:rPr>
          <w:lang w:val="en-GB"/>
        </w:rPr>
        <w:t>Models</w:t>
      </w:r>
      <w:r w:rsidR="00B85064" w:rsidRPr="00EF2A33">
        <w:rPr>
          <w:lang w:val="en-GB"/>
        </w:rPr>
        <w:t xml:space="preserve"> 1, 2, 3 and 4 are applied to explore</w:t>
      </w:r>
      <w:r w:rsidR="001F00F5" w:rsidRPr="00EF2A33">
        <w:rPr>
          <w:lang w:val="en-GB"/>
        </w:rPr>
        <w:t xml:space="preserve"> how much the dependent variables would be affected for every unit that was to be added to the value of any of the independent variables while keeping the other independent variables constant</w:t>
      </w:r>
      <w:r w:rsidR="00A07F27" w:rsidRPr="00EF2A33">
        <w:rPr>
          <w:lang w:val="en-GB"/>
        </w:rPr>
        <w:t xml:space="preserve">. </w:t>
      </w:r>
      <w:r w:rsidR="00B90E45" w:rsidRPr="00EF2A33">
        <w:rPr>
          <w:lang w:val="en-GB"/>
        </w:rPr>
        <w:t xml:space="preserve">Employing regression models, this study assessed the effects of ownership structure and board attributes on the firm performance of DSE30 firms. Specifically, Models 1 to 2 delineate the </w:t>
      </w:r>
      <w:r w:rsidR="009E63CF" w:rsidRPr="00EF2A33">
        <w:rPr>
          <w:lang w:val="en-GB"/>
        </w:rPr>
        <w:t>accounting-based</w:t>
      </w:r>
      <w:r w:rsidR="00B90E45" w:rsidRPr="00EF2A33">
        <w:rPr>
          <w:lang w:val="en-GB"/>
        </w:rPr>
        <w:t xml:space="preserve"> measures, whereas Model 3 to 4 encapsulates the </w:t>
      </w:r>
      <w:r w:rsidR="009E63CF" w:rsidRPr="00EF2A33">
        <w:rPr>
          <w:lang w:val="en-GB"/>
        </w:rPr>
        <w:t>market-</w:t>
      </w:r>
      <w:r w:rsidR="00B90E45" w:rsidRPr="00EF2A33">
        <w:rPr>
          <w:lang w:val="en-GB"/>
        </w:rPr>
        <w:t>based measures.</w:t>
      </w:r>
    </w:p>
    <w:p w14:paraId="23028BAF" w14:textId="4129E33C" w:rsidR="00A07F27" w:rsidRPr="00EF2A33" w:rsidRDefault="00A07F27" w:rsidP="003D243F">
      <w:pPr>
        <w:rPr>
          <w:lang w:val="en-GB"/>
        </w:rPr>
      </w:pPr>
    </w:p>
    <w:p w14:paraId="2191328A" w14:textId="50C04130" w:rsidR="005C1FA8" w:rsidRPr="00EF2A33" w:rsidRDefault="005C1FA8" w:rsidP="005C1FA8">
      <w:pPr>
        <w:pStyle w:val="Caption"/>
        <w:keepNext/>
        <w:jc w:val="center"/>
        <w:rPr>
          <w:i w:val="0"/>
          <w:color w:val="auto"/>
          <w:sz w:val="24"/>
          <w:szCs w:val="24"/>
        </w:rPr>
      </w:pPr>
      <w:r w:rsidRPr="00EF2A33">
        <w:rPr>
          <w:i w:val="0"/>
          <w:color w:val="auto"/>
          <w:sz w:val="24"/>
          <w:szCs w:val="24"/>
        </w:rPr>
        <w:t xml:space="preserve">Table </w:t>
      </w:r>
      <w:r w:rsidR="007019A9" w:rsidRPr="00EF2A33">
        <w:rPr>
          <w:i w:val="0"/>
          <w:color w:val="auto"/>
          <w:sz w:val="24"/>
          <w:szCs w:val="24"/>
        </w:rPr>
        <w:t>5</w:t>
      </w:r>
      <w:r w:rsidRPr="00EF2A33">
        <w:rPr>
          <w:i w:val="0"/>
          <w:color w:val="auto"/>
          <w:sz w:val="24"/>
          <w:szCs w:val="24"/>
        </w:rPr>
        <w:t xml:space="preserve">: </w:t>
      </w:r>
      <w:r w:rsidRPr="00EF2A33">
        <w:rPr>
          <w:bCs/>
          <w:i w:val="0"/>
          <w:color w:val="auto"/>
          <w:sz w:val="24"/>
          <w:szCs w:val="24"/>
        </w:rPr>
        <w:t>Panel FE Industry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422"/>
        <w:gridCol w:w="1170"/>
        <w:gridCol w:w="1080"/>
        <w:gridCol w:w="1170"/>
      </w:tblGrid>
      <w:tr w:rsidR="00EF2A33" w:rsidRPr="00EF2A33" w14:paraId="1C6E46FD" w14:textId="77777777" w:rsidTr="00832972">
        <w:trPr>
          <w:trHeight w:val="184"/>
          <w:jc w:val="center"/>
        </w:trPr>
        <w:tc>
          <w:tcPr>
            <w:tcW w:w="1772" w:type="dxa"/>
            <w:tcBorders>
              <w:top w:val="single" w:sz="4" w:space="0" w:color="auto"/>
              <w:left w:val="nil"/>
              <w:bottom w:val="single" w:sz="4" w:space="0" w:color="auto"/>
              <w:right w:val="nil"/>
            </w:tcBorders>
          </w:tcPr>
          <w:p w14:paraId="303CB07D"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p>
        </w:tc>
        <w:tc>
          <w:tcPr>
            <w:tcW w:w="2592" w:type="dxa"/>
            <w:gridSpan w:val="2"/>
            <w:tcBorders>
              <w:top w:val="single" w:sz="4" w:space="0" w:color="auto"/>
              <w:left w:val="nil"/>
              <w:bottom w:val="single" w:sz="4" w:space="0" w:color="auto"/>
              <w:right w:val="nil"/>
            </w:tcBorders>
            <w:hideMark/>
          </w:tcPr>
          <w:p w14:paraId="234B67E1" w14:textId="77777777" w:rsidR="007019A9" w:rsidRPr="00EF2A33" w:rsidRDefault="007019A9" w:rsidP="005C3EBC">
            <w:pPr>
              <w:widowControl w:val="0"/>
              <w:autoSpaceDE w:val="0"/>
              <w:autoSpaceDN w:val="0"/>
              <w:adjustRightInd w:val="0"/>
              <w:spacing w:after="0" w:line="240" w:lineRule="auto"/>
              <w:jc w:val="center"/>
              <w:rPr>
                <w:rFonts w:eastAsiaTheme="minorEastAsia"/>
                <w:i/>
                <w:iCs/>
                <w:sz w:val="20"/>
                <w:szCs w:val="20"/>
              </w:rPr>
            </w:pPr>
            <w:r w:rsidRPr="00EF2A33">
              <w:rPr>
                <w:rFonts w:eastAsiaTheme="minorEastAsia"/>
                <w:i/>
                <w:iCs/>
                <w:sz w:val="20"/>
                <w:szCs w:val="20"/>
              </w:rPr>
              <w:t>Accounting Based Measures</w:t>
            </w:r>
          </w:p>
        </w:tc>
        <w:tc>
          <w:tcPr>
            <w:tcW w:w="2250" w:type="dxa"/>
            <w:gridSpan w:val="2"/>
            <w:tcBorders>
              <w:top w:val="single" w:sz="4" w:space="0" w:color="auto"/>
              <w:left w:val="nil"/>
              <w:bottom w:val="single" w:sz="4" w:space="0" w:color="auto"/>
              <w:right w:val="nil"/>
            </w:tcBorders>
            <w:hideMark/>
          </w:tcPr>
          <w:p w14:paraId="1EDCEC9F" w14:textId="77777777" w:rsidR="007019A9" w:rsidRPr="00EF2A33" w:rsidRDefault="007019A9" w:rsidP="005C3EBC">
            <w:pPr>
              <w:widowControl w:val="0"/>
              <w:autoSpaceDE w:val="0"/>
              <w:autoSpaceDN w:val="0"/>
              <w:adjustRightInd w:val="0"/>
              <w:spacing w:after="0" w:line="240" w:lineRule="auto"/>
              <w:jc w:val="center"/>
              <w:rPr>
                <w:rFonts w:eastAsiaTheme="minorEastAsia"/>
                <w:i/>
                <w:iCs/>
                <w:sz w:val="20"/>
                <w:szCs w:val="20"/>
              </w:rPr>
            </w:pPr>
            <w:r w:rsidRPr="00EF2A33">
              <w:rPr>
                <w:rFonts w:eastAsiaTheme="minorEastAsia"/>
                <w:i/>
                <w:iCs/>
                <w:sz w:val="20"/>
                <w:szCs w:val="20"/>
              </w:rPr>
              <w:t>Market-Based Measures</w:t>
            </w:r>
          </w:p>
        </w:tc>
      </w:tr>
      <w:tr w:rsidR="00EF2A33" w:rsidRPr="00EF2A33" w14:paraId="1DFA90CC" w14:textId="77777777" w:rsidTr="00832972">
        <w:trPr>
          <w:trHeight w:val="184"/>
          <w:jc w:val="center"/>
        </w:trPr>
        <w:tc>
          <w:tcPr>
            <w:tcW w:w="1772" w:type="dxa"/>
            <w:tcBorders>
              <w:top w:val="single" w:sz="4" w:space="0" w:color="auto"/>
              <w:left w:val="nil"/>
              <w:bottom w:val="nil"/>
              <w:right w:val="nil"/>
            </w:tcBorders>
            <w:hideMark/>
          </w:tcPr>
          <w:p w14:paraId="4DA6065D"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w:t>
            </w:r>
          </w:p>
        </w:tc>
        <w:tc>
          <w:tcPr>
            <w:tcW w:w="1422" w:type="dxa"/>
            <w:tcBorders>
              <w:top w:val="single" w:sz="4" w:space="0" w:color="auto"/>
              <w:left w:val="nil"/>
              <w:bottom w:val="single" w:sz="4" w:space="0" w:color="auto"/>
              <w:right w:val="nil"/>
            </w:tcBorders>
            <w:hideMark/>
          </w:tcPr>
          <w:p w14:paraId="754F0F4C"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(1)</w:t>
            </w:r>
          </w:p>
        </w:tc>
        <w:tc>
          <w:tcPr>
            <w:tcW w:w="1170" w:type="dxa"/>
            <w:tcBorders>
              <w:top w:val="single" w:sz="4" w:space="0" w:color="auto"/>
              <w:left w:val="nil"/>
              <w:bottom w:val="single" w:sz="4" w:space="0" w:color="auto"/>
              <w:right w:val="nil"/>
            </w:tcBorders>
            <w:hideMark/>
          </w:tcPr>
          <w:p w14:paraId="750ADDED"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(2)</w:t>
            </w:r>
          </w:p>
        </w:tc>
        <w:tc>
          <w:tcPr>
            <w:tcW w:w="1080" w:type="dxa"/>
            <w:tcBorders>
              <w:top w:val="single" w:sz="4" w:space="0" w:color="auto"/>
              <w:left w:val="nil"/>
              <w:bottom w:val="single" w:sz="4" w:space="0" w:color="auto"/>
              <w:right w:val="nil"/>
            </w:tcBorders>
            <w:hideMark/>
          </w:tcPr>
          <w:p w14:paraId="3CF0CEF3"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(3)</w:t>
            </w:r>
          </w:p>
        </w:tc>
        <w:tc>
          <w:tcPr>
            <w:tcW w:w="1170" w:type="dxa"/>
            <w:tcBorders>
              <w:top w:val="single" w:sz="4" w:space="0" w:color="auto"/>
              <w:left w:val="nil"/>
              <w:bottom w:val="single" w:sz="4" w:space="0" w:color="auto"/>
              <w:right w:val="nil"/>
            </w:tcBorders>
            <w:hideMark/>
          </w:tcPr>
          <w:p w14:paraId="7D4011DF"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(4)</w:t>
            </w:r>
          </w:p>
        </w:tc>
      </w:tr>
      <w:tr w:rsidR="00EF2A33" w:rsidRPr="00EF2A33" w14:paraId="04854654" w14:textId="77777777" w:rsidTr="00832972">
        <w:trPr>
          <w:trHeight w:val="252"/>
          <w:jc w:val="center"/>
        </w:trPr>
        <w:tc>
          <w:tcPr>
            <w:tcW w:w="1772" w:type="dxa"/>
            <w:tcBorders>
              <w:top w:val="nil"/>
              <w:left w:val="nil"/>
              <w:bottom w:val="nil"/>
              <w:right w:val="nil"/>
            </w:tcBorders>
            <w:hideMark/>
          </w:tcPr>
          <w:p w14:paraId="3091B475"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 xml:space="preserve">   </w:t>
            </w:r>
          </w:p>
        </w:tc>
        <w:tc>
          <w:tcPr>
            <w:tcW w:w="1422" w:type="dxa"/>
            <w:tcBorders>
              <w:top w:val="single" w:sz="4" w:space="0" w:color="auto"/>
              <w:left w:val="nil"/>
              <w:bottom w:val="single" w:sz="4" w:space="0" w:color="auto"/>
              <w:right w:val="nil"/>
            </w:tcBorders>
            <w:hideMark/>
          </w:tcPr>
          <w:p w14:paraId="60C4B7E1"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ROA</w:t>
            </w:r>
          </w:p>
        </w:tc>
        <w:tc>
          <w:tcPr>
            <w:tcW w:w="1170" w:type="dxa"/>
            <w:tcBorders>
              <w:top w:val="single" w:sz="4" w:space="0" w:color="auto"/>
              <w:left w:val="nil"/>
              <w:bottom w:val="single" w:sz="4" w:space="0" w:color="auto"/>
              <w:right w:val="nil"/>
            </w:tcBorders>
            <w:hideMark/>
          </w:tcPr>
          <w:p w14:paraId="75CF2899"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ROE</w:t>
            </w:r>
          </w:p>
        </w:tc>
        <w:tc>
          <w:tcPr>
            <w:tcW w:w="1080" w:type="dxa"/>
            <w:tcBorders>
              <w:top w:val="single" w:sz="4" w:space="0" w:color="auto"/>
              <w:left w:val="nil"/>
              <w:bottom w:val="single" w:sz="4" w:space="0" w:color="auto"/>
              <w:right w:val="nil"/>
            </w:tcBorders>
          </w:tcPr>
          <w:p w14:paraId="27556B12"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MTB</w:t>
            </w:r>
          </w:p>
        </w:tc>
        <w:tc>
          <w:tcPr>
            <w:tcW w:w="1170" w:type="dxa"/>
            <w:tcBorders>
              <w:top w:val="single" w:sz="4" w:space="0" w:color="auto"/>
              <w:left w:val="nil"/>
              <w:bottom w:val="single" w:sz="4" w:space="0" w:color="auto"/>
              <w:right w:val="nil"/>
            </w:tcBorders>
          </w:tcPr>
          <w:p w14:paraId="12F96430"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TOBINQ</w:t>
            </w:r>
          </w:p>
        </w:tc>
      </w:tr>
      <w:tr w:rsidR="00EF2A33" w:rsidRPr="00EF2A33" w14:paraId="146B66CE" w14:textId="77777777" w:rsidTr="00832972">
        <w:trPr>
          <w:trHeight w:val="70"/>
          <w:jc w:val="center"/>
        </w:trPr>
        <w:tc>
          <w:tcPr>
            <w:tcW w:w="1772" w:type="dxa"/>
            <w:tcBorders>
              <w:top w:val="nil"/>
              <w:left w:val="nil"/>
              <w:bottom w:val="nil"/>
              <w:right w:val="nil"/>
            </w:tcBorders>
          </w:tcPr>
          <w:p w14:paraId="07E7C389"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INST</w:t>
            </w:r>
          </w:p>
        </w:tc>
        <w:tc>
          <w:tcPr>
            <w:tcW w:w="1422" w:type="dxa"/>
            <w:tcBorders>
              <w:top w:val="single" w:sz="4" w:space="0" w:color="auto"/>
              <w:left w:val="nil"/>
              <w:bottom w:val="nil"/>
              <w:right w:val="nil"/>
            </w:tcBorders>
          </w:tcPr>
          <w:p w14:paraId="61450907" w14:textId="17D13311" w:rsidR="007019A9" w:rsidRPr="00EF2A33" w:rsidRDefault="00504DF6"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p>
          <w:p w14:paraId="30783C7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single" w:sz="4" w:space="0" w:color="auto"/>
              <w:left w:val="nil"/>
              <w:bottom w:val="nil"/>
              <w:right w:val="nil"/>
            </w:tcBorders>
          </w:tcPr>
          <w:p w14:paraId="0FB482CA" w14:textId="7F937D0E" w:rsidR="007019A9" w:rsidRPr="00EF2A33" w:rsidRDefault="00D874FB" w:rsidP="005C3EBC">
            <w:pPr>
              <w:widowControl w:val="0"/>
              <w:autoSpaceDE w:val="0"/>
              <w:autoSpaceDN w:val="0"/>
              <w:adjustRightInd w:val="0"/>
              <w:spacing w:after="0" w:line="240" w:lineRule="auto"/>
              <w:jc w:val="center"/>
              <w:rPr>
                <w:sz w:val="20"/>
                <w:szCs w:val="20"/>
              </w:rPr>
            </w:pPr>
            <w:r w:rsidRPr="00EF2A33">
              <w:rPr>
                <w:sz w:val="20"/>
                <w:szCs w:val="20"/>
              </w:rPr>
              <w:t>0</w:t>
            </w:r>
          </w:p>
          <w:p w14:paraId="1B0A45E5" w14:textId="559C6436"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(0.00</w:t>
            </w:r>
            <w:r w:rsidR="007019A9" w:rsidRPr="00EF2A33">
              <w:rPr>
                <w:sz w:val="20"/>
                <w:szCs w:val="20"/>
              </w:rPr>
              <w:t>)</w:t>
            </w:r>
          </w:p>
        </w:tc>
        <w:tc>
          <w:tcPr>
            <w:tcW w:w="1080" w:type="dxa"/>
            <w:tcBorders>
              <w:top w:val="single" w:sz="4" w:space="0" w:color="auto"/>
              <w:left w:val="nil"/>
              <w:bottom w:val="nil"/>
              <w:right w:val="nil"/>
            </w:tcBorders>
          </w:tcPr>
          <w:p w14:paraId="742812BE" w14:textId="74891DA0" w:rsidR="007019A9" w:rsidRPr="00EF2A33" w:rsidRDefault="00A92A1C" w:rsidP="005C3EBC">
            <w:pPr>
              <w:widowControl w:val="0"/>
              <w:autoSpaceDE w:val="0"/>
              <w:autoSpaceDN w:val="0"/>
              <w:adjustRightInd w:val="0"/>
              <w:spacing w:after="0" w:line="240" w:lineRule="auto"/>
              <w:jc w:val="center"/>
              <w:rPr>
                <w:sz w:val="20"/>
                <w:szCs w:val="20"/>
              </w:rPr>
            </w:pPr>
            <w:r w:rsidRPr="00EF2A33">
              <w:rPr>
                <w:sz w:val="20"/>
                <w:szCs w:val="20"/>
              </w:rPr>
              <w:t>.83</w:t>
            </w:r>
            <w:r w:rsidR="005E538B" w:rsidRPr="00EF2A33">
              <w:rPr>
                <w:sz w:val="20"/>
                <w:szCs w:val="20"/>
              </w:rPr>
              <w:t>***</w:t>
            </w:r>
          </w:p>
          <w:p w14:paraId="4063F7D6" w14:textId="60009588"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(0.25</w:t>
            </w:r>
            <w:r w:rsidR="007019A9" w:rsidRPr="00EF2A33">
              <w:rPr>
                <w:sz w:val="20"/>
                <w:szCs w:val="20"/>
              </w:rPr>
              <w:t>)</w:t>
            </w:r>
          </w:p>
        </w:tc>
        <w:tc>
          <w:tcPr>
            <w:tcW w:w="1170" w:type="dxa"/>
            <w:tcBorders>
              <w:top w:val="single" w:sz="4" w:space="0" w:color="auto"/>
              <w:left w:val="nil"/>
              <w:bottom w:val="nil"/>
              <w:right w:val="nil"/>
            </w:tcBorders>
          </w:tcPr>
          <w:p w14:paraId="5627AD79" w14:textId="1E9F1E27" w:rsidR="007019A9" w:rsidRPr="00EF2A33" w:rsidRDefault="00263297" w:rsidP="005C3EBC">
            <w:pPr>
              <w:widowControl w:val="0"/>
              <w:autoSpaceDE w:val="0"/>
              <w:autoSpaceDN w:val="0"/>
              <w:adjustRightInd w:val="0"/>
              <w:spacing w:after="0" w:line="240" w:lineRule="auto"/>
              <w:jc w:val="center"/>
              <w:rPr>
                <w:sz w:val="20"/>
                <w:szCs w:val="20"/>
              </w:rPr>
            </w:pPr>
            <w:r w:rsidRPr="00EF2A33">
              <w:rPr>
                <w:sz w:val="20"/>
                <w:szCs w:val="20"/>
              </w:rPr>
              <w:t>-.075</w:t>
            </w:r>
            <w:r w:rsidR="007019A9" w:rsidRPr="00EF2A33">
              <w:rPr>
                <w:sz w:val="20"/>
                <w:szCs w:val="20"/>
              </w:rPr>
              <w:t>***</w:t>
            </w:r>
          </w:p>
          <w:p w14:paraId="4B36E7E7" w14:textId="17BDF6EF" w:rsidR="007019A9" w:rsidRPr="00EF2A33" w:rsidRDefault="00263297"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p>
        </w:tc>
      </w:tr>
      <w:tr w:rsidR="00EF2A33" w:rsidRPr="00EF2A33" w14:paraId="0C8165AA" w14:textId="77777777" w:rsidTr="00832972">
        <w:trPr>
          <w:trHeight w:val="184"/>
          <w:jc w:val="center"/>
        </w:trPr>
        <w:tc>
          <w:tcPr>
            <w:tcW w:w="1772" w:type="dxa"/>
            <w:tcBorders>
              <w:top w:val="nil"/>
              <w:left w:val="nil"/>
              <w:bottom w:val="nil"/>
              <w:right w:val="nil"/>
            </w:tcBorders>
          </w:tcPr>
          <w:p w14:paraId="7753B729"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FOREIGN</w:t>
            </w:r>
          </w:p>
        </w:tc>
        <w:tc>
          <w:tcPr>
            <w:tcW w:w="1422" w:type="dxa"/>
            <w:tcBorders>
              <w:top w:val="nil"/>
              <w:left w:val="nil"/>
              <w:bottom w:val="nil"/>
              <w:right w:val="nil"/>
            </w:tcBorders>
          </w:tcPr>
          <w:p w14:paraId="61A6A74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.002***</w:t>
            </w:r>
          </w:p>
          <w:p w14:paraId="516CA46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4FEC4AE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3701617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(0.001)</w:t>
            </w:r>
          </w:p>
        </w:tc>
        <w:tc>
          <w:tcPr>
            <w:tcW w:w="1080" w:type="dxa"/>
            <w:tcBorders>
              <w:top w:val="nil"/>
              <w:left w:val="nil"/>
              <w:bottom w:val="nil"/>
              <w:right w:val="nil"/>
            </w:tcBorders>
          </w:tcPr>
          <w:p w14:paraId="4B0425B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-.006</w:t>
            </w:r>
          </w:p>
          <w:p w14:paraId="79287689" w14:textId="49C61AC9"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(0.32</w:t>
            </w:r>
            <w:r w:rsidR="007019A9" w:rsidRPr="00EF2A33">
              <w:rPr>
                <w:sz w:val="20"/>
                <w:szCs w:val="20"/>
              </w:rPr>
              <w:t>)</w:t>
            </w:r>
          </w:p>
        </w:tc>
        <w:tc>
          <w:tcPr>
            <w:tcW w:w="1170" w:type="dxa"/>
            <w:tcBorders>
              <w:top w:val="nil"/>
              <w:left w:val="nil"/>
              <w:bottom w:val="nil"/>
              <w:right w:val="nil"/>
            </w:tcBorders>
          </w:tcPr>
          <w:p w14:paraId="20584C6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.032</w:t>
            </w:r>
          </w:p>
          <w:p w14:paraId="76789F3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(0.026)</w:t>
            </w:r>
          </w:p>
        </w:tc>
      </w:tr>
      <w:tr w:rsidR="00EF2A33" w:rsidRPr="00EF2A33" w14:paraId="19FD39C7" w14:textId="77777777" w:rsidTr="00832972">
        <w:trPr>
          <w:trHeight w:val="196"/>
          <w:jc w:val="center"/>
        </w:trPr>
        <w:tc>
          <w:tcPr>
            <w:tcW w:w="1772" w:type="dxa"/>
            <w:tcBorders>
              <w:top w:val="nil"/>
              <w:left w:val="nil"/>
              <w:bottom w:val="nil"/>
              <w:right w:val="nil"/>
            </w:tcBorders>
          </w:tcPr>
          <w:p w14:paraId="5B25EC52" w14:textId="1EB5F050" w:rsidR="007019A9" w:rsidRPr="00EF2A33" w:rsidRDefault="000001A2" w:rsidP="005C3EBC">
            <w:pPr>
              <w:widowControl w:val="0"/>
              <w:autoSpaceDE w:val="0"/>
              <w:autoSpaceDN w:val="0"/>
              <w:adjustRightInd w:val="0"/>
              <w:spacing w:after="0" w:line="240" w:lineRule="auto"/>
              <w:rPr>
                <w:sz w:val="20"/>
                <w:szCs w:val="20"/>
              </w:rPr>
            </w:pPr>
            <w:r w:rsidRPr="00EF2A33">
              <w:rPr>
                <w:sz w:val="20"/>
                <w:szCs w:val="20"/>
              </w:rPr>
              <w:t>SPDIRECT</w:t>
            </w:r>
          </w:p>
        </w:tc>
        <w:tc>
          <w:tcPr>
            <w:tcW w:w="1422" w:type="dxa"/>
            <w:tcBorders>
              <w:top w:val="nil"/>
              <w:left w:val="nil"/>
              <w:bottom w:val="nil"/>
              <w:right w:val="nil"/>
            </w:tcBorders>
          </w:tcPr>
          <w:p w14:paraId="58E7DD27"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.001***</w:t>
            </w:r>
          </w:p>
          <w:p w14:paraId="521C196D"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1B0858E5"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2A470B0E"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080" w:type="dxa"/>
            <w:tcBorders>
              <w:top w:val="nil"/>
              <w:left w:val="nil"/>
              <w:bottom w:val="nil"/>
              <w:right w:val="nil"/>
            </w:tcBorders>
          </w:tcPr>
          <w:p w14:paraId="027FE4F7" w14:textId="283F1F1A"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.196</w:t>
            </w:r>
          </w:p>
          <w:p w14:paraId="7F7F9924" w14:textId="01A8E48B"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(0.13</w:t>
            </w:r>
            <w:r w:rsidR="007019A9" w:rsidRPr="00EF2A33">
              <w:rPr>
                <w:sz w:val="20"/>
                <w:szCs w:val="20"/>
              </w:rPr>
              <w:t>)</w:t>
            </w:r>
          </w:p>
        </w:tc>
        <w:tc>
          <w:tcPr>
            <w:tcW w:w="1170" w:type="dxa"/>
            <w:tcBorders>
              <w:top w:val="nil"/>
              <w:left w:val="nil"/>
              <w:bottom w:val="nil"/>
              <w:right w:val="nil"/>
            </w:tcBorders>
          </w:tcPr>
          <w:p w14:paraId="5D22E9DF" w14:textId="621823C0"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-.03</w:t>
            </w:r>
            <w:r w:rsidR="007019A9" w:rsidRPr="00EF2A33">
              <w:rPr>
                <w:sz w:val="20"/>
                <w:szCs w:val="20"/>
              </w:rPr>
              <w:t>***</w:t>
            </w:r>
          </w:p>
          <w:p w14:paraId="1F730115" w14:textId="1D21F3F3"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(0.01</w:t>
            </w:r>
            <w:r w:rsidR="007019A9" w:rsidRPr="00EF2A33">
              <w:rPr>
                <w:sz w:val="20"/>
                <w:szCs w:val="20"/>
              </w:rPr>
              <w:t>)</w:t>
            </w:r>
          </w:p>
        </w:tc>
      </w:tr>
      <w:tr w:rsidR="00EF2A33" w:rsidRPr="00EF2A33" w14:paraId="4DB62636" w14:textId="77777777" w:rsidTr="00832972">
        <w:trPr>
          <w:trHeight w:val="184"/>
          <w:jc w:val="center"/>
        </w:trPr>
        <w:tc>
          <w:tcPr>
            <w:tcW w:w="1772" w:type="dxa"/>
            <w:tcBorders>
              <w:top w:val="nil"/>
              <w:left w:val="nil"/>
              <w:bottom w:val="nil"/>
              <w:right w:val="nil"/>
            </w:tcBorders>
          </w:tcPr>
          <w:p w14:paraId="229E5525"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GOVT</w:t>
            </w:r>
          </w:p>
        </w:tc>
        <w:tc>
          <w:tcPr>
            <w:tcW w:w="1422" w:type="dxa"/>
            <w:tcBorders>
              <w:top w:val="nil"/>
              <w:left w:val="nil"/>
              <w:bottom w:val="nil"/>
              <w:right w:val="nil"/>
            </w:tcBorders>
          </w:tcPr>
          <w:p w14:paraId="2F353BB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-.002***</w:t>
            </w:r>
          </w:p>
          <w:p w14:paraId="2840BC11"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567B90D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-.007***</w:t>
            </w:r>
          </w:p>
          <w:p w14:paraId="5D6FAE6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080" w:type="dxa"/>
            <w:tcBorders>
              <w:top w:val="nil"/>
              <w:left w:val="nil"/>
              <w:bottom w:val="nil"/>
              <w:right w:val="nil"/>
            </w:tcBorders>
          </w:tcPr>
          <w:p w14:paraId="20830874" w14:textId="6623A8B4"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.022</w:t>
            </w:r>
          </w:p>
          <w:p w14:paraId="5DE80BDA" w14:textId="58686C99"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(0.14</w:t>
            </w:r>
            <w:r w:rsidR="007019A9" w:rsidRPr="00EF2A33">
              <w:rPr>
                <w:sz w:val="20"/>
                <w:szCs w:val="20"/>
              </w:rPr>
              <w:t>)</w:t>
            </w:r>
          </w:p>
        </w:tc>
        <w:tc>
          <w:tcPr>
            <w:tcW w:w="1170" w:type="dxa"/>
            <w:tcBorders>
              <w:top w:val="nil"/>
              <w:left w:val="nil"/>
              <w:bottom w:val="nil"/>
              <w:right w:val="nil"/>
            </w:tcBorders>
          </w:tcPr>
          <w:p w14:paraId="2A1B8F8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-.045***</w:t>
            </w:r>
          </w:p>
          <w:p w14:paraId="7E5CEB27" w14:textId="04CB215D"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(0.01</w:t>
            </w:r>
            <w:r w:rsidR="007019A9" w:rsidRPr="00EF2A33">
              <w:rPr>
                <w:sz w:val="20"/>
                <w:szCs w:val="20"/>
              </w:rPr>
              <w:t>)</w:t>
            </w:r>
          </w:p>
        </w:tc>
      </w:tr>
      <w:tr w:rsidR="00EF2A33" w:rsidRPr="00EF2A33" w14:paraId="720966C3" w14:textId="77777777" w:rsidTr="00832972">
        <w:trPr>
          <w:trHeight w:val="153"/>
          <w:jc w:val="center"/>
        </w:trPr>
        <w:tc>
          <w:tcPr>
            <w:tcW w:w="1772" w:type="dxa"/>
            <w:tcBorders>
              <w:top w:val="nil"/>
              <w:left w:val="nil"/>
              <w:bottom w:val="nil"/>
              <w:right w:val="nil"/>
            </w:tcBorders>
          </w:tcPr>
          <w:p w14:paraId="5FE4C6CC"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BSIZE</w:t>
            </w:r>
          </w:p>
        </w:tc>
        <w:tc>
          <w:tcPr>
            <w:tcW w:w="1422" w:type="dxa"/>
            <w:tcBorders>
              <w:top w:val="nil"/>
              <w:left w:val="nil"/>
              <w:bottom w:val="nil"/>
              <w:right w:val="nil"/>
            </w:tcBorders>
          </w:tcPr>
          <w:p w14:paraId="66AB708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.001</w:t>
            </w:r>
          </w:p>
          <w:p w14:paraId="5A07CA05" w14:textId="78E4F027"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(.01</w:t>
            </w:r>
            <w:r w:rsidR="007019A9" w:rsidRPr="00EF2A33">
              <w:rPr>
                <w:sz w:val="20"/>
                <w:szCs w:val="20"/>
              </w:rPr>
              <w:t>)</w:t>
            </w:r>
          </w:p>
        </w:tc>
        <w:tc>
          <w:tcPr>
            <w:tcW w:w="1170" w:type="dxa"/>
            <w:tcBorders>
              <w:top w:val="nil"/>
              <w:left w:val="nil"/>
              <w:bottom w:val="nil"/>
              <w:right w:val="nil"/>
            </w:tcBorders>
          </w:tcPr>
          <w:p w14:paraId="77DE14C1" w14:textId="72925CE1" w:rsidR="007019A9" w:rsidRPr="00EF2A33" w:rsidRDefault="00272D24" w:rsidP="005C3EBC">
            <w:pPr>
              <w:widowControl w:val="0"/>
              <w:autoSpaceDE w:val="0"/>
              <w:autoSpaceDN w:val="0"/>
              <w:adjustRightInd w:val="0"/>
              <w:spacing w:after="0" w:line="240" w:lineRule="auto"/>
              <w:jc w:val="center"/>
              <w:rPr>
                <w:sz w:val="20"/>
                <w:szCs w:val="20"/>
              </w:rPr>
            </w:pPr>
            <w:r w:rsidRPr="00EF2A33">
              <w:rPr>
                <w:sz w:val="20"/>
                <w:szCs w:val="20"/>
              </w:rPr>
              <w:t>-.014</w:t>
            </w:r>
            <w:r w:rsidR="007019A9" w:rsidRPr="00EF2A33">
              <w:rPr>
                <w:sz w:val="20"/>
                <w:szCs w:val="20"/>
              </w:rPr>
              <w:t>***</w:t>
            </w:r>
          </w:p>
          <w:p w14:paraId="1DCF2262" w14:textId="4FC7D1A9"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(0.01</w:t>
            </w:r>
            <w:r w:rsidR="007019A9" w:rsidRPr="00EF2A33">
              <w:rPr>
                <w:sz w:val="20"/>
                <w:szCs w:val="20"/>
              </w:rPr>
              <w:t>)</w:t>
            </w:r>
          </w:p>
        </w:tc>
        <w:tc>
          <w:tcPr>
            <w:tcW w:w="1080" w:type="dxa"/>
            <w:tcBorders>
              <w:top w:val="nil"/>
              <w:left w:val="nil"/>
              <w:bottom w:val="nil"/>
              <w:right w:val="nil"/>
            </w:tcBorders>
          </w:tcPr>
          <w:p w14:paraId="2E66BD3B" w14:textId="1A38E388"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-1.1</w:t>
            </w:r>
          </w:p>
          <w:p w14:paraId="367639AE"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(1.01)</w:t>
            </w:r>
          </w:p>
        </w:tc>
        <w:tc>
          <w:tcPr>
            <w:tcW w:w="1170" w:type="dxa"/>
            <w:tcBorders>
              <w:top w:val="nil"/>
              <w:left w:val="nil"/>
              <w:bottom w:val="nil"/>
              <w:right w:val="nil"/>
            </w:tcBorders>
          </w:tcPr>
          <w:p w14:paraId="708F995B" w14:textId="5D496946" w:rsidR="007019A9" w:rsidRPr="00EF2A33" w:rsidRDefault="00263297" w:rsidP="005C3EBC">
            <w:pPr>
              <w:widowControl w:val="0"/>
              <w:autoSpaceDE w:val="0"/>
              <w:autoSpaceDN w:val="0"/>
              <w:adjustRightInd w:val="0"/>
              <w:spacing w:after="0" w:line="240" w:lineRule="auto"/>
              <w:jc w:val="center"/>
              <w:rPr>
                <w:sz w:val="20"/>
                <w:szCs w:val="20"/>
              </w:rPr>
            </w:pPr>
            <w:r w:rsidRPr="00EF2A33">
              <w:rPr>
                <w:sz w:val="20"/>
                <w:szCs w:val="20"/>
              </w:rPr>
              <w:t>.261</w:t>
            </w:r>
            <w:r w:rsidR="007019A9" w:rsidRPr="00EF2A33">
              <w:rPr>
                <w:sz w:val="20"/>
                <w:szCs w:val="20"/>
              </w:rPr>
              <w:t>***</w:t>
            </w:r>
          </w:p>
          <w:p w14:paraId="4FFB2D65" w14:textId="473A0922"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(0.08</w:t>
            </w:r>
            <w:r w:rsidR="007019A9" w:rsidRPr="00EF2A33">
              <w:rPr>
                <w:sz w:val="20"/>
                <w:szCs w:val="20"/>
              </w:rPr>
              <w:t>)</w:t>
            </w:r>
          </w:p>
        </w:tc>
      </w:tr>
      <w:tr w:rsidR="00EF2A33" w:rsidRPr="00EF2A33" w14:paraId="02991BF5" w14:textId="77777777" w:rsidTr="00832972">
        <w:trPr>
          <w:trHeight w:val="184"/>
          <w:jc w:val="center"/>
        </w:trPr>
        <w:tc>
          <w:tcPr>
            <w:tcW w:w="1772" w:type="dxa"/>
            <w:tcBorders>
              <w:top w:val="nil"/>
              <w:left w:val="nil"/>
              <w:bottom w:val="nil"/>
              <w:right w:val="nil"/>
            </w:tcBorders>
          </w:tcPr>
          <w:p w14:paraId="6DB83655"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BIND</w:t>
            </w:r>
          </w:p>
        </w:tc>
        <w:tc>
          <w:tcPr>
            <w:tcW w:w="1422" w:type="dxa"/>
            <w:tcBorders>
              <w:top w:val="nil"/>
              <w:left w:val="nil"/>
              <w:bottom w:val="nil"/>
              <w:right w:val="nil"/>
            </w:tcBorders>
          </w:tcPr>
          <w:p w14:paraId="4F093F8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.001**</w:t>
            </w:r>
          </w:p>
          <w:p w14:paraId="30D635F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24E13979" w14:textId="74021C85"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-.001</w:t>
            </w:r>
            <w:r w:rsidR="00272D24" w:rsidRPr="00EF2A33">
              <w:rPr>
                <w:sz w:val="20"/>
                <w:szCs w:val="20"/>
              </w:rPr>
              <w:t>***</w:t>
            </w:r>
          </w:p>
          <w:p w14:paraId="6F668A4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(0.001)</w:t>
            </w:r>
          </w:p>
        </w:tc>
        <w:tc>
          <w:tcPr>
            <w:tcW w:w="1080" w:type="dxa"/>
            <w:tcBorders>
              <w:top w:val="nil"/>
              <w:left w:val="nil"/>
              <w:bottom w:val="nil"/>
              <w:right w:val="nil"/>
            </w:tcBorders>
          </w:tcPr>
          <w:p w14:paraId="4BD3D641" w14:textId="73940B25"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-.682***</w:t>
            </w:r>
          </w:p>
          <w:p w14:paraId="18CF5D3F"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(0.243)</w:t>
            </w:r>
          </w:p>
        </w:tc>
        <w:tc>
          <w:tcPr>
            <w:tcW w:w="1170" w:type="dxa"/>
            <w:tcBorders>
              <w:top w:val="nil"/>
              <w:left w:val="nil"/>
              <w:bottom w:val="nil"/>
              <w:right w:val="nil"/>
            </w:tcBorders>
          </w:tcPr>
          <w:p w14:paraId="6639075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.046**</w:t>
            </w:r>
          </w:p>
          <w:p w14:paraId="34DC4D95" w14:textId="1853521C"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p>
        </w:tc>
      </w:tr>
      <w:tr w:rsidR="00EF2A33" w:rsidRPr="00EF2A33" w14:paraId="3D746A58" w14:textId="77777777" w:rsidTr="00832972">
        <w:trPr>
          <w:trHeight w:val="196"/>
          <w:jc w:val="center"/>
        </w:trPr>
        <w:tc>
          <w:tcPr>
            <w:tcW w:w="1772" w:type="dxa"/>
            <w:tcBorders>
              <w:top w:val="nil"/>
              <w:left w:val="nil"/>
              <w:bottom w:val="nil"/>
              <w:right w:val="nil"/>
            </w:tcBorders>
          </w:tcPr>
          <w:p w14:paraId="46D23CC7"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GENDER</w:t>
            </w:r>
          </w:p>
        </w:tc>
        <w:tc>
          <w:tcPr>
            <w:tcW w:w="1422" w:type="dxa"/>
            <w:tcBorders>
              <w:top w:val="nil"/>
              <w:left w:val="nil"/>
              <w:bottom w:val="nil"/>
              <w:right w:val="nil"/>
            </w:tcBorders>
          </w:tcPr>
          <w:p w14:paraId="0A726FA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6332C7A3"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2E21B439" w14:textId="18F39779" w:rsidR="007019A9" w:rsidRPr="00EF2A33" w:rsidRDefault="005F7775"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r w:rsidR="00D874FB" w:rsidRPr="00EF2A33">
              <w:rPr>
                <w:sz w:val="20"/>
                <w:szCs w:val="20"/>
              </w:rPr>
              <w:t>*</w:t>
            </w:r>
          </w:p>
          <w:p w14:paraId="5E0BB9C9"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(0.001)</w:t>
            </w:r>
          </w:p>
        </w:tc>
        <w:tc>
          <w:tcPr>
            <w:tcW w:w="1080" w:type="dxa"/>
            <w:tcBorders>
              <w:top w:val="nil"/>
              <w:left w:val="nil"/>
              <w:bottom w:val="nil"/>
              <w:right w:val="nil"/>
            </w:tcBorders>
          </w:tcPr>
          <w:p w14:paraId="02E32E03" w14:textId="1891DB75" w:rsidR="007019A9" w:rsidRPr="00EF2A33" w:rsidRDefault="00C56FA0" w:rsidP="005C3EBC">
            <w:pPr>
              <w:widowControl w:val="0"/>
              <w:autoSpaceDE w:val="0"/>
              <w:autoSpaceDN w:val="0"/>
              <w:adjustRightInd w:val="0"/>
              <w:spacing w:after="0" w:line="240" w:lineRule="auto"/>
              <w:jc w:val="center"/>
              <w:rPr>
                <w:sz w:val="20"/>
                <w:szCs w:val="20"/>
              </w:rPr>
            </w:pPr>
            <w:r w:rsidRPr="00EF2A33">
              <w:rPr>
                <w:sz w:val="20"/>
                <w:szCs w:val="20"/>
              </w:rPr>
              <w:t>.592**</w:t>
            </w:r>
          </w:p>
          <w:p w14:paraId="6068E255" w14:textId="4ADCD1F7"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(0.23</w:t>
            </w:r>
            <w:r w:rsidR="007019A9" w:rsidRPr="00EF2A33">
              <w:rPr>
                <w:sz w:val="20"/>
                <w:szCs w:val="20"/>
              </w:rPr>
              <w:t>)</w:t>
            </w:r>
          </w:p>
        </w:tc>
        <w:tc>
          <w:tcPr>
            <w:tcW w:w="1170" w:type="dxa"/>
            <w:tcBorders>
              <w:top w:val="nil"/>
              <w:left w:val="nil"/>
              <w:bottom w:val="nil"/>
              <w:right w:val="nil"/>
            </w:tcBorders>
          </w:tcPr>
          <w:p w14:paraId="32BFCE65" w14:textId="1CBEF7F0"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.047*</w:t>
            </w:r>
            <w:r w:rsidR="00263297" w:rsidRPr="00EF2A33">
              <w:rPr>
                <w:sz w:val="20"/>
                <w:szCs w:val="20"/>
              </w:rPr>
              <w:t>*</w:t>
            </w:r>
            <w:r w:rsidRPr="00EF2A33">
              <w:rPr>
                <w:sz w:val="20"/>
                <w:szCs w:val="20"/>
              </w:rPr>
              <w:t>*</w:t>
            </w:r>
          </w:p>
          <w:p w14:paraId="035DB84F" w14:textId="6A31FB7C"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p>
        </w:tc>
      </w:tr>
      <w:tr w:rsidR="00EF2A33" w:rsidRPr="00EF2A33" w14:paraId="32DE6826" w14:textId="77777777" w:rsidTr="00832972">
        <w:trPr>
          <w:trHeight w:val="196"/>
          <w:jc w:val="center"/>
        </w:trPr>
        <w:tc>
          <w:tcPr>
            <w:tcW w:w="1772" w:type="dxa"/>
            <w:tcBorders>
              <w:top w:val="nil"/>
              <w:left w:val="nil"/>
              <w:bottom w:val="nil"/>
              <w:right w:val="nil"/>
            </w:tcBorders>
          </w:tcPr>
          <w:p w14:paraId="36207BED"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MEETING</w:t>
            </w:r>
          </w:p>
        </w:tc>
        <w:tc>
          <w:tcPr>
            <w:tcW w:w="1422" w:type="dxa"/>
            <w:tcBorders>
              <w:top w:val="nil"/>
              <w:left w:val="nil"/>
              <w:bottom w:val="nil"/>
              <w:right w:val="nil"/>
            </w:tcBorders>
          </w:tcPr>
          <w:p w14:paraId="173EF14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64BB7494"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067443A9" w14:textId="2666A7C7" w:rsidR="007019A9" w:rsidRPr="00EF2A33" w:rsidRDefault="00D874FB" w:rsidP="005C3EBC">
            <w:pPr>
              <w:widowControl w:val="0"/>
              <w:autoSpaceDE w:val="0"/>
              <w:autoSpaceDN w:val="0"/>
              <w:adjustRightInd w:val="0"/>
              <w:spacing w:after="0" w:line="240" w:lineRule="auto"/>
              <w:jc w:val="center"/>
              <w:rPr>
                <w:sz w:val="20"/>
                <w:szCs w:val="20"/>
              </w:rPr>
            </w:pPr>
            <w:r w:rsidRPr="00EF2A33">
              <w:rPr>
                <w:sz w:val="20"/>
                <w:szCs w:val="20"/>
              </w:rPr>
              <w:t>.004</w:t>
            </w:r>
            <w:r w:rsidR="007019A9" w:rsidRPr="00EF2A33">
              <w:rPr>
                <w:sz w:val="20"/>
                <w:szCs w:val="20"/>
              </w:rPr>
              <w:t>***</w:t>
            </w:r>
          </w:p>
          <w:p w14:paraId="3554617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(0.001)</w:t>
            </w:r>
          </w:p>
        </w:tc>
        <w:tc>
          <w:tcPr>
            <w:tcW w:w="1080" w:type="dxa"/>
            <w:tcBorders>
              <w:top w:val="nil"/>
              <w:left w:val="nil"/>
              <w:bottom w:val="nil"/>
              <w:right w:val="nil"/>
            </w:tcBorders>
          </w:tcPr>
          <w:p w14:paraId="012BFF7B" w14:textId="2DA74C94" w:rsidR="007019A9" w:rsidRPr="00EF2A33" w:rsidRDefault="009C52D2" w:rsidP="005C3EBC">
            <w:pPr>
              <w:widowControl w:val="0"/>
              <w:autoSpaceDE w:val="0"/>
              <w:autoSpaceDN w:val="0"/>
              <w:adjustRightInd w:val="0"/>
              <w:spacing w:after="0" w:line="240" w:lineRule="auto"/>
              <w:jc w:val="center"/>
              <w:rPr>
                <w:sz w:val="20"/>
                <w:szCs w:val="20"/>
              </w:rPr>
            </w:pPr>
            <w:r w:rsidRPr="00EF2A33">
              <w:rPr>
                <w:sz w:val="20"/>
                <w:szCs w:val="20"/>
              </w:rPr>
              <w:t>.792**</w:t>
            </w:r>
          </w:p>
          <w:p w14:paraId="0FF4BEB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(0.348)</w:t>
            </w:r>
          </w:p>
        </w:tc>
        <w:tc>
          <w:tcPr>
            <w:tcW w:w="1170" w:type="dxa"/>
            <w:tcBorders>
              <w:top w:val="nil"/>
              <w:left w:val="nil"/>
              <w:bottom w:val="nil"/>
              <w:right w:val="nil"/>
            </w:tcBorders>
          </w:tcPr>
          <w:p w14:paraId="3B4552B1"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.111***</w:t>
            </w:r>
          </w:p>
          <w:p w14:paraId="6D8217F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(0.021)</w:t>
            </w:r>
          </w:p>
        </w:tc>
      </w:tr>
      <w:tr w:rsidR="00EF2A33" w:rsidRPr="00EF2A33" w14:paraId="55A07BA5" w14:textId="77777777" w:rsidTr="00832972">
        <w:trPr>
          <w:trHeight w:val="184"/>
          <w:jc w:val="center"/>
        </w:trPr>
        <w:tc>
          <w:tcPr>
            <w:tcW w:w="1772" w:type="dxa"/>
            <w:tcBorders>
              <w:top w:val="nil"/>
              <w:left w:val="nil"/>
              <w:bottom w:val="nil"/>
              <w:right w:val="nil"/>
            </w:tcBorders>
          </w:tcPr>
          <w:p w14:paraId="194E5897" w14:textId="77777777" w:rsidR="007019A9" w:rsidRPr="00EF2A33" w:rsidRDefault="007019A9" w:rsidP="005C3EBC">
            <w:pPr>
              <w:widowControl w:val="0"/>
              <w:autoSpaceDE w:val="0"/>
              <w:autoSpaceDN w:val="0"/>
              <w:adjustRightInd w:val="0"/>
              <w:spacing w:after="0" w:line="240" w:lineRule="auto"/>
              <w:jc w:val="left"/>
              <w:rPr>
                <w:sz w:val="20"/>
                <w:szCs w:val="20"/>
              </w:rPr>
            </w:pPr>
            <w:r w:rsidRPr="00EF2A33">
              <w:rPr>
                <w:sz w:val="20"/>
                <w:szCs w:val="20"/>
              </w:rPr>
              <w:t>FAMILY</w:t>
            </w:r>
          </w:p>
        </w:tc>
        <w:tc>
          <w:tcPr>
            <w:tcW w:w="1422" w:type="dxa"/>
            <w:tcBorders>
              <w:top w:val="nil"/>
              <w:left w:val="nil"/>
              <w:bottom w:val="nil"/>
              <w:right w:val="nil"/>
            </w:tcBorders>
          </w:tcPr>
          <w:p w14:paraId="6DA96A13"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-.001***</w:t>
            </w:r>
          </w:p>
          <w:p w14:paraId="17575736"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0CB97349"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-.004***</w:t>
            </w:r>
          </w:p>
          <w:p w14:paraId="418861A1"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(0.001)</w:t>
            </w:r>
          </w:p>
        </w:tc>
        <w:tc>
          <w:tcPr>
            <w:tcW w:w="1080" w:type="dxa"/>
            <w:tcBorders>
              <w:top w:val="nil"/>
              <w:left w:val="nil"/>
              <w:bottom w:val="nil"/>
              <w:right w:val="nil"/>
            </w:tcBorders>
          </w:tcPr>
          <w:p w14:paraId="28163A7A" w14:textId="1FA8C4A3" w:rsidR="007019A9" w:rsidRPr="00EF2A33" w:rsidRDefault="00263297" w:rsidP="005C3EBC">
            <w:pPr>
              <w:widowControl w:val="0"/>
              <w:autoSpaceDE w:val="0"/>
              <w:autoSpaceDN w:val="0"/>
              <w:adjustRightInd w:val="0"/>
              <w:spacing w:after="0" w:line="240" w:lineRule="auto"/>
              <w:jc w:val="center"/>
              <w:rPr>
                <w:sz w:val="20"/>
                <w:szCs w:val="20"/>
              </w:rPr>
            </w:pPr>
            <w:r w:rsidRPr="00EF2A33">
              <w:rPr>
                <w:sz w:val="20"/>
                <w:szCs w:val="20"/>
              </w:rPr>
              <w:t>-.61</w:t>
            </w:r>
            <w:r w:rsidR="007019A9" w:rsidRPr="00EF2A33">
              <w:rPr>
                <w:sz w:val="20"/>
                <w:szCs w:val="20"/>
              </w:rPr>
              <w:t>1**</w:t>
            </w:r>
          </w:p>
          <w:p w14:paraId="77CE1DC1" w14:textId="15C51A04"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(0.15</w:t>
            </w:r>
            <w:r w:rsidR="007019A9" w:rsidRPr="00EF2A33">
              <w:rPr>
                <w:sz w:val="20"/>
                <w:szCs w:val="20"/>
              </w:rPr>
              <w:t>)</w:t>
            </w:r>
          </w:p>
        </w:tc>
        <w:tc>
          <w:tcPr>
            <w:tcW w:w="1170" w:type="dxa"/>
            <w:tcBorders>
              <w:top w:val="nil"/>
              <w:left w:val="nil"/>
              <w:bottom w:val="nil"/>
              <w:right w:val="nil"/>
            </w:tcBorders>
          </w:tcPr>
          <w:p w14:paraId="3958613C" w14:textId="2B0E3D3F" w:rsidR="007019A9" w:rsidRPr="00EF2A33" w:rsidRDefault="00263297" w:rsidP="005C3EBC">
            <w:pPr>
              <w:widowControl w:val="0"/>
              <w:autoSpaceDE w:val="0"/>
              <w:autoSpaceDN w:val="0"/>
              <w:adjustRightInd w:val="0"/>
              <w:spacing w:after="0" w:line="240" w:lineRule="auto"/>
              <w:jc w:val="center"/>
              <w:rPr>
                <w:sz w:val="20"/>
                <w:szCs w:val="20"/>
              </w:rPr>
            </w:pPr>
            <w:r w:rsidRPr="00EF2A33">
              <w:rPr>
                <w:sz w:val="20"/>
                <w:szCs w:val="20"/>
              </w:rPr>
              <w:t>-.099</w:t>
            </w:r>
            <w:r w:rsidR="007019A9" w:rsidRPr="00EF2A33">
              <w:rPr>
                <w:sz w:val="20"/>
                <w:szCs w:val="20"/>
              </w:rPr>
              <w:t>***</w:t>
            </w:r>
          </w:p>
          <w:p w14:paraId="0E9718D6" w14:textId="2D2197A3"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(0.01</w:t>
            </w:r>
            <w:r w:rsidR="007019A9" w:rsidRPr="00EF2A33">
              <w:rPr>
                <w:sz w:val="20"/>
                <w:szCs w:val="20"/>
              </w:rPr>
              <w:t>)</w:t>
            </w:r>
          </w:p>
        </w:tc>
      </w:tr>
      <w:tr w:rsidR="00EF2A33" w:rsidRPr="00EF2A33" w14:paraId="7C5C81AD" w14:textId="77777777" w:rsidTr="00832972">
        <w:trPr>
          <w:trHeight w:val="196"/>
          <w:jc w:val="center"/>
        </w:trPr>
        <w:tc>
          <w:tcPr>
            <w:tcW w:w="1772" w:type="dxa"/>
            <w:tcBorders>
              <w:top w:val="nil"/>
              <w:left w:val="nil"/>
              <w:bottom w:val="nil"/>
              <w:right w:val="nil"/>
            </w:tcBorders>
          </w:tcPr>
          <w:p w14:paraId="08B441BC"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EDU</w:t>
            </w:r>
          </w:p>
        </w:tc>
        <w:tc>
          <w:tcPr>
            <w:tcW w:w="1422" w:type="dxa"/>
            <w:tcBorders>
              <w:top w:val="nil"/>
              <w:left w:val="nil"/>
              <w:bottom w:val="nil"/>
              <w:right w:val="nil"/>
            </w:tcBorders>
          </w:tcPr>
          <w:p w14:paraId="064A8624" w14:textId="2069BD26" w:rsidR="007019A9" w:rsidRPr="00EF2A33" w:rsidRDefault="00504DF6" w:rsidP="005C3EBC">
            <w:pPr>
              <w:widowControl w:val="0"/>
              <w:autoSpaceDE w:val="0"/>
              <w:autoSpaceDN w:val="0"/>
              <w:adjustRightInd w:val="0"/>
              <w:spacing w:after="0" w:line="240" w:lineRule="auto"/>
              <w:jc w:val="center"/>
              <w:rPr>
                <w:sz w:val="20"/>
                <w:szCs w:val="20"/>
              </w:rPr>
            </w:pPr>
            <w:r w:rsidRPr="00EF2A33">
              <w:rPr>
                <w:sz w:val="20"/>
                <w:szCs w:val="20"/>
              </w:rPr>
              <w:t>-.014</w:t>
            </w:r>
            <w:r w:rsidR="007019A9" w:rsidRPr="00EF2A33">
              <w:rPr>
                <w:sz w:val="20"/>
                <w:szCs w:val="20"/>
              </w:rPr>
              <w:t>*</w:t>
            </w:r>
          </w:p>
          <w:p w14:paraId="7408D96F" w14:textId="0A25391A"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(0.01</w:t>
            </w:r>
            <w:r w:rsidR="007019A9" w:rsidRPr="00EF2A33">
              <w:rPr>
                <w:sz w:val="20"/>
                <w:szCs w:val="20"/>
              </w:rPr>
              <w:t>)</w:t>
            </w:r>
          </w:p>
        </w:tc>
        <w:tc>
          <w:tcPr>
            <w:tcW w:w="1170" w:type="dxa"/>
            <w:tcBorders>
              <w:top w:val="nil"/>
              <w:left w:val="nil"/>
              <w:bottom w:val="nil"/>
              <w:right w:val="nil"/>
            </w:tcBorders>
          </w:tcPr>
          <w:p w14:paraId="128A66AC" w14:textId="1FB50A87" w:rsidR="007019A9" w:rsidRPr="00EF2A33" w:rsidRDefault="00D874FB" w:rsidP="005C3EBC">
            <w:pPr>
              <w:widowControl w:val="0"/>
              <w:autoSpaceDE w:val="0"/>
              <w:autoSpaceDN w:val="0"/>
              <w:adjustRightInd w:val="0"/>
              <w:spacing w:after="0" w:line="240" w:lineRule="auto"/>
              <w:jc w:val="center"/>
              <w:rPr>
                <w:sz w:val="20"/>
                <w:szCs w:val="20"/>
              </w:rPr>
            </w:pPr>
            <w:r w:rsidRPr="00EF2A33">
              <w:rPr>
                <w:sz w:val="20"/>
                <w:szCs w:val="20"/>
              </w:rPr>
              <w:t>-.021</w:t>
            </w:r>
          </w:p>
          <w:p w14:paraId="629184D0" w14:textId="36413A90"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(0.02</w:t>
            </w:r>
            <w:r w:rsidR="007019A9" w:rsidRPr="00EF2A33">
              <w:rPr>
                <w:sz w:val="20"/>
                <w:szCs w:val="20"/>
              </w:rPr>
              <w:t>)</w:t>
            </w:r>
          </w:p>
        </w:tc>
        <w:tc>
          <w:tcPr>
            <w:tcW w:w="1080" w:type="dxa"/>
            <w:tcBorders>
              <w:top w:val="nil"/>
              <w:left w:val="nil"/>
              <w:bottom w:val="nil"/>
              <w:right w:val="nil"/>
            </w:tcBorders>
          </w:tcPr>
          <w:p w14:paraId="03A0FF7A" w14:textId="6A296BDE"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w:t>
            </w:r>
            <w:r w:rsidR="00263297" w:rsidRPr="00EF2A33">
              <w:rPr>
                <w:sz w:val="20"/>
                <w:szCs w:val="20"/>
              </w:rPr>
              <w:t>14</w:t>
            </w:r>
            <w:r w:rsidRPr="00EF2A33">
              <w:rPr>
                <w:sz w:val="20"/>
                <w:szCs w:val="20"/>
              </w:rPr>
              <w:t>.</w:t>
            </w:r>
            <w:r w:rsidR="00263297" w:rsidRPr="00EF2A33">
              <w:rPr>
                <w:sz w:val="20"/>
                <w:szCs w:val="20"/>
              </w:rPr>
              <w:t>42</w:t>
            </w:r>
          </w:p>
          <w:p w14:paraId="52758B9D"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(5.2)</w:t>
            </w:r>
          </w:p>
        </w:tc>
        <w:tc>
          <w:tcPr>
            <w:tcW w:w="1170" w:type="dxa"/>
            <w:tcBorders>
              <w:top w:val="nil"/>
              <w:left w:val="nil"/>
              <w:bottom w:val="nil"/>
              <w:right w:val="nil"/>
            </w:tcBorders>
          </w:tcPr>
          <w:p w14:paraId="0279EAE5"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-2***</w:t>
            </w:r>
          </w:p>
          <w:p w14:paraId="1A34F30A" w14:textId="612E6C5F" w:rsidR="007019A9" w:rsidRPr="00EF2A33" w:rsidRDefault="00D51307" w:rsidP="005C3EBC">
            <w:pPr>
              <w:widowControl w:val="0"/>
              <w:autoSpaceDE w:val="0"/>
              <w:autoSpaceDN w:val="0"/>
              <w:adjustRightInd w:val="0"/>
              <w:spacing w:after="0" w:line="240" w:lineRule="auto"/>
              <w:jc w:val="center"/>
              <w:rPr>
                <w:sz w:val="20"/>
                <w:szCs w:val="20"/>
              </w:rPr>
            </w:pPr>
            <w:r w:rsidRPr="00EF2A33">
              <w:rPr>
                <w:sz w:val="20"/>
                <w:szCs w:val="20"/>
              </w:rPr>
              <w:t>(0.44</w:t>
            </w:r>
            <w:r w:rsidR="007019A9" w:rsidRPr="00EF2A33">
              <w:rPr>
                <w:sz w:val="20"/>
                <w:szCs w:val="20"/>
              </w:rPr>
              <w:t>)</w:t>
            </w:r>
          </w:p>
        </w:tc>
      </w:tr>
      <w:tr w:rsidR="00EF2A33" w:rsidRPr="00EF2A33" w14:paraId="22F247E5" w14:textId="77777777" w:rsidTr="00832972">
        <w:trPr>
          <w:trHeight w:val="184"/>
          <w:jc w:val="center"/>
        </w:trPr>
        <w:tc>
          <w:tcPr>
            <w:tcW w:w="1772" w:type="dxa"/>
            <w:tcBorders>
              <w:top w:val="nil"/>
              <w:left w:val="nil"/>
              <w:bottom w:val="nil"/>
              <w:right w:val="nil"/>
            </w:tcBorders>
          </w:tcPr>
          <w:p w14:paraId="03E7BFCA" w14:textId="77777777" w:rsidR="007019A9" w:rsidRPr="00EF2A33" w:rsidRDefault="007019A9" w:rsidP="005C3EBC">
            <w:pPr>
              <w:widowControl w:val="0"/>
              <w:autoSpaceDE w:val="0"/>
              <w:autoSpaceDN w:val="0"/>
              <w:adjustRightInd w:val="0"/>
              <w:spacing w:after="0" w:line="240" w:lineRule="auto"/>
              <w:rPr>
                <w:sz w:val="20"/>
                <w:szCs w:val="20"/>
              </w:rPr>
            </w:pPr>
            <w:r w:rsidRPr="00EF2A33">
              <w:rPr>
                <w:sz w:val="20"/>
                <w:szCs w:val="20"/>
              </w:rPr>
              <w:t>TA</w:t>
            </w:r>
          </w:p>
        </w:tc>
        <w:tc>
          <w:tcPr>
            <w:tcW w:w="1422" w:type="dxa"/>
            <w:tcBorders>
              <w:top w:val="nil"/>
              <w:left w:val="nil"/>
              <w:bottom w:val="nil"/>
              <w:right w:val="nil"/>
            </w:tcBorders>
          </w:tcPr>
          <w:p w14:paraId="6CB5581C" w14:textId="309FCBA1" w:rsidR="007019A9" w:rsidRPr="00EF2A33" w:rsidRDefault="00B1154A" w:rsidP="005C3EBC">
            <w:pPr>
              <w:widowControl w:val="0"/>
              <w:autoSpaceDE w:val="0"/>
              <w:autoSpaceDN w:val="0"/>
              <w:adjustRightInd w:val="0"/>
              <w:spacing w:after="0" w:line="240" w:lineRule="auto"/>
              <w:jc w:val="center"/>
              <w:rPr>
                <w:sz w:val="20"/>
                <w:szCs w:val="20"/>
              </w:rPr>
            </w:pPr>
            <w:r w:rsidRPr="00EF2A33">
              <w:rPr>
                <w:sz w:val="20"/>
                <w:szCs w:val="20"/>
              </w:rPr>
              <w:t>.</w:t>
            </w:r>
            <w:r w:rsidR="007019A9" w:rsidRPr="00EF2A33">
              <w:rPr>
                <w:sz w:val="20"/>
                <w:szCs w:val="20"/>
              </w:rPr>
              <w:t>0</w:t>
            </w:r>
            <w:r w:rsidRPr="00EF2A33">
              <w:rPr>
                <w:sz w:val="20"/>
                <w:szCs w:val="20"/>
              </w:rPr>
              <w:t>1</w:t>
            </w:r>
            <w:r w:rsidR="007019A9" w:rsidRPr="00EF2A33">
              <w:rPr>
                <w:sz w:val="20"/>
                <w:szCs w:val="20"/>
              </w:rPr>
              <w:t>***</w:t>
            </w:r>
          </w:p>
          <w:p w14:paraId="04021F1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606E6A13"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06E83CC3"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080" w:type="dxa"/>
            <w:tcBorders>
              <w:top w:val="nil"/>
              <w:left w:val="nil"/>
              <w:bottom w:val="nil"/>
              <w:right w:val="nil"/>
            </w:tcBorders>
          </w:tcPr>
          <w:p w14:paraId="166FC0D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58467E5A"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c>
          <w:tcPr>
            <w:tcW w:w="1170" w:type="dxa"/>
            <w:tcBorders>
              <w:top w:val="nil"/>
              <w:left w:val="nil"/>
              <w:bottom w:val="nil"/>
              <w:right w:val="nil"/>
            </w:tcBorders>
          </w:tcPr>
          <w:p w14:paraId="236A3902" w14:textId="15353B1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p w14:paraId="3D19D44C"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w:t>
            </w:r>
          </w:p>
        </w:tc>
      </w:tr>
      <w:tr w:rsidR="00EF2A33" w:rsidRPr="00EF2A33" w14:paraId="4E33D3D5" w14:textId="77777777" w:rsidTr="00832972">
        <w:trPr>
          <w:trHeight w:val="196"/>
          <w:jc w:val="center"/>
        </w:trPr>
        <w:tc>
          <w:tcPr>
            <w:tcW w:w="1772" w:type="dxa"/>
            <w:tcBorders>
              <w:top w:val="nil"/>
              <w:left w:val="nil"/>
              <w:bottom w:val="nil"/>
              <w:right w:val="nil"/>
            </w:tcBorders>
          </w:tcPr>
          <w:p w14:paraId="69A77341" w14:textId="77777777" w:rsidR="007019A9" w:rsidRPr="00EF2A33" w:rsidRDefault="007019A9" w:rsidP="005C3EBC">
            <w:pPr>
              <w:spacing w:after="0" w:line="240" w:lineRule="auto"/>
              <w:jc w:val="left"/>
              <w:rPr>
                <w:sz w:val="20"/>
                <w:szCs w:val="20"/>
              </w:rPr>
            </w:pPr>
            <w:r w:rsidRPr="00EF2A33">
              <w:rPr>
                <w:sz w:val="20"/>
                <w:szCs w:val="20"/>
              </w:rPr>
              <w:t>INDUS</w:t>
            </w:r>
          </w:p>
        </w:tc>
        <w:tc>
          <w:tcPr>
            <w:tcW w:w="1422" w:type="dxa"/>
            <w:tcBorders>
              <w:top w:val="nil"/>
              <w:left w:val="nil"/>
              <w:bottom w:val="nil"/>
              <w:right w:val="nil"/>
            </w:tcBorders>
          </w:tcPr>
          <w:p w14:paraId="57FD7B6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170" w:type="dxa"/>
            <w:tcBorders>
              <w:top w:val="nil"/>
              <w:left w:val="nil"/>
              <w:bottom w:val="nil"/>
              <w:right w:val="nil"/>
            </w:tcBorders>
          </w:tcPr>
          <w:p w14:paraId="3272E7E5"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080" w:type="dxa"/>
            <w:tcBorders>
              <w:top w:val="nil"/>
              <w:left w:val="nil"/>
              <w:bottom w:val="nil"/>
              <w:right w:val="nil"/>
            </w:tcBorders>
          </w:tcPr>
          <w:p w14:paraId="7D3703BF"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170" w:type="dxa"/>
            <w:tcBorders>
              <w:top w:val="nil"/>
              <w:left w:val="nil"/>
              <w:bottom w:val="nil"/>
              <w:right w:val="nil"/>
            </w:tcBorders>
          </w:tcPr>
          <w:p w14:paraId="4297A22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r>
      <w:tr w:rsidR="00EF2A33" w:rsidRPr="00EF2A33" w14:paraId="108358CA" w14:textId="77777777" w:rsidTr="00832972">
        <w:trPr>
          <w:trHeight w:val="196"/>
          <w:jc w:val="center"/>
        </w:trPr>
        <w:tc>
          <w:tcPr>
            <w:tcW w:w="1772" w:type="dxa"/>
            <w:tcBorders>
              <w:top w:val="nil"/>
              <w:left w:val="nil"/>
              <w:bottom w:val="nil"/>
              <w:right w:val="nil"/>
            </w:tcBorders>
          </w:tcPr>
          <w:p w14:paraId="35527848" w14:textId="77777777" w:rsidR="007019A9" w:rsidRPr="00EF2A33" w:rsidRDefault="007019A9" w:rsidP="005C3EBC">
            <w:pPr>
              <w:spacing w:after="0" w:line="240" w:lineRule="auto"/>
              <w:jc w:val="left"/>
              <w:rPr>
                <w:sz w:val="20"/>
                <w:szCs w:val="20"/>
              </w:rPr>
            </w:pPr>
            <w:r w:rsidRPr="00EF2A33">
              <w:rPr>
                <w:sz w:val="20"/>
                <w:szCs w:val="20"/>
              </w:rPr>
              <w:t>YEAR</w:t>
            </w:r>
          </w:p>
        </w:tc>
        <w:tc>
          <w:tcPr>
            <w:tcW w:w="1422" w:type="dxa"/>
            <w:tcBorders>
              <w:top w:val="nil"/>
              <w:left w:val="nil"/>
              <w:bottom w:val="nil"/>
              <w:right w:val="nil"/>
            </w:tcBorders>
          </w:tcPr>
          <w:p w14:paraId="37DD3D3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170" w:type="dxa"/>
            <w:tcBorders>
              <w:top w:val="nil"/>
              <w:left w:val="nil"/>
              <w:bottom w:val="nil"/>
              <w:right w:val="nil"/>
            </w:tcBorders>
          </w:tcPr>
          <w:p w14:paraId="3D81753D"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080" w:type="dxa"/>
            <w:tcBorders>
              <w:top w:val="nil"/>
              <w:left w:val="nil"/>
              <w:bottom w:val="nil"/>
              <w:right w:val="nil"/>
            </w:tcBorders>
          </w:tcPr>
          <w:p w14:paraId="2A7B8957"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c>
          <w:tcPr>
            <w:tcW w:w="1170" w:type="dxa"/>
            <w:tcBorders>
              <w:top w:val="nil"/>
              <w:left w:val="nil"/>
              <w:bottom w:val="nil"/>
              <w:right w:val="nil"/>
            </w:tcBorders>
          </w:tcPr>
          <w:p w14:paraId="6050A2D3"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Y</w:t>
            </w:r>
          </w:p>
        </w:tc>
      </w:tr>
      <w:tr w:rsidR="00EF2A33" w:rsidRPr="00EF2A33" w14:paraId="3376EF09" w14:textId="77777777" w:rsidTr="00832972">
        <w:trPr>
          <w:trHeight w:val="196"/>
          <w:jc w:val="center"/>
        </w:trPr>
        <w:tc>
          <w:tcPr>
            <w:tcW w:w="1772" w:type="dxa"/>
            <w:tcBorders>
              <w:top w:val="nil"/>
              <w:left w:val="nil"/>
              <w:bottom w:val="nil"/>
              <w:right w:val="nil"/>
            </w:tcBorders>
            <w:hideMark/>
          </w:tcPr>
          <w:p w14:paraId="19F1F296" w14:textId="3BD4D72C" w:rsidR="007019A9" w:rsidRPr="00EF2A33" w:rsidRDefault="007019A9" w:rsidP="005C3EBC">
            <w:pPr>
              <w:widowControl w:val="0"/>
              <w:autoSpaceDE w:val="0"/>
              <w:autoSpaceDN w:val="0"/>
              <w:adjustRightInd w:val="0"/>
              <w:spacing w:after="0" w:line="240" w:lineRule="auto"/>
              <w:rPr>
                <w:rFonts w:eastAsiaTheme="minorEastAsia"/>
                <w:sz w:val="20"/>
                <w:szCs w:val="20"/>
              </w:rPr>
            </w:pPr>
            <w:r w:rsidRPr="00EF2A33">
              <w:rPr>
                <w:rFonts w:eastAsiaTheme="minorEastAsia"/>
                <w:sz w:val="20"/>
                <w:szCs w:val="20"/>
              </w:rPr>
              <w:t>Constant</w:t>
            </w:r>
          </w:p>
        </w:tc>
        <w:tc>
          <w:tcPr>
            <w:tcW w:w="1422" w:type="dxa"/>
            <w:tcBorders>
              <w:top w:val="nil"/>
              <w:left w:val="nil"/>
              <w:bottom w:val="nil"/>
              <w:right w:val="nil"/>
            </w:tcBorders>
          </w:tcPr>
          <w:p w14:paraId="71F4169E"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.124</w:t>
            </w:r>
          </w:p>
          <w:p w14:paraId="3C14991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(0.026)</w:t>
            </w:r>
          </w:p>
        </w:tc>
        <w:tc>
          <w:tcPr>
            <w:tcW w:w="1170" w:type="dxa"/>
            <w:tcBorders>
              <w:top w:val="nil"/>
              <w:left w:val="nil"/>
              <w:bottom w:val="nil"/>
              <w:right w:val="nil"/>
            </w:tcBorders>
          </w:tcPr>
          <w:p w14:paraId="7D42048F"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.394***</w:t>
            </w:r>
          </w:p>
          <w:p w14:paraId="68B5CFCB"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(0.059)</w:t>
            </w:r>
          </w:p>
        </w:tc>
        <w:tc>
          <w:tcPr>
            <w:tcW w:w="1080" w:type="dxa"/>
            <w:tcBorders>
              <w:top w:val="nil"/>
              <w:left w:val="nil"/>
              <w:bottom w:val="nil"/>
              <w:right w:val="nil"/>
            </w:tcBorders>
          </w:tcPr>
          <w:p w14:paraId="21F18387"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19.55</w:t>
            </w:r>
          </w:p>
          <w:p w14:paraId="494F9148"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(17)</w:t>
            </w:r>
          </w:p>
        </w:tc>
        <w:tc>
          <w:tcPr>
            <w:tcW w:w="1170" w:type="dxa"/>
            <w:tcBorders>
              <w:top w:val="nil"/>
              <w:left w:val="nil"/>
              <w:bottom w:val="nil"/>
              <w:right w:val="nil"/>
            </w:tcBorders>
          </w:tcPr>
          <w:p w14:paraId="0C855CB0"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7.189***</w:t>
            </w:r>
          </w:p>
          <w:p w14:paraId="73418422" w14:textId="77777777" w:rsidR="007019A9" w:rsidRPr="00EF2A33" w:rsidRDefault="007019A9" w:rsidP="005C3EBC">
            <w:pPr>
              <w:widowControl w:val="0"/>
              <w:autoSpaceDE w:val="0"/>
              <w:autoSpaceDN w:val="0"/>
              <w:adjustRightInd w:val="0"/>
              <w:spacing w:after="0" w:line="240" w:lineRule="auto"/>
              <w:jc w:val="center"/>
              <w:rPr>
                <w:sz w:val="20"/>
                <w:szCs w:val="20"/>
              </w:rPr>
            </w:pPr>
            <w:r w:rsidRPr="00EF2A33">
              <w:rPr>
                <w:sz w:val="20"/>
                <w:szCs w:val="20"/>
              </w:rPr>
              <w:t>(1.44)</w:t>
            </w:r>
          </w:p>
        </w:tc>
      </w:tr>
      <w:tr w:rsidR="00EF2A33" w:rsidRPr="00EF2A33" w14:paraId="74E3282A" w14:textId="77777777" w:rsidTr="00832972">
        <w:trPr>
          <w:trHeight w:val="196"/>
          <w:jc w:val="center"/>
        </w:trPr>
        <w:tc>
          <w:tcPr>
            <w:tcW w:w="1772" w:type="dxa"/>
            <w:tcBorders>
              <w:top w:val="nil"/>
              <w:left w:val="nil"/>
              <w:bottom w:val="nil"/>
              <w:right w:val="nil"/>
            </w:tcBorders>
            <w:hideMark/>
          </w:tcPr>
          <w:p w14:paraId="74BCE849" w14:textId="77777777" w:rsidR="007019A9" w:rsidRPr="00EF2A33" w:rsidRDefault="007019A9" w:rsidP="005C3EBC">
            <w:pPr>
              <w:widowControl w:val="0"/>
              <w:autoSpaceDE w:val="0"/>
              <w:autoSpaceDN w:val="0"/>
              <w:adjustRightInd w:val="0"/>
              <w:spacing w:after="0" w:line="240" w:lineRule="auto"/>
              <w:rPr>
                <w:rFonts w:eastAsiaTheme="minorEastAsia"/>
                <w:sz w:val="20"/>
                <w:szCs w:val="20"/>
              </w:rPr>
            </w:pPr>
            <w:r w:rsidRPr="00EF2A33">
              <w:rPr>
                <w:rFonts w:eastAsiaTheme="minorEastAsia"/>
                <w:sz w:val="20"/>
                <w:szCs w:val="20"/>
              </w:rPr>
              <w:t xml:space="preserve"> Observations</w:t>
            </w:r>
          </w:p>
        </w:tc>
        <w:tc>
          <w:tcPr>
            <w:tcW w:w="1422" w:type="dxa"/>
            <w:tcBorders>
              <w:top w:val="nil"/>
              <w:left w:val="nil"/>
              <w:bottom w:val="nil"/>
              <w:right w:val="nil"/>
            </w:tcBorders>
            <w:hideMark/>
          </w:tcPr>
          <w:p w14:paraId="0E282552"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210</w:t>
            </w:r>
          </w:p>
        </w:tc>
        <w:tc>
          <w:tcPr>
            <w:tcW w:w="1170" w:type="dxa"/>
            <w:tcBorders>
              <w:top w:val="nil"/>
              <w:left w:val="nil"/>
              <w:bottom w:val="nil"/>
              <w:right w:val="nil"/>
            </w:tcBorders>
            <w:hideMark/>
          </w:tcPr>
          <w:p w14:paraId="352C6460"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210</w:t>
            </w:r>
          </w:p>
        </w:tc>
        <w:tc>
          <w:tcPr>
            <w:tcW w:w="1080" w:type="dxa"/>
            <w:tcBorders>
              <w:top w:val="nil"/>
              <w:left w:val="nil"/>
              <w:bottom w:val="nil"/>
              <w:right w:val="nil"/>
            </w:tcBorders>
          </w:tcPr>
          <w:p w14:paraId="03138973"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210</w:t>
            </w:r>
          </w:p>
        </w:tc>
        <w:tc>
          <w:tcPr>
            <w:tcW w:w="1170" w:type="dxa"/>
            <w:tcBorders>
              <w:top w:val="nil"/>
              <w:left w:val="nil"/>
              <w:bottom w:val="nil"/>
              <w:right w:val="nil"/>
            </w:tcBorders>
          </w:tcPr>
          <w:p w14:paraId="1F8CBAB3"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210</w:t>
            </w:r>
          </w:p>
        </w:tc>
      </w:tr>
      <w:tr w:rsidR="00EF2A33" w:rsidRPr="00EF2A33" w14:paraId="6F815966" w14:textId="77777777" w:rsidTr="00832972">
        <w:trPr>
          <w:trHeight w:val="306"/>
          <w:jc w:val="center"/>
        </w:trPr>
        <w:tc>
          <w:tcPr>
            <w:tcW w:w="1772" w:type="dxa"/>
            <w:tcBorders>
              <w:top w:val="nil"/>
              <w:left w:val="nil"/>
              <w:bottom w:val="nil"/>
              <w:right w:val="nil"/>
            </w:tcBorders>
            <w:hideMark/>
          </w:tcPr>
          <w:p w14:paraId="4988BA82" w14:textId="77777777" w:rsidR="007019A9" w:rsidRPr="00EF2A33" w:rsidRDefault="007019A9" w:rsidP="005C3EBC">
            <w:pPr>
              <w:widowControl w:val="0"/>
              <w:autoSpaceDE w:val="0"/>
              <w:autoSpaceDN w:val="0"/>
              <w:adjustRightInd w:val="0"/>
              <w:spacing w:after="0" w:line="240" w:lineRule="auto"/>
              <w:rPr>
                <w:rFonts w:eastAsiaTheme="minorEastAsia"/>
                <w:sz w:val="20"/>
                <w:szCs w:val="20"/>
              </w:rPr>
            </w:pPr>
            <w:r w:rsidRPr="00EF2A33">
              <w:rPr>
                <w:rFonts w:eastAsiaTheme="minorEastAsia"/>
                <w:sz w:val="20"/>
                <w:szCs w:val="20"/>
              </w:rPr>
              <w:t xml:space="preserve"> R-squared</w:t>
            </w:r>
          </w:p>
        </w:tc>
        <w:tc>
          <w:tcPr>
            <w:tcW w:w="1422" w:type="dxa"/>
            <w:tcBorders>
              <w:top w:val="nil"/>
              <w:left w:val="nil"/>
              <w:bottom w:val="nil"/>
              <w:right w:val="nil"/>
            </w:tcBorders>
            <w:hideMark/>
          </w:tcPr>
          <w:p w14:paraId="1D67F29B" w14:textId="44322896" w:rsidR="007019A9" w:rsidRPr="00EF2A33" w:rsidRDefault="00C82DC6"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0.71</w:t>
            </w:r>
          </w:p>
        </w:tc>
        <w:tc>
          <w:tcPr>
            <w:tcW w:w="1170" w:type="dxa"/>
            <w:tcBorders>
              <w:top w:val="nil"/>
              <w:left w:val="nil"/>
              <w:bottom w:val="nil"/>
              <w:right w:val="nil"/>
            </w:tcBorders>
          </w:tcPr>
          <w:p w14:paraId="37D2F4EF" w14:textId="28BD7944" w:rsidR="007019A9" w:rsidRPr="00EF2A33" w:rsidRDefault="005F7775"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0.59</w:t>
            </w:r>
          </w:p>
        </w:tc>
        <w:tc>
          <w:tcPr>
            <w:tcW w:w="1080" w:type="dxa"/>
            <w:tcBorders>
              <w:top w:val="nil"/>
              <w:left w:val="nil"/>
              <w:bottom w:val="nil"/>
              <w:right w:val="nil"/>
            </w:tcBorders>
          </w:tcPr>
          <w:p w14:paraId="330B3962" w14:textId="4473B8D1" w:rsidR="007019A9" w:rsidRPr="00EF2A33" w:rsidRDefault="0069238F"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0.16</w:t>
            </w:r>
          </w:p>
        </w:tc>
        <w:tc>
          <w:tcPr>
            <w:tcW w:w="1170" w:type="dxa"/>
            <w:tcBorders>
              <w:top w:val="nil"/>
              <w:left w:val="nil"/>
              <w:bottom w:val="nil"/>
              <w:right w:val="nil"/>
            </w:tcBorders>
          </w:tcPr>
          <w:p w14:paraId="50A54628" w14:textId="77777777" w:rsidR="007019A9" w:rsidRPr="00EF2A33" w:rsidRDefault="007019A9" w:rsidP="005C3EBC">
            <w:pPr>
              <w:widowControl w:val="0"/>
              <w:autoSpaceDE w:val="0"/>
              <w:autoSpaceDN w:val="0"/>
              <w:adjustRightInd w:val="0"/>
              <w:spacing w:after="0" w:line="240" w:lineRule="auto"/>
              <w:jc w:val="center"/>
              <w:rPr>
                <w:rFonts w:eastAsiaTheme="minorEastAsia"/>
                <w:sz w:val="20"/>
                <w:szCs w:val="20"/>
              </w:rPr>
            </w:pPr>
            <w:r w:rsidRPr="00EF2A33">
              <w:rPr>
                <w:rFonts w:eastAsiaTheme="minorEastAsia"/>
                <w:sz w:val="20"/>
                <w:szCs w:val="20"/>
              </w:rPr>
              <w:t>0.50</w:t>
            </w:r>
          </w:p>
        </w:tc>
      </w:tr>
      <w:tr w:rsidR="00436DB7" w:rsidRPr="00EF2A33" w14:paraId="3CB266F5" w14:textId="77777777" w:rsidTr="005C3EBC">
        <w:trPr>
          <w:trHeight w:val="306"/>
          <w:jc w:val="center"/>
        </w:trPr>
        <w:tc>
          <w:tcPr>
            <w:tcW w:w="6614" w:type="dxa"/>
            <w:gridSpan w:val="5"/>
            <w:tcBorders>
              <w:top w:val="nil"/>
              <w:left w:val="nil"/>
              <w:bottom w:val="nil"/>
              <w:right w:val="nil"/>
            </w:tcBorders>
          </w:tcPr>
          <w:p w14:paraId="504F9B56" w14:textId="05978CAE" w:rsidR="007019A9" w:rsidRPr="00EF2A33" w:rsidRDefault="007019A9" w:rsidP="00D56201">
            <w:pPr>
              <w:pBdr>
                <w:top w:val="single" w:sz="4" w:space="1" w:color="auto"/>
                <w:bottom w:val="single" w:sz="4" w:space="1" w:color="auto"/>
              </w:pBdr>
              <w:spacing w:line="240" w:lineRule="auto"/>
              <w:rPr>
                <w:sz w:val="20"/>
                <w:szCs w:val="20"/>
                <w:lang w:val="en-GB"/>
              </w:rPr>
            </w:pPr>
            <w:r w:rsidRPr="00EF2A33">
              <w:rPr>
                <w:sz w:val="20"/>
                <w:szCs w:val="20"/>
                <w:lang w:val="en-GB"/>
              </w:rPr>
              <w:t xml:space="preserve">Notes: (1) *, **, *** </w:t>
            </w:r>
            <w:r w:rsidRPr="00EF2A33">
              <w:rPr>
                <w:rFonts w:eastAsia="Calibri"/>
                <w:sz w:val="20"/>
                <w:szCs w:val="20"/>
                <w:lang w:val="en-GB"/>
              </w:rPr>
              <w:t>indicate significance at the 10%, 5%, and 1% confidenc</w:t>
            </w:r>
            <w:r w:rsidRPr="00EF2A33">
              <w:rPr>
                <w:sz w:val="20"/>
                <w:szCs w:val="20"/>
                <w:lang w:val="en-GB"/>
              </w:rPr>
              <w:t>e</w:t>
            </w:r>
            <w:r w:rsidR="009E63CF" w:rsidRPr="00EF2A33">
              <w:rPr>
                <w:sz w:val="20"/>
                <w:szCs w:val="20"/>
                <w:lang w:val="en-GB"/>
              </w:rPr>
              <w:t xml:space="preserve"> levels</w:t>
            </w:r>
            <w:r w:rsidRPr="00EF2A33">
              <w:rPr>
                <w:sz w:val="20"/>
                <w:szCs w:val="20"/>
                <w:lang w:val="en-GB"/>
              </w:rPr>
              <w:t xml:space="preserve">, respectively. (2) See Table 2 for </w:t>
            </w:r>
            <w:r w:rsidRPr="00EF2A33">
              <w:rPr>
                <w:rFonts w:eastAsia="Calibri"/>
                <w:sz w:val="20"/>
                <w:szCs w:val="20"/>
                <w:lang w:val="en-GB"/>
              </w:rPr>
              <w:t>the variable definitions.</w:t>
            </w:r>
          </w:p>
          <w:p w14:paraId="190700B2" w14:textId="77777777" w:rsidR="007019A9" w:rsidRPr="00EF2A33" w:rsidRDefault="007019A9" w:rsidP="005C3EBC">
            <w:pPr>
              <w:widowControl w:val="0"/>
              <w:autoSpaceDE w:val="0"/>
              <w:autoSpaceDN w:val="0"/>
              <w:adjustRightInd w:val="0"/>
              <w:spacing w:after="0" w:line="240" w:lineRule="auto"/>
              <w:jc w:val="left"/>
              <w:rPr>
                <w:rFonts w:eastAsiaTheme="minorEastAsia"/>
                <w:sz w:val="20"/>
                <w:szCs w:val="20"/>
              </w:rPr>
            </w:pPr>
            <w:r w:rsidRPr="00EF2A33">
              <w:rPr>
                <w:sz w:val="20"/>
                <w:szCs w:val="20"/>
              </w:rPr>
              <w:lastRenderedPageBreak/>
              <w:t>Source: Authors’ own work</w:t>
            </w:r>
          </w:p>
        </w:tc>
      </w:tr>
    </w:tbl>
    <w:p w14:paraId="704FC4BF" w14:textId="77777777" w:rsidR="007A2BB6" w:rsidRPr="00EF2A33" w:rsidRDefault="007A2BB6" w:rsidP="003D243F">
      <w:pPr>
        <w:widowControl w:val="0"/>
        <w:autoSpaceDE w:val="0"/>
        <w:autoSpaceDN w:val="0"/>
        <w:adjustRightInd w:val="0"/>
        <w:spacing w:after="0"/>
        <w:rPr>
          <w:lang w:val="en-GB"/>
        </w:rPr>
      </w:pPr>
    </w:p>
    <w:p w14:paraId="4051E8DA" w14:textId="77777777" w:rsidR="001A0C7E" w:rsidRPr="00EF2A33" w:rsidRDefault="001A0C7E" w:rsidP="003D243F">
      <w:pPr>
        <w:widowControl w:val="0"/>
        <w:autoSpaceDE w:val="0"/>
        <w:autoSpaceDN w:val="0"/>
        <w:adjustRightInd w:val="0"/>
        <w:spacing w:after="0"/>
        <w:rPr>
          <w:lang w:val="en-GB"/>
        </w:rPr>
      </w:pPr>
    </w:p>
    <w:p w14:paraId="3177A9D5" w14:textId="06FBED68" w:rsidR="00D4160C" w:rsidRPr="00EF2A33" w:rsidRDefault="005D2A58" w:rsidP="00A374FD">
      <w:pPr>
        <w:widowControl w:val="0"/>
        <w:autoSpaceDE w:val="0"/>
        <w:autoSpaceDN w:val="0"/>
        <w:adjustRightInd w:val="0"/>
        <w:rPr>
          <w:lang w:val="en-GB"/>
        </w:rPr>
      </w:pPr>
      <w:r w:rsidRPr="00EF2A33">
        <w:rPr>
          <w:lang w:val="en-GB"/>
        </w:rPr>
        <w:t>Model 1 in Table 5 presents</w:t>
      </w:r>
      <w:r w:rsidR="00BC5DAC" w:rsidRPr="00EF2A33">
        <w:rPr>
          <w:lang w:val="en-GB"/>
        </w:rPr>
        <w:t xml:space="preserve"> the influence of ownership structure and board characteristics on ROA. The results show that</w:t>
      </w:r>
      <w:r w:rsidR="006573F8" w:rsidRPr="00EF2A33">
        <w:rPr>
          <w:lang w:val="en-GB"/>
        </w:rPr>
        <w:t xml:space="preserve"> foreign ownership and sponsor ownership are statistically positive significant to ROA </w:t>
      </w:r>
      <w:r w:rsidR="00684E5F" w:rsidRPr="00EF2A33">
        <w:rPr>
          <w:lang w:val="en-GB"/>
        </w:rPr>
        <w:t xml:space="preserve">at the 1% level </w:t>
      </w:r>
      <w:r w:rsidR="006573F8" w:rsidRPr="00EF2A33">
        <w:rPr>
          <w:lang w:val="en-GB"/>
        </w:rPr>
        <w:t xml:space="preserve">that supports our </w:t>
      </w:r>
      <w:r w:rsidR="00A914F9" w:rsidRPr="00EF2A33">
        <w:rPr>
          <w:lang w:val="en-GB"/>
        </w:rPr>
        <w:t xml:space="preserve">Hypothesis 2 and </w:t>
      </w:r>
      <w:r w:rsidR="006573F8" w:rsidRPr="00EF2A33">
        <w:rPr>
          <w:lang w:val="en-GB"/>
        </w:rPr>
        <w:t xml:space="preserve">3. </w:t>
      </w:r>
      <w:r w:rsidR="0042455F" w:rsidRPr="00EF2A33">
        <w:rPr>
          <w:lang w:val="en-GB"/>
        </w:rPr>
        <w:t xml:space="preserve">This positive relationship </w:t>
      </w:r>
      <w:r w:rsidR="00DD52D6" w:rsidRPr="00EF2A33">
        <w:rPr>
          <w:lang w:val="en-GB"/>
        </w:rPr>
        <w:t>is consistent with the theoretical perception that foreign ownership and sponsor directors tend to improve ROA</w:t>
      </w:r>
      <w:r w:rsidR="0042455F" w:rsidRPr="00EF2A33">
        <w:rPr>
          <w:lang w:val="en-GB"/>
        </w:rPr>
        <w:t xml:space="preserve">. </w:t>
      </w:r>
      <w:r w:rsidR="00D4160C" w:rsidRPr="00EF2A33">
        <w:rPr>
          <w:lang w:val="en-GB"/>
        </w:rPr>
        <w:t>The positive association between foreign ownership, director ownership, and firm performance mirrors earlier studies emphasizing the constructive impact of substantial shareholder engagement in the company's decision-making processes (</w:t>
      </w:r>
      <w:proofErr w:type="spellStart"/>
      <w:r w:rsidR="00D4160C" w:rsidRPr="00EF2A33">
        <w:rPr>
          <w:lang w:val="en-GB"/>
        </w:rPr>
        <w:t>Schnatterly</w:t>
      </w:r>
      <w:proofErr w:type="spellEnd"/>
      <w:r w:rsidR="00D4160C" w:rsidRPr="00EF2A33">
        <w:rPr>
          <w:lang w:val="en-GB"/>
        </w:rPr>
        <w:t xml:space="preserve"> et al., 2008; </w:t>
      </w:r>
      <w:proofErr w:type="spellStart"/>
      <w:r w:rsidR="00D4160C" w:rsidRPr="00EF2A33">
        <w:rPr>
          <w:lang w:val="en-GB"/>
        </w:rPr>
        <w:t>Colpan</w:t>
      </w:r>
      <w:proofErr w:type="spellEnd"/>
      <w:r w:rsidR="00D4160C" w:rsidRPr="00EF2A33">
        <w:rPr>
          <w:lang w:val="en-GB"/>
        </w:rPr>
        <w:t xml:space="preserve"> and Yoshikawa, 2012). These results uphold the agency theory, positing that shareholders with significant stakes in the company are more likely to align managerial actions with their interests, thereby enhancing firm performance (Jensen and Meckling, 1976).</w:t>
      </w:r>
    </w:p>
    <w:p w14:paraId="22180D3E" w14:textId="45144962" w:rsidR="000377D3" w:rsidRPr="00EF2A33" w:rsidRDefault="006573F8" w:rsidP="00A374FD">
      <w:pPr>
        <w:widowControl w:val="0"/>
        <w:autoSpaceDE w:val="0"/>
        <w:autoSpaceDN w:val="0"/>
        <w:adjustRightInd w:val="0"/>
        <w:rPr>
          <w:lang w:val="en-GB"/>
        </w:rPr>
      </w:pPr>
      <w:r w:rsidRPr="00EF2A33">
        <w:rPr>
          <w:lang w:val="en-GB"/>
        </w:rPr>
        <w:t xml:space="preserve">In contrast, </w:t>
      </w:r>
      <w:r w:rsidR="00F83FFD" w:rsidRPr="00EF2A33">
        <w:rPr>
          <w:lang w:val="en-GB"/>
        </w:rPr>
        <w:t>institutional ownership and government ownership exhibit a negative significance with respect to ROA, thereby refuting Hypotheses 1 and 4. In terms of board composition, only the presence of independent directors demonstrates a positive and significant association with ROA, corroborating Hypothesis 6. Independent directors serve as influential agents, playing a pivotal role in enhancing ROA. However, this finding contradicts previous research by Rashid (2018) conducted in Bangladesh, suggesting that board structure has a limited impact on ROA. Consequently, these results challenge the theoretical premise that institutional ownership and government ownership offer an optimal framework for improving ROA.</w:t>
      </w:r>
    </w:p>
    <w:p w14:paraId="22D179FF" w14:textId="77777777" w:rsidR="00F83FFD" w:rsidRPr="00EF2A33" w:rsidRDefault="00F83FFD" w:rsidP="00F83FFD">
      <w:pPr>
        <w:widowControl w:val="0"/>
        <w:autoSpaceDE w:val="0"/>
        <w:autoSpaceDN w:val="0"/>
        <w:adjustRightInd w:val="0"/>
        <w:rPr>
          <w:lang w:val="en-GB"/>
        </w:rPr>
      </w:pPr>
      <w:r w:rsidRPr="00EF2A33">
        <w:rPr>
          <w:lang w:val="en-GB"/>
        </w:rPr>
        <w:t>Conversely, Model 2 presents significant negative evidence regarding the relationship between ROE and government ownership structure, thereby rejecting Hypothesis 4. This outcome contradicts our theoretical expectation, raising concerns about the efficacy of government ownership in ensuring return on equity. This finding aligns with earlier studies that indicated firms with government ownership exhibited poorer performance compared to those with other ownership structures (Mollah et al., 2012; Zulkifli et al., 2017).</w:t>
      </w:r>
    </w:p>
    <w:p w14:paraId="3D8AFB75" w14:textId="19A6B996" w:rsidR="009E0A0F" w:rsidRPr="00EF2A33" w:rsidRDefault="00F83FFD" w:rsidP="00A374FD">
      <w:pPr>
        <w:widowControl w:val="0"/>
        <w:autoSpaceDE w:val="0"/>
        <w:autoSpaceDN w:val="0"/>
        <w:adjustRightInd w:val="0"/>
        <w:rPr>
          <w:lang w:val="en-GB"/>
        </w:rPr>
      </w:pPr>
      <w:r w:rsidRPr="00EF2A33">
        <w:rPr>
          <w:lang w:val="en-GB"/>
        </w:rPr>
        <w:t xml:space="preserve">Regarding the board composition, our analysis reveals a mixed outcome. Female directors and board meetings demonstrate statistically significant positive associations with ROE, consistent with findings from prior research (Xing &amp; Sil, 2021). However, board size, board independence, and family ownership exhibit negative significant associations, aligning with </w:t>
      </w:r>
      <w:r w:rsidRPr="00EF2A33">
        <w:rPr>
          <w:lang w:val="en-GB"/>
        </w:rPr>
        <w:lastRenderedPageBreak/>
        <w:t xml:space="preserve">earlier findings reported by Rashid (2018). </w:t>
      </w:r>
      <w:r w:rsidR="00AE2267" w:rsidRPr="00EF2A33">
        <w:rPr>
          <w:lang w:val="en-GB"/>
        </w:rPr>
        <w:t>The results do not confirm any significant relationship between ROE and</w:t>
      </w:r>
      <w:r w:rsidR="00D4533A" w:rsidRPr="00EF2A33">
        <w:rPr>
          <w:lang w:val="en-GB"/>
        </w:rPr>
        <w:t xml:space="preserve"> board independence, consistent</w:t>
      </w:r>
      <w:r w:rsidR="00AE2267" w:rsidRPr="00EF2A33">
        <w:rPr>
          <w:lang w:val="en-GB"/>
        </w:rPr>
        <w:t>.</w:t>
      </w:r>
      <w:r w:rsidR="00684E5F" w:rsidRPr="00EF2A33">
        <w:rPr>
          <w:lang w:val="en-GB"/>
        </w:rPr>
        <w:t xml:space="preserve"> </w:t>
      </w:r>
      <w:r w:rsidR="009E0A0F" w:rsidRPr="00EF2A33">
        <w:rPr>
          <w:lang w:val="en-GB"/>
        </w:rPr>
        <w:t xml:space="preserve">According to agency theory, independent directors are expected to act in the best interests of shareholders, mitigating agency problems. This unanticipated negative correlation challenges the conventional understanding that independent directors play a beneficial role in safeguarding shareholder interests (Shleifer and </w:t>
      </w:r>
      <w:proofErr w:type="spellStart"/>
      <w:r w:rsidR="009E0A0F" w:rsidRPr="00EF2A33">
        <w:rPr>
          <w:lang w:val="en-GB"/>
        </w:rPr>
        <w:t>Vishny</w:t>
      </w:r>
      <w:proofErr w:type="spellEnd"/>
      <w:r w:rsidR="009E0A0F" w:rsidRPr="00EF2A33">
        <w:rPr>
          <w:lang w:val="en-GB"/>
        </w:rPr>
        <w:t>, 1997; Yeh, 2019). This discovery raises intriguing questions about the effectiveness of board independence within the specific context of Bangladesh, aligning with some prior studies that have shown mixed results regarding the impact of board independence on firm performance (</w:t>
      </w:r>
      <w:proofErr w:type="spellStart"/>
      <w:r w:rsidR="009E0A0F" w:rsidRPr="00EF2A33">
        <w:rPr>
          <w:lang w:val="en-GB"/>
        </w:rPr>
        <w:t>Ruigrok</w:t>
      </w:r>
      <w:proofErr w:type="spellEnd"/>
      <w:r w:rsidR="009E0A0F" w:rsidRPr="00EF2A33">
        <w:rPr>
          <w:lang w:val="en-GB"/>
        </w:rPr>
        <w:t xml:space="preserve"> et al., 2006; Terjesen et al., 2016). </w:t>
      </w:r>
    </w:p>
    <w:p w14:paraId="2307D724" w14:textId="77777777" w:rsidR="00F83FFD" w:rsidRPr="00EF2A33" w:rsidRDefault="00F83FFD" w:rsidP="00A374FD">
      <w:pPr>
        <w:widowControl w:val="0"/>
        <w:autoSpaceDE w:val="0"/>
        <w:autoSpaceDN w:val="0"/>
        <w:adjustRightInd w:val="0"/>
        <w:rPr>
          <w:lang w:val="en-GB"/>
        </w:rPr>
      </w:pPr>
      <w:r w:rsidRPr="00EF2A33">
        <w:rPr>
          <w:lang w:val="en-GB"/>
        </w:rPr>
        <w:t>In Model 3 and Model 4, we examine the impact of ownership structure and board composition on market-based performance measures, specifically MTB and TOBINQ. Model 3 reveals a positive relationship between institutional ownership and MTB, aligning with Hypothesis 1. However, no significant relationships are found with other ownership structures. As for board characteristics, gender diversity and expertise demonstrate statistically significant positive effects on MTB, consistent with Hypotheses 7 and 8. Conversely, board independence and family control exhibit statistically negative associations with MTB, rejecting the hypotheses posited in Hypotheses 6 and 9.</w:t>
      </w:r>
    </w:p>
    <w:p w14:paraId="4CF8BE88" w14:textId="30AE1FD4" w:rsidR="00C67D29" w:rsidRPr="00EF2A33" w:rsidRDefault="008325AC" w:rsidP="00A374FD">
      <w:pPr>
        <w:widowControl w:val="0"/>
        <w:autoSpaceDE w:val="0"/>
        <w:autoSpaceDN w:val="0"/>
        <w:adjustRightInd w:val="0"/>
        <w:rPr>
          <w:lang w:val="en-GB"/>
        </w:rPr>
      </w:pPr>
      <w:r w:rsidRPr="00EF2A33">
        <w:rPr>
          <w:lang w:val="en-GB"/>
        </w:rPr>
        <w:t>Finally</w:t>
      </w:r>
      <w:r w:rsidR="00C67D29" w:rsidRPr="00EF2A33">
        <w:rPr>
          <w:lang w:val="en-GB"/>
        </w:rPr>
        <w:t xml:space="preserve">, Model 4 yield </w:t>
      </w:r>
      <w:r w:rsidR="00347274" w:rsidRPr="00EF2A33">
        <w:rPr>
          <w:lang w:val="en-GB"/>
        </w:rPr>
        <w:t>mixed result</w:t>
      </w:r>
      <w:r w:rsidR="00C67D29" w:rsidRPr="00EF2A33">
        <w:rPr>
          <w:lang w:val="en-GB"/>
        </w:rPr>
        <w:t xml:space="preserve"> </w:t>
      </w:r>
      <w:r w:rsidR="00BE24BC" w:rsidRPr="00EF2A33">
        <w:rPr>
          <w:lang w:val="en-GB"/>
        </w:rPr>
        <w:t>between</w:t>
      </w:r>
      <w:r w:rsidR="00C0032F" w:rsidRPr="00EF2A33">
        <w:rPr>
          <w:lang w:val="en-GB"/>
        </w:rPr>
        <w:t xml:space="preserve"> TOBINQ and ownership structure</w:t>
      </w:r>
      <w:r w:rsidR="00347274" w:rsidRPr="00EF2A33">
        <w:rPr>
          <w:lang w:val="en-GB"/>
        </w:rPr>
        <w:t xml:space="preserve"> as well as board matrix</w:t>
      </w:r>
      <w:r w:rsidR="00BE24BC" w:rsidRPr="00EF2A33">
        <w:rPr>
          <w:lang w:val="en-GB"/>
        </w:rPr>
        <w:t>.</w:t>
      </w:r>
      <w:r w:rsidR="00F84F42" w:rsidRPr="00EF2A33">
        <w:rPr>
          <w:lang w:val="en-GB"/>
        </w:rPr>
        <w:t xml:space="preserve"> </w:t>
      </w:r>
      <w:r w:rsidR="003132B2" w:rsidRPr="00EF2A33">
        <w:rPr>
          <w:lang w:val="en-GB"/>
        </w:rPr>
        <w:t xml:space="preserve">The results indicate </w:t>
      </w:r>
      <w:r w:rsidR="00F84F42" w:rsidRPr="00EF2A33">
        <w:rPr>
          <w:lang w:val="en-GB"/>
        </w:rPr>
        <w:t>that institutional ownership, sponsor directors and government ownership are s</w:t>
      </w:r>
      <w:r w:rsidR="00BA734D" w:rsidRPr="00EF2A33">
        <w:rPr>
          <w:lang w:val="en-GB"/>
        </w:rPr>
        <w:t xml:space="preserve">tatistically negative to TOBINQ, rejecting Hypothesis 1, 3 and 4. </w:t>
      </w:r>
      <w:r w:rsidRPr="00EF2A33">
        <w:rPr>
          <w:lang w:val="en-GB"/>
        </w:rPr>
        <w:t xml:space="preserve">Our results </w:t>
      </w:r>
      <w:r w:rsidR="00BA734D" w:rsidRPr="00EF2A33">
        <w:rPr>
          <w:lang w:val="en-GB"/>
        </w:rPr>
        <w:t>do not find any significant relationship between TOBINQ and foreign ownership.</w:t>
      </w:r>
      <w:r w:rsidR="00470F9C" w:rsidRPr="00EF2A33">
        <w:rPr>
          <w:lang w:val="en-GB"/>
        </w:rPr>
        <w:t xml:space="preserve"> </w:t>
      </w:r>
      <w:r w:rsidR="00CF7C4C" w:rsidRPr="00EF2A33">
        <w:rPr>
          <w:lang w:val="en-GB"/>
        </w:rPr>
        <w:t xml:space="preserve">Regarding </w:t>
      </w:r>
      <w:r w:rsidR="00470F9C" w:rsidRPr="00EF2A33">
        <w:rPr>
          <w:lang w:val="en-GB"/>
        </w:rPr>
        <w:t>the board characteristics</w:t>
      </w:r>
      <w:r w:rsidR="00595E50" w:rsidRPr="00EF2A33">
        <w:rPr>
          <w:lang w:val="en-GB"/>
        </w:rPr>
        <w:t xml:space="preserve"> in</w:t>
      </w:r>
      <w:r w:rsidR="005554D1" w:rsidRPr="00EF2A33">
        <w:rPr>
          <w:lang w:val="en-GB"/>
        </w:rPr>
        <w:t xml:space="preserve"> Model 4 exhibit a significant positive correlation between TOBINQ</w:t>
      </w:r>
      <w:r w:rsidR="002D2F71" w:rsidRPr="00EF2A33">
        <w:rPr>
          <w:lang w:val="en-GB"/>
        </w:rPr>
        <w:t xml:space="preserve"> </w:t>
      </w:r>
      <w:r w:rsidR="005554D1" w:rsidRPr="00EF2A33">
        <w:rPr>
          <w:lang w:val="en-GB"/>
        </w:rPr>
        <w:t xml:space="preserve">and </w:t>
      </w:r>
      <w:r w:rsidR="002D2F71" w:rsidRPr="00EF2A33">
        <w:rPr>
          <w:lang w:val="en-GB"/>
        </w:rPr>
        <w:t xml:space="preserve">board characteristics </w:t>
      </w:r>
      <w:r w:rsidR="005554D1" w:rsidRPr="00EF2A33">
        <w:rPr>
          <w:lang w:val="en-GB"/>
        </w:rPr>
        <w:t xml:space="preserve">where almost all the elements </w:t>
      </w:r>
      <w:r w:rsidR="002D2F71" w:rsidRPr="00EF2A33">
        <w:rPr>
          <w:lang w:val="en-GB"/>
        </w:rPr>
        <w:t xml:space="preserve">including board size, independent directors, female directors and meeting are statistically positive significant to TOBINQ, thus supporting Hypothesis 5, 6, 7 and 8. Our theoretical prediction is supported by these results. </w:t>
      </w:r>
      <w:r w:rsidR="002B71F6" w:rsidRPr="00EF2A33">
        <w:rPr>
          <w:lang w:val="en-GB"/>
        </w:rPr>
        <w:t xml:space="preserve">Conversely, family control and </w:t>
      </w:r>
      <w:proofErr w:type="gramStart"/>
      <w:r w:rsidR="002B71F6" w:rsidRPr="00EF2A33">
        <w:rPr>
          <w:lang w:val="en-GB"/>
        </w:rPr>
        <w:t>directors</w:t>
      </w:r>
      <w:proofErr w:type="gramEnd"/>
      <w:r w:rsidR="002B71F6" w:rsidRPr="00EF2A33">
        <w:rPr>
          <w:lang w:val="en-GB"/>
        </w:rPr>
        <w:t xml:space="preserve"> education are statistically negative significant to TOBINQ, rejecting our Hypothesis 9 and 10.</w:t>
      </w:r>
      <w:r w:rsidR="00341768" w:rsidRPr="00EF2A33">
        <w:rPr>
          <w:lang w:val="en-GB"/>
        </w:rPr>
        <w:t xml:space="preserve"> The findings are consistent with earlier suggestion of </w:t>
      </w:r>
      <w:r w:rsidR="00341768" w:rsidRPr="00EF2A33">
        <w:t xml:space="preserve">Din et al. (2022) and </w:t>
      </w:r>
      <w:r w:rsidR="00341768" w:rsidRPr="00EF2A33">
        <w:rPr>
          <w:lang w:val="en-GB"/>
        </w:rPr>
        <w:t>Fernández-Temprano &amp; Tejerina-</w:t>
      </w:r>
      <w:proofErr w:type="spellStart"/>
      <w:r w:rsidR="00341768" w:rsidRPr="00EF2A33">
        <w:rPr>
          <w:lang w:val="en-GB"/>
        </w:rPr>
        <w:t>Gaite</w:t>
      </w:r>
      <w:proofErr w:type="spellEnd"/>
      <w:r w:rsidR="00341768" w:rsidRPr="00EF2A33">
        <w:rPr>
          <w:lang w:val="en-GB"/>
        </w:rPr>
        <w:t xml:space="preserve"> (2020).</w:t>
      </w:r>
    </w:p>
    <w:p w14:paraId="59890216" w14:textId="6503803C" w:rsidR="004175E2" w:rsidRPr="00EF2A33" w:rsidRDefault="004175E2" w:rsidP="003D243F">
      <w:pPr>
        <w:widowControl w:val="0"/>
        <w:autoSpaceDE w:val="0"/>
        <w:autoSpaceDN w:val="0"/>
        <w:adjustRightInd w:val="0"/>
        <w:spacing w:after="0"/>
        <w:rPr>
          <w:lang w:val="en-GB"/>
        </w:rPr>
      </w:pPr>
    </w:p>
    <w:p w14:paraId="51EABB88" w14:textId="07CABE9D" w:rsidR="002D4DDA" w:rsidRPr="00EF2A33" w:rsidRDefault="002D4DDA" w:rsidP="002D4DDA">
      <w:pPr>
        <w:rPr>
          <w:b/>
          <w:bCs/>
          <w:i/>
          <w:iCs/>
          <w:lang w:val="en-GB"/>
        </w:rPr>
      </w:pPr>
      <w:bookmarkStart w:id="13" w:name="_Toc60915888"/>
      <w:r w:rsidRPr="00EF2A33">
        <w:rPr>
          <w:b/>
          <w:bCs/>
          <w:i/>
          <w:iCs/>
          <w:lang w:val="en-GB"/>
        </w:rPr>
        <w:t>6.3 Robustness Analysis</w:t>
      </w:r>
    </w:p>
    <w:p w14:paraId="7012635B" w14:textId="21281959" w:rsidR="00FE2061" w:rsidRPr="00EF2A33" w:rsidRDefault="00FC4F0B" w:rsidP="002D4DDA">
      <w:pPr>
        <w:rPr>
          <w:lang w:val="en-GB"/>
        </w:rPr>
      </w:pPr>
      <w:r w:rsidRPr="00EF2A33">
        <w:rPr>
          <w:b/>
          <w:bCs/>
          <w:iCs/>
          <w:lang w:val="en-GB"/>
        </w:rPr>
        <w:t>6.3.1 Lagged E</w:t>
      </w:r>
      <w:r w:rsidR="00364626" w:rsidRPr="00EF2A33">
        <w:rPr>
          <w:b/>
          <w:bCs/>
          <w:iCs/>
          <w:lang w:val="en-GB"/>
        </w:rPr>
        <w:t>ffect</w:t>
      </w:r>
      <w:r w:rsidR="008C2746" w:rsidRPr="00EF2A33">
        <w:rPr>
          <w:b/>
          <w:bCs/>
          <w:iCs/>
          <w:lang w:val="en-GB"/>
        </w:rPr>
        <w:t>s</w:t>
      </w:r>
      <w:r w:rsidR="00364626" w:rsidRPr="00EF2A33">
        <w:rPr>
          <w:b/>
          <w:bCs/>
          <w:iCs/>
          <w:lang w:val="en-GB"/>
        </w:rPr>
        <w:t>:</w:t>
      </w:r>
      <w:r w:rsidR="003E3526" w:rsidRPr="00EF2A33">
        <w:rPr>
          <w:bCs/>
          <w:iCs/>
          <w:lang w:val="en-GB"/>
        </w:rPr>
        <w:t xml:space="preserve"> </w:t>
      </w:r>
      <w:r w:rsidR="003E3526" w:rsidRPr="00EF2A33">
        <w:rPr>
          <w:lang w:val="en-GB"/>
        </w:rPr>
        <w:t xml:space="preserve">As part of a robustness check, we attempt to explore the lagged effect because the influence of independent variables (foreign ownership, institutional ownership, </w:t>
      </w:r>
      <w:r w:rsidR="003E3526" w:rsidRPr="00EF2A33">
        <w:rPr>
          <w:lang w:val="en-GB"/>
        </w:rPr>
        <w:lastRenderedPageBreak/>
        <w:t xml:space="preserve">sponsor </w:t>
      </w:r>
      <w:r w:rsidR="00F033B8" w:rsidRPr="00EF2A33">
        <w:rPr>
          <w:lang w:val="en-GB"/>
        </w:rPr>
        <w:t xml:space="preserve">and </w:t>
      </w:r>
      <w:proofErr w:type="gramStart"/>
      <w:r w:rsidR="003E3526" w:rsidRPr="00EF2A33">
        <w:rPr>
          <w:lang w:val="en-GB"/>
        </w:rPr>
        <w:t>directors</w:t>
      </w:r>
      <w:proofErr w:type="gramEnd"/>
      <w:r w:rsidR="00F033B8" w:rsidRPr="00EF2A33">
        <w:rPr>
          <w:lang w:val="en-GB"/>
        </w:rPr>
        <w:t xml:space="preserve"> ownership, government ownership</w:t>
      </w:r>
      <w:r w:rsidR="003E3526" w:rsidRPr="00EF2A33">
        <w:rPr>
          <w:lang w:val="en-GB"/>
        </w:rPr>
        <w:t>, board independence</w:t>
      </w:r>
      <w:r w:rsidR="00F033B8" w:rsidRPr="00EF2A33">
        <w:rPr>
          <w:lang w:val="en-GB"/>
        </w:rPr>
        <w:t>,</w:t>
      </w:r>
      <w:r w:rsidR="003E3526" w:rsidRPr="00EF2A33">
        <w:rPr>
          <w:lang w:val="en-GB"/>
        </w:rPr>
        <w:t xml:space="preserve"> board size</w:t>
      </w:r>
      <w:r w:rsidR="00F033B8" w:rsidRPr="00EF2A33">
        <w:rPr>
          <w:lang w:val="en-GB"/>
        </w:rPr>
        <w:t xml:space="preserve">, female directors, </w:t>
      </w:r>
      <w:r w:rsidR="00FA38FE" w:rsidRPr="00EF2A33">
        <w:rPr>
          <w:lang w:val="en-GB"/>
        </w:rPr>
        <w:t xml:space="preserve">board </w:t>
      </w:r>
      <w:r w:rsidR="00793C29" w:rsidRPr="00EF2A33">
        <w:rPr>
          <w:lang w:val="en-GB"/>
        </w:rPr>
        <w:t>expertise</w:t>
      </w:r>
      <w:r w:rsidR="00F033B8" w:rsidRPr="00EF2A33">
        <w:rPr>
          <w:lang w:val="en-GB"/>
        </w:rPr>
        <w:t>, family ownership and directors’ education</w:t>
      </w:r>
      <w:r w:rsidR="003E3526" w:rsidRPr="00EF2A33">
        <w:rPr>
          <w:lang w:val="en-GB"/>
        </w:rPr>
        <w:t xml:space="preserve">) on the dependent variables (ROA, ROE, </w:t>
      </w:r>
      <w:r w:rsidR="00AC7CD0" w:rsidRPr="00EF2A33">
        <w:rPr>
          <w:lang w:val="en-GB"/>
        </w:rPr>
        <w:t xml:space="preserve">MTB </w:t>
      </w:r>
      <w:r w:rsidR="003E3526" w:rsidRPr="00EF2A33">
        <w:rPr>
          <w:lang w:val="en-GB"/>
        </w:rPr>
        <w:t>and</w:t>
      </w:r>
      <w:r w:rsidR="003E3526" w:rsidRPr="00EF2A33">
        <w:t xml:space="preserve"> TOBINQ</w:t>
      </w:r>
      <w:r w:rsidR="003E3526" w:rsidRPr="00EF2A33">
        <w:rPr>
          <w:lang w:val="en-GB"/>
        </w:rPr>
        <w:t>) may unfold gradually with changes manifesting over time.</w:t>
      </w:r>
      <w:r w:rsidR="00A15712" w:rsidRPr="00EF2A33">
        <w:rPr>
          <w:lang w:val="en-GB"/>
        </w:rPr>
        <w:t xml:space="preserve"> Using a lagging dependent variable, </w:t>
      </w:r>
      <w:r w:rsidR="004939A1" w:rsidRPr="00EF2A33">
        <w:rPr>
          <w:lang w:val="en-GB"/>
        </w:rPr>
        <w:t>ROA, ROE,</w:t>
      </w:r>
      <w:r w:rsidR="00F508B5" w:rsidRPr="00EF2A33">
        <w:rPr>
          <w:lang w:val="en-GB"/>
        </w:rPr>
        <w:t xml:space="preserve"> </w:t>
      </w:r>
      <w:r w:rsidR="00820B33" w:rsidRPr="00EF2A33">
        <w:rPr>
          <w:lang w:val="en-GB"/>
        </w:rPr>
        <w:t>MTB</w:t>
      </w:r>
      <w:r w:rsidR="004939A1" w:rsidRPr="00EF2A33">
        <w:rPr>
          <w:lang w:val="en-GB"/>
        </w:rPr>
        <w:t xml:space="preserve"> and</w:t>
      </w:r>
      <w:r w:rsidR="004939A1" w:rsidRPr="00EF2A33">
        <w:t xml:space="preserve"> TOBINQ</w:t>
      </w:r>
      <w:r w:rsidR="00A15712" w:rsidRPr="00EF2A33">
        <w:rPr>
          <w:lang w:val="en-GB"/>
        </w:rPr>
        <w:t>, we approximated Models 1–</w:t>
      </w:r>
      <w:r w:rsidR="00A50182" w:rsidRPr="00EF2A33">
        <w:rPr>
          <w:lang w:val="en-GB"/>
        </w:rPr>
        <w:t>4</w:t>
      </w:r>
      <w:r w:rsidR="00A15712" w:rsidRPr="00EF2A33">
        <w:rPr>
          <w:lang w:val="en-GB"/>
        </w:rPr>
        <w:t xml:space="preserve"> </w:t>
      </w:r>
      <w:r w:rsidR="00B63C07" w:rsidRPr="00EF2A33">
        <w:rPr>
          <w:lang w:val="en-GB"/>
        </w:rPr>
        <w:t>in Table 6</w:t>
      </w:r>
      <w:r w:rsidR="008B17F7" w:rsidRPr="00EF2A33">
        <w:rPr>
          <w:lang w:val="en-GB"/>
        </w:rPr>
        <w:t xml:space="preserve"> </w:t>
      </w:r>
      <w:r w:rsidR="00A15712" w:rsidRPr="00EF2A33">
        <w:rPr>
          <w:lang w:val="en-GB"/>
        </w:rPr>
        <w:t>for the purposes of exploring this time dynamic.</w:t>
      </w:r>
      <w:r w:rsidR="00D91F2B" w:rsidRPr="00EF2A33">
        <w:rPr>
          <w:lang w:val="en-GB"/>
        </w:rPr>
        <w:t xml:space="preserve"> It is important to note that these lagging variable results essentially replicate our original findings, reinforcing the robustness and consistency of the observed relationships. </w:t>
      </w:r>
      <w:r w:rsidR="00C33026" w:rsidRPr="00EF2A33">
        <w:rPr>
          <w:lang w:val="en-GB"/>
        </w:rPr>
        <w:t xml:space="preserve">Model 1 </w:t>
      </w:r>
      <w:r w:rsidR="00217233" w:rsidRPr="00EF2A33">
        <w:rPr>
          <w:lang w:val="en-GB"/>
        </w:rPr>
        <w:t>in</w:t>
      </w:r>
      <w:r w:rsidR="00C33026" w:rsidRPr="00EF2A33">
        <w:rPr>
          <w:lang w:val="en-GB"/>
        </w:rPr>
        <w:t xml:space="preserve"> </w:t>
      </w:r>
      <w:r w:rsidR="008B17F7" w:rsidRPr="00EF2A33">
        <w:rPr>
          <w:lang w:val="en-GB"/>
        </w:rPr>
        <w:t xml:space="preserve">Table </w:t>
      </w:r>
      <w:r w:rsidR="00B63C07" w:rsidRPr="00EF2A33">
        <w:rPr>
          <w:lang w:val="en-GB"/>
        </w:rPr>
        <w:t>6</w:t>
      </w:r>
      <w:r w:rsidR="002669A0" w:rsidRPr="00EF2A33">
        <w:rPr>
          <w:lang w:val="en-GB"/>
        </w:rPr>
        <w:t xml:space="preserve"> shows the results to confirm that there is a favourable and significant impact of foreigners' ownership, sponsor directors, </w:t>
      </w:r>
      <w:r w:rsidR="003838BF" w:rsidRPr="00EF2A33">
        <w:rPr>
          <w:lang w:val="en-GB"/>
        </w:rPr>
        <w:t>board size, and board independence</w:t>
      </w:r>
      <w:r w:rsidR="002669A0" w:rsidRPr="00EF2A33">
        <w:rPr>
          <w:lang w:val="en-GB"/>
        </w:rPr>
        <w:t xml:space="preserve"> on ROA while institutional ownership </w:t>
      </w:r>
      <w:r w:rsidR="0078243F" w:rsidRPr="00EF2A33">
        <w:rPr>
          <w:lang w:val="en-GB"/>
        </w:rPr>
        <w:t xml:space="preserve">and government ownership are </w:t>
      </w:r>
      <w:r w:rsidR="002669A0" w:rsidRPr="00EF2A33">
        <w:rPr>
          <w:lang w:val="en-GB"/>
        </w:rPr>
        <w:t>negative significant to ROA</w:t>
      </w:r>
      <w:r w:rsidR="00673DA3" w:rsidRPr="00EF2A33">
        <w:rPr>
          <w:lang w:val="en-GB"/>
        </w:rPr>
        <w:t xml:space="preserve"> which is consistent</w:t>
      </w:r>
      <w:r w:rsidR="009A6A52" w:rsidRPr="00EF2A33">
        <w:rPr>
          <w:lang w:val="en-GB"/>
        </w:rPr>
        <w:t xml:space="preserve"> to our main findings in Table 5</w:t>
      </w:r>
      <w:r w:rsidR="002669A0" w:rsidRPr="00EF2A33">
        <w:rPr>
          <w:lang w:val="en-GB"/>
        </w:rPr>
        <w:t xml:space="preserve">. </w:t>
      </w:r>
      <w:r w:rsidR="00FE097C" w:rsidRPr="00EF2A33">
        <w:rPr>
          <w:lang w:val="en-GB"/>
        </w:rPr>
        <w:t>Similarly</w:t>
      </w:r>
      <w:r w:rsidR="002669A0" w:rsidRPr="00EF2A33">
        <w:rPr>
          <w:lang w:val="en-GB"/>
        </w:rPr>
        <w:t xml:space="preserve">, </w:t>
      </w:r>
      <w:r w:rsidR="008B17F7" w:rsidRPr="00EF2A33">
        <w:rPr>
          <w:lang w:val="en-GB"/>
        </w:rPr>
        <w:t xml:space="preserve">Model 2 in Table </w:t>
      </w:r>
      <w:r w:rsidR="00B63C07" w:rsidRPr="00EF2A33">
        <w:rPr>
          <w:lang w:val="en-GB"/>
        </w:rPr>
        <w:t>6</w:t>
      </w:r>
      <w:r w:rsidR="00C33026" w:rsidRPr="00EF2A33">
        <w:rPr>
          <w:lang w:val="en-GB"/>
        </w:rPr>
        <w:t xml:space="preserve"> confirms the</w:t>
      </w:r>
      <w:r w:rsidR="00FA38FE" w:rsidRPr="00EF2A33">
        <w:rPr>
          <w:lang w:val="en-GB"/>
        </w:rPr>
        <w:t xml:space="preserve"> significant</w:t>
      </w:r>
      <w:r w:rsidR="00C33026" w:rsidRPr="00EF2A33">
        <w:rPr>
          <w:lang w:val="en-GB"/>
        </w:rPr>
        <w:t xml:space="preserve"> positive and substantial impact of </w:t>
      </w:r>
      <w:r w:rsidR="00CF187A" w:rsidRPr="00EF2A33">
        <w:rPr>
          <w:lang w:val="en-GB"/>
        </w:rPr>
        <w:t xml:space="preserve">board gender diversity and </w:t>
      </w:r>
      <w:r w:rsidR="00FA38FE" w:rsidRPr="00EF2A33">
        <w:rPr>
          <w:lang w:val="en-GB"/>
        </w:rPr>
        <w:t xml:space="preserve">board </w:t>
      </w:r>
      <w:r w:rsidR="00793C29" w:rsidRPr="00EF2A33">
        <w:rPr>
          <w:lang w:val="en-GB"/>
        </w:rPr>
        <w:t>expertise</w:t>
      </w:r>
      <w:r w:rsidR="00FA38FE" w:rsidRPr="00EF2A33">
        <w:rPr>
          <w:lang w:val="en-GB"/>
        </w:rPr>
        <w:t xml:space="preserve"> on ROE only while</w:t>
      </w:r>
      <w:r w:rsidR="00CF187A" w:rsidRPr="00EF2A33">
        <w:rPr>
          <w:lang w:val="en-GB"/>
        </w:rPr>
        <w:t xml:space="preserve"> statistically negative to</w:t>
      </w:r>
      <w:r w:rsidR="00FA38FE" w:rsidRPr="00EF2A33">
        <w:rPr>
          <w:lang w:val="en-GB"/>
        </w:rPr>
        <w:t xml:space="preserve"> </w:t>
      </w:r>
      <w:r w:rsidR="002B07F7" w:rsidRPr="00EF2A33">
        <w:rPr>
          <w:lang w:val="en-GB"/>
        </w:rPr>
        <w:t>government</w:t>
      </w:r>
      <w:r w:rsidR="00FA38FE" w:rsidRPr="00EF2A33">
        <w:rPr>
          <w:lang w:val="en-GB"/>
        </w:rPr>
        <w:t xml:space="preserve"> ownership</w:t>
      </w:r>
      <w:r w:rsidR="002B07F7" w:rsidRPr="00EF2A33">
        <w:rPr>
          <w:lang w:val="en-GB"/>
        </w:rPr>
        <w:t>,</w:t>
      </w:r>
      <w:r w:rsidR="00FA38FE" w:rsidRPr="00EF2A33">
        <w:rPr>
          <w:lang w:val="en-GB"/>
        </w:rPr>
        <w:t xml:space="preserve"> </w:t>
      </w:r>
      <w:r w:rsidR="002B07F7" w:rsidRPr="00EF2A33">
        <w:rPr>
          <w:lang w:val="en-GB"/>
        </w:rPr>
        <w:t xml:space="preserve">board </w:t>
      </w:r>
      <w:r w:rsidR="00CF187A" w:rsidRPr="00EF2A33">
        <w:rPr>
          <w:lang w:val="en-GB"/>
        </w:rPr>
        <w:t>independence</w:t>
      </w:r>
      <w:r w:rsidR="002B07F7" w:rsidRPr="00EF2A33">
        <w:rPr>
          <w:lang w:val="en-GB"/>
        </w:rPr>
        <w:t>,</w:t>
      </w:r>
      <w:r w:rsidR="00FA38FE" w:rsidRPr="00EF2A33">
        <w:rPr>
          <w:lang w:val="en-GB"/>
        </w:rPr>
        <w:t xml:space="preserve"> </w:t>
      </w:r>
      <w:r w:rsidR="008E4DF1" w:rsidRPr="00EF2A33">
        <w:rPr>
          <w:lang w:val="en-GB"/>
        </w:rPr>
        <w:t xml:space="preserve">and </w:t>
      </w:r>
      <w:r w:rsidR="00FA38FE" w:rsidRPr="00EF2A33">
        <w:rPr>
          <w:lang w:val="en-GB"/>
        </w:rPr>
        <w:t xml:space="preserve">family </w:t>
      </w:r>
      <w:r w:rsidR="00CF187A" w:rsidRPr="00EF2A33">
        <w:rPr>
          <w:lang w:val="en-GB"/>
        </w:rPr>
        <w:t>control</w:t>
      </w:r>
      <w:r w:rsidR="00FA38FE" w:rsidRPr="00EF2A33">
        <w:rPr>
          <w:lang w:val="en-GB"/>
        </w:rPr>
        <w:t xml:space="preserve"> </w:t>
      </w:r>
      <w:r w:rsidR="00940609" w:rsidRPr="00EF2A33">
        <w:rPr>
          <w:lang w:val="en-GB"/>
        </w:rPr>
        <w:t xml:space="preserve">which is consistent with our main findings. </w:t>
      </w:r>
    </w:p>
    <w:p w14:paraId="7B3261A7" w14:textId="2489EFAD" w:rsidR="001715EB" w:rsidRPr="00EF2A33" w:rsidRDefault="00A339E4" w:rsidP="002D4DDA">
      <w:pPr>
        <w:rPr>
          <w:lang w:val="en-GB"/>
        </w:rPr>
      </w:pPr>
      <w:r w:rsidRPr="00EF2A33">
        <w:rPr>
          <w:lang w:val="en-GB"/>
        </w:rPr>
        <w:t>Model 3</w:t>
      </w:r>
      <w:r w:rsidR="007D440E" w:rsidRPr="00EF2A33">
        <w:rPr>
          <w:lang w:val="en-GB"/>
        </w:rPr>
        <w:t xml:space="preserve"> </w:t>
      </w:r>
      <w:r w:rsidR="008B17F7" w:rsidRPr="00EF2A33">
        <w:rPr>
          <w:lang w:val="en-GB"/>
        </w:rPr>
        <w:t xml:space="preserve">in Table </w:t>
      </w:r>
      <w:r w:rsidR="00B63C07" w:rsidRPr="00EF2A33">
        <w:rPr>
          <w:lang w:val="en-GB"/>
        </w:rPr>
        <w:t>6</w:t>
      </w:r>
      <w:r w:rsidRPr="00EF2A33">
        <w:rPr>
          <w:lang w:val="en-GB"/>
        </w:rPr>
        <w:t xml:space="preserve"> </w:t>
      </w:r>
      <w:r w:rsidR="00C05C02" w:rsidRPr="00EF2A33">
        <w:rPr>
          <w:lang w:val="en-GB"/>
        </w:rPr>
        <w:t xml:space="preserve">exhibit </w:t>
      </w:r>
      <w:r w:rsidRPr="00EF2A33">
        <w:rPr>
          <w:lang w:val="en-GB"/>
        </w:rPr>
        <w:t xml:space="preserve">the </w:t>
      </w:r>
      <w:r w:rsidR="00C05C02" w:rsidRPr="00EF2A33">
        <w:rPr>
          <w:lang w:val="en-GB"/>
        </w:rPr>
        <w:t>market-based</w:t>
      </w:r>
      <w:r w:rsidRPr="00EF2A33">
        <w:rPr>
          <w:lang w:val="en-GB"/>
        </w:rPr>
        <w:t xml:space="preserve"> performance </w:t>
      </w:r>
      <w:r w:rsidR="007D440E" w:rsidRPr="00EF2A33">
        <w:rPr>
          <w:lang w:val="en-GB"/>
        </w:rPr>
        <w:t>where institutional</w:t>
      </w:r>
      <w:r w:rsidRPr="00EF2A33">
        <w:rPr>
          <w:lang w:val="en-GB"/>
        </w:rPr>
        <w:t xml:space="preserve"> ownership</w:t>
      </w:r>
      <w:r w:rsidR="007D440E" w:rsidRPr="00EF2A33">
        <w:rPr>
          <w:lang w:val="en-GB"/>
        </w:rPr>
        <w:t xml:space="preserve">, female director and board </w:t>
      </w:r>
      <w:r w:rsidR="00793C29" w:rsidRPr="00EF2A33">
        <w:rPr>
          <w:lang w:val="en-GB"/>
        </w:rPr>
        <w:t>expertise</w:t>
      </w:r>
      <w:r w:rsidR="007D440E" w:rsidRPr="00EF2A33">
        <w:rPr>
          <w:lang w:val="en-GB"/>
        </w:rPr>
        <w:t xml:space="preserve"> are statistically positive significant to MTB</w:t>
      </w:r>
      <w:r w:rsidR="00343F57" w:rsidRPr="00EF2A33">
        <w:rPr>
          <w:lang w:val="en-GB"/>
        </w:rPr>
        <w:t xml:space="preserve">, supporting our main findings </w:t>
      </w:r>
      <w:r w:rsidR="005A767E" w:rsidRPr="00EF2A33">
        <w:rPr>
          <w:lang w:val="en-GB"/>
        </w:rPr>
        <w:t>in Table</w:t>
      </w:r>
      <w:r w:rsidR="00343F57" w:rsidRPr="00EF2A33">
        <w:rPr>
          <w:lang w:val="en-GB"/>
        </w:rPr>
        <w:t xml:space="preserve"> 5</w:t>
      </w:r>
      <w:r w:rsidR="000645A2" w:rsidRPr="00EF2A33">
        <w:rPr>
          <w:lang w:val="en-GB"/>
        </w:rPr>
        <w:t xml:space="preserve">. </w:t>
      </w:r>
      <w:r w:rsidR="005A767E" w:rsidRPr="00EF2A33">
        <w:rPr>
          <w:lang w:val="en-GB"/>
        </w:rPr>
        <w:t>In</w:t>
      </w:r>
      <w:r w:rsidR="008E4DF1" w:rsidRPr="00EF2A33">
        <w:rPr>
          <w:lang w:val="en-GB"/>
        </w:rPr>
        <w:t xml:space="preserve"> </w:t>
      </w:r>
      <w:r w:rsidR="005A767E" w:rsidRPr="00EF2A33">
        <w:rPr>
          <w:lang w:val="en-GB"/>
        </w:rPr>
        <w:t>contrast</w:t>
      </w:r>
      <w:r w:rsidR="000645A2" w:rsidRPr="00EF2A33">
        <w:rPr>
          <w:lang w:val="en-GB"/>
        </w:rPr>
        <w:t xml:space="preserve">, board independence, family ownership and </w:t>
      </w:r>
      <w:r w:rsidR="00C05C02" w:rsidRPr="00EF2A33">
        <w:rPr>
          <w:lang w:val="en-GB"/>
        </w:rPr>
        <w:t xml:space="preserve">directors' </w:t>
      </w:r>
      <w:r w:rsidR="000645A2" w:rsidRPr="00EF2A33">
        <w:rPr>
          <w:lang w:val="en-GB"/>
        </w:rPr>
        <w:t xml:space="preserve">education are </w:t>
      </w:r>
      <w:r w:rsidR="00C05C02" w:rsidRPr="00EF2A33">
        <w:rPr>
          <w:lang w:val="en-GB"/>
        </w:rPr>
        <w:t xml:space="preserve">negatively </w:t>
      </w:r>
      <w:r w:rsidR="000645A2" w:rsidRPr="00EF2A33">
        <w:rPr>
          <w:lang w:val="en-GB"/>
        </w:rPr>
        <w:t>significant to MTB</w:t>
      </w:r>
      <w:r w:rsidR="008E4DF1" w:rsidRPr="00EF2A33">
        <w:rPr>
          <w:lang w:val="en-GB"/>
        </w:rPr>
        <w:t xml:space="preserve"> which is also </w:t>
      </w:r>
      <w:proofErr w:type="gramStart"/>
      <w:r w:rsidR="008E4DF1" w:rsidRPr="00EF2A33">
        <w:rPr>
          <w:lang w:val="en-GB"/>
        </w:rPr>
        <w:t>similar to</w:t>
      </w:r>
      <w:proofErr w:type="gramEnd"/>
      <w:r w:rsidR="008E4DF1" w:rsidRPr="00EF2A33">
        <w:rPr>
          <w:lang w:val="en-GB"/>
        </w:rPr>
        <w:t xml:space="preserve"> our previous findings</w:t>
      </w:r>
      <w:r w:rsidR="000645A2" w:rsidRPr="00EF2A33">
        <w:rPr>
          <w:lang w:val="en-GB"/>
        </w:rPr>
        <w:t>.</w:t>
      </w:r>
      <w:r w:rsidR="001B5764" w:rsidRPr="00EF2A33">
        <w:rPr>
          <w:lang w:val="en-GB"/>
        </w:rPr>
        <w:t xml:space="preserve"> Regarding the TOBINQ in Model 4, we find almost </w:t>
      </w:r>
      <w:r w:rsidR="00F245F1" w:rsidRPr="00EF2A33">
        <w:rPr>
          <w:lang w:val="en-GB"/>
        </w:rPr>
        <w:t xml:space="preserve">all </w:t>
      </w:r>
      <w:r w:rsidR="003567B1" w:rsidRPr="00EF2A33">
        <w:rPr>
          <w:lang w:val="en-GB"/>
        </w:rPr>
        <w:t xml:space="preserve">the </w:t>
      </w:r>
      <w:r w:rsidR="001B5764" w:rsidRPr="00EF2A33">
        <w:rPr>
          <w:lang w:val="en-GB"/>
        </w:rPr>
        <w:t xml:space="preserve">ownership </w:t>
      </w:r>
      <w:r w:rsidR="003567B1" w:rsidRPr="00EF2A33">
        <w:rPr>
          <w:lang w:val="en-GB"/>
        </w:rPr>
        <w:t>matrixes are</w:t>
      </w:r>
      <w:r w:rsidR="001B5764" w:rsidRPr="00EF2A33">
        <w:rPr>
          <w:lang w:val="en-GB"/>
        </w:rPr>
        <w:t xml:space="preserve"> negatively associated with TOBINQ except foreign ownership </w:t>
      </w:r>
      <w:r w:rsidR="00645DC3" w:rsidRPr="00EF2A33">
        <w:rPr>
          <w:lang w:val="en-GB"/>
        </w:rPr>
        <w:t xml:space="preserve">that </w:t>
      </w:r>
      <w:r w:rsidR="001B5764" w:rsidRPr="00EF2A33">
        <w:rPr>
          <w:lang w:val="en-GB"/>
        </w:rPr>
        <w:t>remains neutral.</w:t>
      </w:r>
      <w:r w:rsidR="003567B1" w:rsidRPr="00EF2A33">
        <w:rPr>
          <w:lang w:val="en-GB"/>
        </w:rPr>
        <w:t xml:space="preserve"> However, we find that almost all the board characteristics are statistically positive to TOBINQ except family </w:t>
      </w:r>
      <w:r w:rsidR="00645DC3" w:rsidRPr="00EF2A33">
        <w:rPr>
          <w:lang w:val="en-GB"/>
        </w:rPr>
        <w:t>control</w:t>
      </w:r>
      <w:r w:rsidR="003567B1" w:rsidRPr="00EF2A33">
        <w:rPr>
          <w:lang w:val="en-GB"/>
        </w:rPr>
        <w:t xml:space="preserve"> and </w:t>
      </w:r>
      <w:r w:rsidR="007E1772" w:rsidRPr="00EF2A33">
        <w:rPr>
          <w:lang w:val="en-GB"/>
        </w:rPr>
        <w:t>directors’</w:t>
      </w:r>
      <w:r w:rsidR="003567B1" w:rsidRPr="00EF2A33">
        <w:rPr>
          <w:lang w:val="en-GB"/>
        </w:rPr>
        <w:t xml:space="preserve"> education </w:t>
      </w:r>
      <w:r w:rsidR="00C05C02" w:rsidRPr="00EF2A33">
        <w:rPr>
          <w:lang w:val="en-GB"/>
        </w:rPr>
        <w:t xml:space="preserve">which </w:t>
      </w:r>
      <w:r w:rsidR="003567B1" w:rsidRPr="00EF2A33">
        <w:rPr>
          <w:lang w:val="en-GB"/>
        </w:rPr>
        <w:t>are negatively associated with TOBINQ.</w:t>
      </w:r>
      <w:r w:rsidR="00C813E2" w:rsidRPr="00EF2A33">
        <w:rPr>
          <w:lang w:val="en-GB"/>
        </w:rPr>
        <w:t xml:space="preserve"> </w:t>
      </w:r>
      <w:r w:rsidR="00645DC3" w:rsidRPr="00EF2A33">
        <w:rPr>
          <w:lang w:val="en-GB"/>
        </w:rPr>
        <w:t>These results are consistent to our main findings in Table 5.</w:t>
      </w:r>
    </w:p>
    <w:p w14:paraId="0722D184" w14:textId="545D0D73" w:rsidR="00364626" w:rsidRPr="00EF2A33" w:rsidRDefault="00B63C07" w:rsidP="00364626">
      <w:pPr>
        <w:pStyle w:val="Caption"/>
        <w:keepNext/>
        <w:jc w:val="center"/>
        <w:rPr>
          <w:i w:val="0"/>
          <w:color w:val="auto"/>
          <w:sz w:val="24"/>
          <w:szCs w:val="24"/>
        </w:rPr>
      </w:pPr>
      <w:r w:rsidRPr="00EF2A33">
        <w:rPr>
          <w:i w:val="0"/>
          <w:color w:val="auto"/>
          <w:sz w:val="24"/>
          <w:szCs w:val="24"/>
        </w:rPr>
        <w:t>Table 6</w:t>
      </w:r>
      <w:r w:rsidR="00364626" w:rsidRPr="00EF2A33">
        <w:rPr>
          <w:i w:val="0"/>
          <w:color w:val="auto"/>
          <w:sz w:val="24"/>
          <w:szCs w:val="24"/>
        </w:rPr>
        <w:t xml:space="preserve">: </w:t>
      </w:r>
      <w:r w:rsidR="00364626" w:rsidRPr="00EF2A33">
        <w:rPr>
          <w:bCs/>
          <w:i w:val="0"/>
          <w:color w:val="auto"/>
          <w:sz w:val="24"/>
          <w:szCs w:val="24"/>
        </w:rPr>
        <w:t>Lagged effect</w:t>
      </w:r>
    </w:p>
    <w:tbl>
      <w:tblPr>
        <w:tblW w:w="0" w:type="auto"/>
        <w:jc w:val="center"/>
        <w:tblLook w:val="04A0" w:firstRow="1" w:lastRow="0" w:firstColumn="1" w:lastColumn="0" w:noHBand="0" w:noVBand="1"/>
      </w:tblPr>
      <w:tblGrid>
        <w:gridCol w:w="2114"/>
        <w:gridCol w:w="1080"/>
        <w:gridCol w:w="1170"/>
        <w:gridCol w:w="1080"/>
        <w:gridCol w:w="1170"/>
      </w:tblGrid>
      <w:tr w:rsidR="00EF2A33" w:rsidRPr="00EF2A33" w14:paraId="1F759D20" w14:textId="77777777" w:rsidTr="005C3EBC">
        <w:trPr>
          <w:trHeight w:val="184"/>
          <w:jc w:val="center"/>
        </w:trPr>
        <w:tc>
          <w:tcPr>
            <w:tcW w:w="2114" w:type="dxa"/>
            <w:tcBorders>
              <w:top w:val="single" w:sz="4" w:space="0" w:color="auto"/>
              <w:bottom w:val="single" w:sz="4" w:space="0" w:color="auto"/>
            </w:tcBorders>
          </w:tcPr>
          <w:p w14:paraId="24AEDE8C"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p>
        </w:tc>
        <w:tc>
          <w:tcPr>
            <w:tcW w:w="2250" w:type="dxa"/>
            <w:gridSpan w:val="2"/>
            <w:tcBorders>
              <w:top w:val="single" w:sz="4" w:space="0" w:color="auto"/>
              <w:bottom w:val="single" w:sz="4" w:space="0" w:color="auto"/>
            </w:tcBorders>
            <w:hideMark/>
          </w:tcPr>
          <w:p w14:paraId="639C602C"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i/>
                <w:iCs/>
                <w:sz w:val="20"/>
                <w:szCs w:val="20"/>
              </w:rPr>
            </w:pPr>
            <w:r w:rsidRPr="00EF2A33">
              <w:rPr>
                <w:rFonts w:ascii="Garamond" w:eastAsiaTheme="minorEastAsia" w:hAnsi="Garamond"/>
                <w:i/>
                <w:iCs/>
                <w:sz w:val="20"/>
                <w:szCs w:val="20"/>
              </w:rPr>
              <w:t>Accounting Based Measures</w:t>
            </w:r>
          </w:p>
        </w:tc>
        <w:tc>
          <w:tcPr>
            <w:tcW w:w="2250" w:type="dxa"/>
            <w:gridSpan w:val="2"/>
            <w:tcBorders>
              <w:top w:val="single" w:sz="4" w:space="0" w:color="auto"/>
              <w:bottom w:val="single" w:sz="4" w:space="0" w:color="auto"/>
            </w:tcBorders>
            <w:hideMark/>
          </w:tcPr>
          <w:p w14:paraId="0122647C"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i/>
                <w:iCs/>
                <w:sz w:val="20"/>
                <w:szCs w:val="20"/>
              </w:rPr>
            </w:pPr>
            <w:r w:rsidRPr="00EF2A33">
              <w:rPr>
                <w:rFonts w:ascii="Garamond" w:eastAsiaTheme="minorEastAsia" w:hAnsi="Garamond"/>
                <w:i/>
                <w:iCs/>
                <w:sz w:val="20"/>
                <w:szCs w:val="20"/>
              </w:rPr>
              <w:t>Market-Based Measures</w:t>
            </w:r>
          </w:p>
        </w:tc>
      </w:tr>
      <w:tr w:rsidR="00EF2A33" w:rsidRPr="00EF2A33" w14:paraId="778B2D9B" w14:textId="77777777" w:rsidTr="005C3EBC">
        <w:trPr>
          <w:trHeight w:val="184"/>
          <w:jc w:val="center"/>
        </w:trPr>
        <w:tc>
          <w:tcPr>
            <w:tcW w:w="2114" w:type="dxa"/>
            <w:tcBorders>
              <w:top w:val="single" w:sz="4" w:space="0" w:color="auto"/>
            </w:tcBorders>
            <w:hideMark/>
          </w:tcPr>
          <w:p w14:paraId="7E199151"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r w:rsidRPr="00EF2A33">
              <w:rPr>
                <w:rFonts w:ascii="Garamond" w:eastAsiaTheme="minorEastAsia" w:hAnsi="Garamond"/>
                <w:sz w:val="20"/>
                <w:szCs w:val="20"/>
              </w:rPr>
              <w:t xml:space="preserve">   </w:t>
            </w:r>
          </w:p>
        </w:tc>
        <w:tc>
          <w:tcPr>
            <w:tcW w:w="1080" w:type="dxa"/>
            <w:tcBorders>
              <w:top w:val="single" w:sz="4" w:space="0" w:color="auto"/>
              <w:bottom w:val="single" w:sz="4" w:space="0" w:color="auto"/>
            </w:tcBorders>
            <w:hideMark/>
          </w:tcPr>
          <w:p w14:paraId="35E8BAB6"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(1)</w:t>
            </w:r>
          </w:p>
        </w:tc>
        <w:tc>
          <w:tcPr>
            <w:tcW w:w="1170" w:type="dxa"/>
            <w:tcBorders>
              <w:top w:val="single" w:sz="4" w:space="0" w:color="auto"/>
              <w:bottom w:val="single" w:sz="4" w:space="0" w:color="auto"/>
            </w:tcBorders>
            <w:hideMark/>
          </w:tcPr>
          <w:p w14:paraId="3C4FB7F3"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(2)</w:t>
            </w:r>
          </w:p>
        </w:tc>
        <w:tc>
          <w:tcPr>
            <w:tcW w:w="1080" w:type="dxa"/>
            <w:tcBorders>
              <w:top w:val="single" w:sz="4" w:space="0" w:color="auto"/>
              <w:bottom w:val="single" w:sz="4" w:space="0" w:color="auto"/>
            </w:tcBorders>
            <w:hideMark/>
          </w:tcPr>
          <w:p w14:paraId="5950CB54"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(3)</w:t>
            </w:r>
          </w:p>
        </w:tc>
        <w:tc>
          <w:tcPr>
            <w:tcW w:w="1170" w:type="dxa"/>
            <w:tcBorders>
              <w:top w:val="single" w:sz="4" w:space="0" w:color="auto"/>
              <w:bottom w:val="single" w:sz="4" w:space="0" w:color="auto"/>
            </w:tcBorders>
            <w:hideMark/>
          </w:tcPr>
          <w:p w14:paraId="0B953E7E"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(4)</w:t>
            </w:r>
          </w:p>
        </w:tc>
      </w:tr>
      <w:tr w:rsidR="00EF2A33" w:rsidRPr="00EF2A33" w14:paraId="5BBBE714" w14:textId="77777777" w:rsidTr="005C3EBC">
        <w:trPr>
          <w:trHeight w:val="252"/>
          <w:jc w:val="center"/>
        </w:trPr>
        <w:tc>
          <w:tcPr>
            <w:tcW w:w="2114" w:type="dxa"/>
            <w:tcBorders>
              <w:bottom w:val="single" w:sz="4" w:space="0" w:color="auto"/>
            </w:tcBorders>
            <w:hideMark/>
          </w:tcPr>
          <w:p w14:paraId="3161783D"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r w:rsidRPr="00EF2A33">
              <w:rPr>
                <w:rFonts w:ascii="Garamond" w:eastAsiaTheme="minorEastAsia" w:hAnsi="Garamond"/>
                <w:sz w:val="20"/>
                <w:szCs w:val="20"/>
              </w:rPr>
              <w:t xml:space="preserve">   </w:t>
            </w:r>
          </w:p>
        </w:tc>
        <w:tc>
          <w:tcPr>
            <w:tcW w:w="1080" w:type="dxa"/>
            <w:tcBorders>
              <w:top w:val="single" w:sz="4" w:space="0" w:color="auto"/>
              <w:bottom w:val="single" w:sz="4" w:space="0" w:color="auto"/>
            </w:tcBorders>
            <w:hideMark/>
          </w:tcPr>
          <w:p w14:paraId="034E896A"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ROA</w:t>
            </w:r>
          </w:p>
        </w:tc>
        <w:tc>
          <w:tcPr>
            <w:tcW w:w="1170" w:type="dxa"/>
            <w:tcBorders>
              <w:top w:val="single" w:sz="4" w:space="0" w:color="auto"/>
              <w:bottom w:val="single" w:sz="4" w:space="0" w:color="auto"/>
            </w:tcBorders>
            <w:hideMark/>
          </w:tcPr>
          <w:p w14:paraId="76FA6565"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ROE</w:t>
            </w:r>
          </w:p>
        </w:tc>
        <w:tc>
          <w:tcPr>
            <w:tcW w:w="1080" w:type="dxa"/>
            <w:tcBorders>
              <w:top w:val="single" w:sz="4" w:space="0" w:color="auto"/>
              <w:bottom w:val="single" w:sz="4" w:space="0" w:color="auto"/>
            </w:tcBorders>
          </w:tcPr>
          <w:p w14:paraId="7F10D53E"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MTB</w:t>
            </w:r>
          </w:p>
        </w:tc>
        <w:tc>
          <w:tcPr>
            <w:tcW w:w="1170" w:type="dxa"/>
            <w:tcBorders>
              <w:top w:val="single" w:sz="4" w:space="0" w:color="auto"/>
              <w:bottom w:val="single" w:sz="4" w:space="0" w:color="auto"/>
            </w:tcBorders>
          </w:tcPr>
          <w:p w14:paraId="43D19E8A"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TOBINQ</w:t>
            </w:r>
          </w:p>
        </w:tc>
      </w:tr>
      <w:tr w:rsidR="00EF2A33" w:rsidRPr="00EF2A33" w14:paraId="13FF4467" w14:textId="77777777" w:rsidTr="005C3EBC">
        <w:trPr>
          <w:trHeight w:val="70"/>
          <w:jc w:val="center"/>
        </w:trPr>
        <w:tc>
          <w:tcPr>
            <w:tcW w:w="2114" w:type="dxa"/>
            <w:tcBorders>
              <w:top w:val="single" w:sz="4" w:space="0" w:color="auto"/>
            </w:tcBorders>
          </w:tcPr>
          <w:p w14:paraId="529CC707" w14:textId="0439F5A0" w:rsidR="00B63C07" w:rsidRPr="00EF2A33" w:rsidRDefault="00D15726" w:rsidP="005C3EBC">
            <w:pPr>
              <w:widowControl w:val="0"/>
              <w:autoSpaceDE w:val="0"/>
              <w:autoSpaceDN w:val="0"/>
              <w:adjustRightInd w:val="0"/>
              <w:spacing w:after="0" w:line="240" w:lineRule="auto"/>
              <w:rPr>
                <w:sz w:val="20"/>
                <w:szCs w:val="20"/>
              </w:rPr>
            </w:pPr>
            <w:r w:rsidRPr="00EF2A33">
              <w:rPr>
                <w:sz w:val="20"/>
                <w:szCs w:val="20"/>
              </w:rPr>
              <w:t xml:space="preserve">INST </w:t>
            </w:r>
          </w:p>
        </w:tc>
        <w:tc>
          <w:tcPr>
            <w:tcW w:w="1080" w:type="dxa"/>
            <w:tcBorders>
              <w:top w:val="single" w:sz="4" w:space="0" w:color="auto"/>
            </w:tcBorders>
          </w:tcPr>
          <w:p w14:paraId="638C2C6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139196D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Borders>
              <w:top w:val="single" w:sz="4" w:space="0" w:color="auto"/>
            </w:tcBorders>
          </w:tcPr>
          <w:p w14:paraId="53536009" w14:textId="6121DE88" w:rsidR="00B63C07" w:rsidRPr="00EF2A33" w:rsidRDefault="00BD12ED" w:rsidP="00FB09F1">
            <w:pPr>
              <w:widowControl w:val="0"/>
              <w:autoSpaceDE w:val="0"/>
              <w:autoSpaceDN w:val="0"/>
              <w:adjustRightInd w:val="0"/>
              <w:spacing w:after="0" w:line="240" w:lineRule="auto"/>
              <w:jc w:val="right"/>
              <w:rPr>
                <w:sz w:val="20"/>
                <w:szCs w:val="20"/>
              </w:rPr>
            </w:pPr>
            <w:r w:rsidRPr="00EF2A33">
              <w:rPr>
                <w:sz w:val="20"/>
                <w:szCs w:val="20"/>
              </w:rPr>
              <w:t>0</w:t>
            </w:r>
          </w:p>
          <w:p w14:paraId="4098152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Borders>
              <w:top w:val="single" w:sz="4" w:space="0" w:color="auto"/>
            </w:tcBorders>
          </w:tcPr>
          <w:p w14:paraId="256F875B" w14:textId="411DD64E" w:rsidR="00B63C07" w:rsidRPr="00EF2A33" w:rsidRDefault="009A5C56" w:rsidP="00FB09F1">
            <w:pPr>
              <w:widowControl w:val="0"/>
              <w:autoSpaceDE w:val="0"/>
              <w:autoSpaceDN w:val="0"/>
              <w:adjustRightInd w:val="0"/>
              <w:spacing w:after="0" w:line="240" w:lineRule="auto"/>
              <w:jc w:val="right"/>
              <w:rPr>
                <w:sz w:val="20"/>
                <w:szCs w:val="20"/>
              </w:rPr>
            </w:pPr>
            <w:r w:rsidRPr="00EF2A33">
              <w:rPr>
                <w:sz w:val="20"/>
                <w:szCs w:val="20"/>
              </w:rPr>
              <w:t>.76</w:t>
            </w:r>
            <w:r w:rsidR="006C5910" w:rsidRPr="00EF2A33">
              <w:rPr>
                <w:sz w:val="20"/>
                <w:szCs w:val="20"/>
              </w:rPr>
              <w:t>**</w:t>
            </w:r>
            <w:r w:rsidR="00B63C07" w:rsidRPr="00EF2A33">
              <w:rPr>
                <w:sz w:val="20"/>
                <w:szCs w:val="20"/>
              </w:rPr>
              <w:t>*</w:t>
            </w:r>
          </w:p>
          <w:p w14:paraId="42A864E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(.29)</w:t>
            </w:r>
          </w:p>
        </w:tc>
        <w:tc>
          <w:tcPr>
            <w:tcW w:w="1170" w:type="dxa"/>
            <w:tcBorders>
              <w:top w:val="single" w:sz="4" w:space="0" w:color="auto"/>
            </w:tcBorders>
          </w:tcPr>
          <w:p w14:paraId="5133F09F" w14:textId="67EFE09D" w:rsidR="00B63C07" w:rsidRPr="00EF2A33" w:rsidRDefault="00FD1CCD" w:rsidP="00FB09F1">
            <w:pPr>
              <w:widowControl w:val="0"/>
              <w:autoSpaceDE w:val="0"/>
              <w:autoSpaceDN w:val="0"/>
              <w:adjustRightInd w:val="0"/>
              <w:spacing w:after="0" w:line="240" w:lineRule="auto"/>
              <w:jc w:val="right"/>
              <w:rPr>
                <w:sz w:val="20"/>
                <w:szCs w:val="20"/>
              </w:rPr>
            </w:pPr>
            <w:r w:rsidRPr="00EF2A33">
              <w:rPr>
                <w:sz w:val="20"/>
                <w:szCs w:val="20"/>
              </w:rPr>
              <w:t>-.06</w:t>
            </w:r>
            <w:r w:rsidR="00B63C07" w:rsidRPr="00EF2A33">
              <w:rPr>
                <w:sz w:val="20"/>
                <w:szCs w:val="20"/>
              </w:rPr>
              <w:t>**</w:t>
            </w:r>
            <w:r w:rsidR="00A82A3C" w:rsidRPr="00EF2A33">
              <w:rPr>
                <w:sz w:val="20"/>
                <w:szCs w:val="20"/>
              </w:rPr>
              <w:t>*</w:t>
            </w:r>
          </w:p>
          <w:p w14:paraId="50A2E385" w14:textId="2CB8C9E6" w:rsidR="00B63C07" w:rsidRPr="00EF2A33" w:rsidRDefault="00FD1CCD"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tc>
      </w:tr>
      <w:tr w:rsidR="00EF2A33" w:rsidRPr="00EF2A33" w14:paraId="7177C394" w14:textId="77777777" w:rsidTr="005C3EBC">
        <w:trPr>
          <w:trHeight w:val="184"/>
          <w:jc w:val="center"/>
        </w:trPr>
        <w:tc>
          <w:tcPr>
            <w:tcW w:w="2114" w:type="dxa"/>
          </w:tcPr>
          <w:p w14:paraId="42EFEA27"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FOREIGN</w:t>
            </w:r>
          </w:p>
        </w:tc>
        <w:tc>
          <w:tcPr>
            <w:tcW w:w="1080" w:type="dxa"/>
          </w:tcPr>
          <w:p w14:paraId="08F69FA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.003***</w:t>
            </w:r>
          </w:p>
          <w:p w14:paraId="7856A59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170" w:type="dxa"/>
          </w:tcPr>
          <w:p w14:paraId="2F1ADA2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3431189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5A881DD5" w14:textId="75829A7C" w:rsidR="00B63C07" w:rsidRPr="00EF2A33" w:rsidRDefault="0082236F" w:rsidP="00FB09F1">
            <w:pPr>
              <w:widowControl w:val="0"/>
              <w:autoSpaceDE w:val="0"/>
              <w:autoSpaceDN w:val="0"/>
              <w:adjustRightInd w:val="0"/>
              <w:spacing w:after="0" w:line="240" w:lineRule="auto"/>
              <w:jc w:val="right"/>
              <w:rPr>
                <w:sz w:val="20"/>
                <w:szCs w:val="20"/>
              </w:rPr>
            </w:pPr>
            <w:r w:rsidRPr="00EF2A33">
              <w:rPr>
                <w:sz w:val="20"/>
                <w:szCs w:val="20"/>
              </w:rPr>
              <w:t>-.023</w:t>
            </w:r>
          </w:p>
          <w:p w14:paraId="32ED6632" w14:textId="49265D72" w:rsidR="00B63C07" w:rsidRPr="00EF2A33" w:rsidRDefault="009A5C56" w:rsidP="009A5C56">
            <w:pPr>
              <w:widowControl w:val="0"/>
              <w:autoSpaceDE w:val="0"/>
              <w:autoSpaceDN w:val="0"/>
              <w:adjustRightInd w:val="0"/>
              <w:spacing w:after="0" w:line="240" w:lineRule="auto"/>
              <w:jc w:val="right"/>
              <w:rPr>
                <w:sz w:val="20"/>
                <w:szCs w:val="20"/>
              </w:rPr>
            </w:pPr>
            <w:r w:rsidRPr="00EF2A33">
              <w:rPr>
                <w:sz w:val="20"/>
                <w:szCs w:val="20"/>
              </w:rPr>
              <w:t>(.36</w:t>
            </w:r>
            <w:r w:rsidR="00B63C07" w:rsidRPr="00EF2A33">
              <w:rPr>
                <w:sz w:val="20"/>
                <w:szCs w:val="20"/>
              </w:rPr>
              <w:t>)</w:t>
            </w:r>
          </w:p>
        </w:tc>
        <w:tc>
          <w:tcPr>
            <w:tcW w:w="1170" w:type="dxa"/>
          </w:tcPr>
          <w:p w14:paraId="587662A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.046</w:t>
            </w:r>
          </w:p>
          <w:p w14:paraId="50B2ABD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(.03)</w:t>
            </w:r>
          </w:p>
        </w:tc>
      </w:tr>
      <w:tr w:rsidR="00EF2A33" w:rsidRPr="00EF2A33" w14:paraId="5B9062E9" w14:textId="77777777" w:rsidTr="005C3EBC">
        <w:trPr>
          <w:trHeight w:val="196"/>
          <w:jc w:val="center"/>
        </w:trPr>
        <w:tc>
          <w:tcPr>
            <w:tcW w:w="2114" w:type="dxa"/>
          </w:tcPr>
          <w:p w14:paraId="1A96E87F"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SPDIRECTIOR</w:t>
            </w:r>
          </w:p>
        </w:tc>
        <w:tc>
          <w:tcPr>
            <w:tcW w:w="1080" w:type="dxa"/>
          </w:tcPr>
          <w:p w14:paraId="2A6220F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11983D04"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1869714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202BC527"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080" w:type="dxa"/>
          </w:tcPr>
          <w:p w14:paraId="4A373585" w14:textId="1CC51E5F" w:rsidR="00B63C07" w:rsidRPr="00EF2A33" w:rsidRDefault="0082236F" w:rsidP="00FB09F1">
            <w:pPr>
              <w:widowControl w:val="0"/>
              <w:autoSpaceDE w:val="0"/>
              <w:autoSpaceDN w:val="0"/>
              <w:adjustRightInd w:val="0"/>
              <w:spacing w:after="0" w:line="240" w:lineRule="auto"/>
              <w:jc w:val="right"/>
              <w:rPr>
                <w:sz w:val="20"/>
                <w:szCs w:val="20"/>
              </w:rPr>
            </w:pPr>
            <w:r w:rsidRPr="00EF2A33">
              <w:rPr>
                <w:sz w:val="20"/>
                <w:szCs w:val="20"/>
              </w:rPr>
              <w:t>.163</w:t>
            </w:r>
          </w:p>
          <w:p w14:paraId="430D0CAD" w14:textId="26AD4ADB"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(.14</w:t>
            </w:r>
            <w:r w:rsidR="00B63C07" w:rsidRPr="00EF2A33">
              <w:rPr>
                <w:sz w:val="20"/>
                <w:szCs w:val="20"/>
              </w:rPr>
              <w:t>)</w:t>
            </w:r>
          </w:p>
        </w:tc>
        <w:tc>
          <w:tcPr>
            <w:tcW w:w="1170" w:type="dxa"/>
          </w:tcPr>
          <w:p w14:paraId="66AC2F1F" w14:textId="2279437C" w:rsidR="00B63C07" w:rsidRPr="00EF2A33" w:rsidRDefault="00A82A3C" w:rsidP="00FB09F1">
            <w:pPr>
              <w:widowControl w:val="0"/>
              <w:autoSpaceDE w:val="0"/>
              <w:autoSpaceDN w:val="0"/>
              <w:adjustRightInd w:val="0"/>
              <w:spacing w:after="0" w:line="240" w:lineRule="auto"/>
              <w:jc w:val="right"/>
              <w:rPr>
                <w:sz w:val="20"/>
                <w:szCs w:val="20"/>
              </w:rPr>
            </w:pPr>
            <w:r w:rsidRPr="00EF2A33">
              <w:rPr>
                <w:sz w:val="20"/>
                <w:szCs w:val="20"/>
              </w:rPr>
              <w:t>-.038</w:t>
            </w:r>
            <w:r w:rsidR="00B63C07" w:rsidRPr="00EF2A33">
              <w:rPr>
                <w:sz w:val="20"/>
                <w:szCs w:val="20"/>
              </w:rPr>
              <w:t>***</w:t>
            </w:r>
          </w:p>
          <w:p w14:paraId="7698B62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(.012)</w:t>
            </w:r>
          </w:p>
        </w:tc>
      </w:tr>
      <w:tr w:rsidR="00EF2A33" w:rsidRPr="00EF2A33" w14:paraId="7F7C1543" w14:textId="77777777" w:rsidTr="005C3EBC">
        <w:trPr>
          <w:trHeight w:val="184"/>
          <w:jc w:val="center"/>
        </w:trPr>
        <w:tc>
          <w:tcPr>
            <w:tcW w:w="2114" w:type="dxa"/>
          </w:tcPr>
          <w:p w14:paraId="4D2F6AC5"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GOVT</w:t>
            </w:r>
          </w:p>
        </w:tc>
        <w:tc>
          <w:tcPr>
            <w:tcW w:w="1080" w:type="dxa"/>
          </w:tcPr>
          <w:p w14:paraId="2F1FF78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-.002***</w:t>
            </w:r>
          </w:p>
          <w:p w14:paraId="78671E4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27025547" w14:textId="33C3CA89"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p w14:paraId="1F8E4E7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31645A76" w14:textId="2FB3254A"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.01</w:t>
            </w:r>
          </w:p>
          <w:p w14:paraId="71EF1BA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(.15)</w:t>
            </w:r>
          </w:p>
        </w:tc>
        <w:tc>
          <w:tcPr>
            <w:tcW w:w="1170" w:type="dxa"/>
          </w:tcPr>
          <w:p w14:paraId="7D05F8F7"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-.04***</w:t>
            </w:r>
          </w:p>
          <w:p w14:paraId="692D074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(.013)</w:t>
            </w:r>
          </w:p>
        </w:tc>
      </w:tr>
      <w:tr w:rsidR="00EF2A33" w:rsidRPr="00EF2A33" w14:paraId="2317DE65" w14:textId="77777777" w:rsidTr="005C3EBC">
        <w:trPr>
          <w:trHeight w:val="153"/>
          <w:jc w:val="center"/>
        </w:trPr>
        <w:tc>
          <w:tcPr>
            <w:tcW w:w="2114" w:type="dxa"/>
          </w:tcPr>
          <w:p w14:paraId="5648A493"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BSIZE</w:t>
            </w:r>
          </w:p>
        </w:tc>
        <w:tc>
          <w:tcPr>
            <w:tcW w:w="1080" w:type="dxa"/>
          </w:tcPr>
          <w:p w14:paraId="3BDE713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.005***</w:t>
            </w:r>
          </w:p>
          <w:p w14:paraId="5FA9642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(.002)</w:t>
            </w:r>
          </w:p>
        </w:tc>
        <w:tc>
          <w:tcPr>
            <w:tcW w:w="1170" w:type="dxa"/>
          </w:tcPr>
          <w:p w14:paraId="00750A76" w14:textId="1A3B78B8"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w:t>
            </w:r>
            <w:r w:rsidR="00A54880" w:rsidRPr="00EF2A33">
              <w:rPr>
                <w:sz w:val="20"/>
                <w:szCs w:val="20"/>
              </w:rPr>
              <w:t>1</w:t>
            </w:r>
            <w:r w:rsidRPr="00EF2A33">
              <w:rPr>
                <w:sz w:val="20"/>
                <w:szCs w:val="20"/>
              </w:rPr>
              <w:t>**</w:t>
            </w:r>
            <w:r w:rsidR="00A54880" w:rsidRPr="00EF2A33">
              <w:rPr>
                <w:sz w:val="20"/>
                <w:szCs w:val="20"/>
              </w:rPr>
              <w:t>*</w:t>
            </w:r>
          </w:p>
          <w:p w14:paraId="251F0AD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(.004)</w:t>
            </w:r>
          </w:p>
        </w:tc>
        <w:tc>
          <w:tcPr>
            <w:tcW w:w="1080" w:type="dxa"/>
          </w:tcPr>
          <w:p w14:paraId="32F08A64" w14:textId="3EC364EE"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w:t>
            </w:r>
            <w:r w:rsidR="0082236F" w:rsidRPr="00EF2A33">
              <w:rPr>
                <w:sz w:val="20"/>
                <w:szCs w:val="20"/>
              </w:rPr>
              <w:t>1.1</w:t>
            </w:r>
          </w:p>
          <w:p w14:paraId="50F9F5F5" w14:textId="1933121F" w:rsidR="00B63C07" w:rsidRPr="00EF2A33" w:rsidRDefault="00B649A1" w:rsidP="00FB09F1">
            <w:pPr>
              <w:widowControl w:val="0"/>
              <w:autoSpaceDE w:val="0"/>
              <w:autoSpaceDN w:val="0"/>
              <w:adjustRightInd w:val="0"/>
              <w:spacing w:after="0" w:line="240" w:lineRule="auto"/>
              <w:jc w:val="right"/>
              <w:rPr>
                <w:sz w:val="20"/>
                <w:szCs w:val="20"/>
              </w:rPr>
            </w:pPr>
            <w:r w:rsidRPr="00EF2A33">
              <w:rPr>
                <w:sz w:val="20"/>
                <w:szCs w:val="20"/>
              </w:rPr>
              <w:t>(1.13</w:t>
            </w:r>
            <w:r w:rsidR="00B63C07" w:rsidRPr="00EF2A33">
              <w:rPr>
                <w:sz w:val="20"/>
                <w:szCs w:val="20"/>
              </w:rPr>
              <w:t>)</w:t>
            </w:r>
          </w:p>
        </w:tc>
        <w:tc>
          <w:tcPr>
            <w:tcW w:w="1170" w:type="dxa"/>
          </w:tcPr>
          <w:p w14:paraId="205D8F1C" w14:textId="30DBC584" w:rsidR="00B63C07" w:rsidRPr="00EF2A33" w:rsidRDefault="00A82A3C" w:rsidP="00FB09F1">
            <w:pPr>
              <w:widowControl w:val="0"/>
              <w:autoSpaceDE w:val="0"/>
              <w:autoSpaceDN w:val="0"/>
              <w:adjustRightInd w:val="0"/>
              <w:spacing w:after="0" w:line="240" w:lineRule="auto"/>
              <w:jc w:val="right"/>
              <w:rPr>
                <w:sz w:val="20"/>
                <w:szCs w:val="20"/>
              </w:rPr>
            </w:pPr>
            <w:r w:rsidRPr="00EF2A33">
              <w:rPr>
                <w:sz w:val="20"/>
                <w:szCs w:val="20"/>
              </w:rPr>
              <w:t>.348</w:t>
            </w:r>
            <w:r w:rsidR="00B63C07" w:rsidRPr="00EF2A33">
              <w:rPr>
                <w:sz w:val="20"/>
                <w:szCs w:val="20"/>
              </w:rPr>
              <w:t>***</w:t>
            </w:r>
          </w:p>
          <w:p w14:paraId="4047F1E6" w14:textId="7AE495E8" w:rsidR="00B63C07" w:rsidRPr="00EF2A33" w:rsidRDefault="00FD1CCD" w:rsidP="00FB09F1">
            <w:pPr>
              <w:widowControl w:val="0"/>
              <w:autoSpaceDE w:val="0"/>
              <w:autoSpaceDN w:val="0"/>
              <w:adjustRightInd w:val="0"/>
              <w:spacing w:after="0" w:line="240" w:lineRule="auto"/>
              <w:jc w:val="right"/>
              <w:rPr>
                <w:sz w:val="20"/>
                <w:szCs w:val="20"/>
              </w:rPr>
            </w:pPr>
            <w:r w:rsidRPr="00EF2A33">
              <w:rPr>
                <w:sz w:val="20"/>
                <w:szCs w:val="20"/>
              </w:rPr>
              <w:t>(.1</w:t>
            </w:r>
            <w:r w:rsidR="00B63C07" w:rsidRPr="00EF2A33">
              <w:rPr>
                <w:sz w:val="20"/>
                <w:szCs w:val="20"/>
              </w:rPr>
              <w:t>)</w:t>
            </w:r>
          </w:p>
        </w:tc>
      </w:tr>
      <w:tr w:rsidR="00EF2A33" w:rsidRPr="00EF2A33" w14:paraId="28824122" w14:textId="77777777" w:rsidTr="005C3EBC">
        <w:trPr>
          <w:trHeight w:val="184"/>
          <w:jc w:val="center"/>
        </w:trPr>
        <w:tc>
          <w:tcPr>
            <w:tcW w:w="2114" w:type="dxa"/>
          </w:tcPr>
          <w:p w14:paraId="65BB9A5C"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BIND</w:t>
            </w:r>
          </w:p>
        </w:tc>
        <w:tc>
          <w:tcPr>
            <w:tcW w:w="1080" w:type="dxa"/>
          </w:tcPr>
          <w:p w14:paraId="691DBB2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34A27B9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586B8227" w14:textId="3C46B325" w:rsidR="00B63C07" w:rsidRPr="00EF2A33" w:rsidRDefault="00A54880" w:rsidP="00FB09F1">
            <w:pPr>
              <w:widowControl w:val="0"/>
              <w:autoSpaceDE w:val="0"/>
              <w:autoSpaceDN w:val="0"/>
              <w:adjustRightInd w:val="0"/>
              <w:spacing w:after="0" w:line="240" w:lineRule="auto"/>
              <w:jc w:val="right"/>
              <w:rPr>
                <w:sz w:val="20"/>
                <w:szCs w:val="20"/>
              </w:rPr>
            </w:pPr>
            <w:r w:rsidRPr="00EF2A33">
              <w:rPr>
                <w:sz w:val="20"/>
                <w:szCs w:val="20"/>
              </w:rPr>
              <w:t>-.002**</w:t>
            </w:r>
          </w:p>
          <w:p w14:paraId="2F6D048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0452D01D" w14:textId="672A0BEF" w:rsidR="00B63C07" w:rsidRPr="00EF2A33" w:rsidRDefault="009A5C56" w:rsidP="00FB09F1">
            <w:pPr>
              <w:widowControl w:val="0"/>
              <w:autoSpaceDE w:val="0"/>
              <w:autoSpaceDN w:val="0"/>
              <w:adjustRightInd w:val="0"/>
              <w:spacing w:after="0" w:line="240" w:lineRule="auto"/>
              <w:jc w:val="right"/>
              <w:rPr>
                <w:sz w:val="20"/>
                <w:szCs w:val="20"/>
              </w:rPr>
            </w:pPr>
            <w:r w:rsidRPr="00EF2A33">
              <w:rPr>
                <w:sz w:val="20"/>
                <w:szCs w:val="20"/>
              </w:rPr>
              <w:t>-.6</w:t>
            </w:r>
            <w:r w:rsidR="006C30DF" w:rsidRPr="00EF2A33">
              <w:rPr>
                <w:sz w:val="20"/>
                <w:szCs w:val="20"/>
              </w:rPr>
              <w:t>7**</w:t>
            </w:r>
            <w:r w:rsidR="00B63C07" w:rsidRPr="00EF2A33">
              <w:rPr>
                <w:sz w:val="20"/>
                <w:szCs w:val="20"/>
              </w:rPr>
              <w:t>*</w:t>
            </w:r>
          </w:p>
          <w:p w14:paraId="780696B0" w14:textId="7EF161DC" w:rsidR="00B63C07" w:rsidRPr="00EF2A33" w:rsidRDefault="00FD1CCD" w:rsidP="00FB09F1">
            <w:pPr>
              <w:widowControl w:val="0"/>
              <w:autoSpaceDE w:val="0"/>
              <w:autoSpaceDN w:val="0"/>
              <w:adjustRightInd w:val="0"/>
              <w:spacing w:after="0" w:line="240" w:lineRule="auto"/>
              <w:jc w:val="right"/>
              <w:rPr>
                <w:sz w:val="20"/>
                <w:szCs w:val="20"/>
              </w:rPr>
            </w:pPr>
            <w:r w:rsidRPr="00EF2A33">
              <w:rPr>
                <w:sz w:val="20"/>
                <w:szCs w:val="20"/>
              </w:rPr>
              <w:t>(.26</w:t>
            </w:r>
            <w:r w:rsidR="00B63C07" w:rsidRPr="00EF2A33">
              <w:rPr>
                <w:sz w:val="20"/>
                <w:szCs w:val="20"/>
              </w:rPr>
              <w:t>)</w:t>
            </w:r>
          </w:p>
        </w:tc>
        <w:tc>
          <w:tcPr>
            <w:tcW w:w="1170" w:type="dxa"/>
          </w:tcPr>
          <w:p w14:paraId="2FCFD9F2" w14:textId="7A351D82"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.043</w:t>
            </w:r>
            <w:r w:rsidR="00A82A3C" w:rsidRPr="00EF2A33">
              <w:rPr>
                <w:sz w:val="20"/>
                <w:szCs w:val="20"/>
              </w:rPr>
              <w:t>*</w:t>
            </w:r>
            <w:r w:rsidRPr="00EF2A33">
              <w:rPr>
                <w:sz w:val="20"/>
                <w:szCs w:val="20"/>
              </w:rPr>
              <w:t>*</w:t>
            </w:r>
          </w:p>
          <w:p w14:paraId="53E8E41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(.023)</w:t>
            </w:r>
          </w:p>
        </w:tc>
      </w:tr>
      <w:tr w:rsidR="00EF2A33" w:rsidRPr="00EF2A33" w14:paraId="5FD353F3" w14:textId="77777777" w:rsidTr="005C3EBC">
        <w:trPr>
          <w:trHeight w:val="196"/>
          <w:jc w:val="center"/>
        </w:trPr>
        <w:tc>
          <w:tcPr>
            <w:tcW w:w="2114" w:type="dxa"/>
          </w:tcPr>
          <w:p w14:paraId="280990D7"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GENDER</w:t>
            </w:r>
          </w:p>
        </w:tc>
        <w:tc>
          <w:tcPr>
            <w:tcW w:w="1080" w:type="dxa"/>
          </w:tcPr>
          <w:p w14:paraId="120659A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18A940F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302D3405" w14:textId="01C2ED48" w:rsidR="00B63C07" w:rsidRPr="00EF2A33" w:rsidRDefault="00A54880" w:rsidP="00FB09F1">
            <w:pPr>
              <w:widowControl w:val="0"/>
              <w:autoSpaceDE w:val="0"/>
              <w:autoSpaceDN w:val="0"/>
              <w:adjustRightInd w:val="0"/>
              <w:spacing w:after="0" w:line="240" w:lineRule="auto"/>
              <w:jc w:val="right"/>
              <w:rPr>
                <w:sz w:val="20"/>
                <w:szCs w:val="20"/>
              </w:rPr>
            </w:pPr>
            <w:r w:rsidRPr="00EF2A33">
              <w:rPr>
                <w:sz w:val="20"/>
                <w:szCs w:val="20"/>
              </w:rPr>
              <w:t>.002**</w:t>
            </w:r>
          </w:p>
          <w:p w14:paraId="51316ED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7075414F" w14:textId="41446D06" w:rsidR="00B63C07" w:rsidRPr="00EF2A33" w:rsidRDefault="006C30DF" w:rsidP="00FB09F1">
            <w:pPr>
              <w:widowControl w:val="0"/>
              <w:autoSpaceDE w:val="0"/>
              <w:autoSpaceDN w:val="0"/>
              <w:adjustRightInd w:val="0"/>
              <w:spacing w:after="0" w:line="240" w:lineRule="auto"/>
              <w:jc w:val="right"/>
              <w:rPr>
                <w:sz w:val="20"/>
                <w:szCs w:val="20"/>
              </w:rPr>
            </w:pPr>
            <w:r w:rsidRPr="00EF2A33">
              <w:rPr>
                <w:sz w:val="20"/>
                <w:szCs w:val="20"/>
              </w:rPr>
              <w:t>.56*</w:t>
            </w:r>
            <w:r w:rsidR="00B63C07" w:rsidRPr="00EF2A33">
              <w:rPr>
                <w:sz w:val="20"/>
                <w:szCs w:val="20"/>
              </w:rPr>
              <w:t>*</w:t>
            </w:r>
          </w:p>
          <w:p w14:paraId="5D57576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(.26)</w:t>
            </w:r>
          </w:p>
        </w:tc>
        <w:tc>
          <w:tcPr>
            <w:tcW w:w="1170" w:type="dxa"/>
          </w:tcPr>
          <w:p w14:paraId="7AC1E7CE" w14:textId="68E1ECB9" w:rsidR="00B63C07" w:rsidRPr="00EF2A33" w:rsidRDefault="009A5C56" w:rsidP="00FB09F1">
            <w:pPr>
              <w:widowControl w:val="0"/>
              <w:autoSpaceDE w:val="0"/>
              <w:autoSpaceDN w:val="0"/>
              <w:adjustRightInd w:val="0"/>
              <w:spacing w:after="0" w:line="240" w:lineRule="auto"/>
              <w:jc w:val="right"/>
              <w:rPr>
                <w:sz w:val="20"/>
                <w:szCs w:val="20"/>
              </w:rPr>
            </w:pPr>
            <w:r w:rsidRPr="00EF2A33">
              <w:rPr>
                <w:sz w:val="20"/>
                <w:szCs w:val="20"/>
              </w:rPr>
              <w:t>.08</w:t>
            </w:r>
            <w:r w:rsidR="00B63C07" w:rsidRPr="00EF2A33">
              <w:rPr>
                <w:sz w:val="20"/>
                <w:szCs w:val="20"/>
              </w:rPr>
              <w:t>***</w:t>
            </w:r>
          </w:p>
          <w:p w14:paraId="7BE6C9A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(.022)</w:t>
            </w:r>
          </w:p>
        </w:tc>
      </w:tr>
      <w:tr w:rsidR="00EF2A33" w:rsidRPr="00EF2A33" w14:paraId="61C4DAD6" w14:textId="77777777" w:rsidTr="005C3EBC">
        <w:trPr>
          <w:trHeight w:val="196"/>
          <w:jc w:val="center"/>
        </w:trPr>
        <w:tc>
          <w:tcPr>
            <w:tcW w:w="2114" w:type="dxa"/>
          </w:tcPr>
          <w:p w14:paraId="49487F59"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MEETING</w:t>
            </w:r>
          </w:p>
        </w:tc>
        <w:tc>
          <w:tcPr>
            <w:tcW w:w="1080" w:type="dxa"/>
          </w:tcPr>
          <w:p w14:paraId="7D4A4CA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266B7BE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047D5A03" w14:textId="2E158553"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.003**</w:t>
            </w:r>
            <w:r w:rsidR="00A54880" w:rsidRPr="00EF2A33">
              <w:rPr>
                <w:sz w:val="20"/>
                <w:szCs w:val="20"/>
              </w:rPr>
              <w:t>*</w:t>
            </w:r>
          </w:p>
          <w:p w14:paraId="57F2D9B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1A962269" w14:textId="5A024D34" w:rsidR="00B63C07" w:rsidRPr="00EF2A33" w:rsidRDefault="006C30DF" w:rsidP="00FB09F1">
            <w:pPr>
              <w:widowControl w:val="0"/>
              <w:autoSpaceDE w:val="0"/>
              <w:autoSpaceDN w:val="0"/>
              <w:adjustRightInd w:val="0"/>
              <w:spacing w:after="0" w:line="240" w:lineRule="auto"/>
              <w:jc w:val="right"/>
              <w:rPr>
                <w:sz w:val="20"/>
                <w:szCs w:val="20"/>
              </w:rPr>
            </w:pPr>
            <w:r w:rsidRPr="00EF2A33">
              <w:rPr>
                <w:sz w:val="20"/>
                <w:szCs w:val="20"/>
              </w:rPr>
              <w:t>1</w:t>
            </w:r>
            <w:r w:rsidR="002D0F55" w:rsidRPr="00EF2A33">
              <w:rPr>
                <w:sz w:val="20"/>
                <w:szCs w:val="20"/>
              </w:rPr>
              <w:t>.04</w:t>
            </w:r>
            <w:r w:rsidR="00B63C07" w:rsidRPr="00EF2A33">
              <w:rPr>
                <w:sz w:val="20"/>
                <w:szCs w:val="20"/>
              </w:rPr>
              <w:t>*</w:t>
            </w:r>
            <w:r w:rsidRPr="00EF2A33">
              <w:rPr>
                <w:sz w:val="20"/>
                <w:szCs w:val="20"/>
              </w:rPr>
              <w:t>*</w:t>
            </w:r>
            <w:r w:rsidR="00B63C07" w:rsidRPr="00EF2A33">
              <w:rPr>
                <w:sz w:val="20"/>
                <w:szCs w:val="20"/>
              </w:rPr>
              <w:t>*</w:t>
            </w:r>
          </w:p>
          <w:p w14:paraId="0CB2D816" w14:textId="2227E662" w:rsidR="00B63C07" w:rsidRPr="00EF2A33" w:rsidRDefault="00B31052" w:rsidP="00FB09F1">
            <w:pPr>
              <w:widowControl w:val="0"/>
              <w:autoSpaceDE w:val="0"/>
              <w:autoSpaceDN w:val="0"/>
              <w:adjustRightInd w:val="0"/>
              <w:spacing w:after="0" w:line="240" w:lineRule="auto"/>
              <w:jc w:val="right"/>
              <w:rPr>
                <w:sz w:val="20"/>
                <w:szCs w:val="20"/>
              </w:rPr>
            </w:pPr>
            <w:r w:rsidRPr="00EF2A33">
              <w:rPr>
                <w:sz w:val="20"/>
                <w:szCs w:val="20"/>
              </w:rPr>
              <w:t>(.39</w:t>
            </w:r>
            <w:r w:rsidR="00B63C07" w:rsidRPr="00EF2A33">
              <w:rPr>
                <w:sz w:val="20"/>
                <w:szCs w:val="20"/>
              </w:rPr>
              <w:t>)</w:t>
            </w:r>
          </w:p>
        </w:tc>
        <w:tc>
          <w:tcPr>
            <w:tcW w:w="1170" w:type="dxa"/>
          </w:tcPr>
          <w:p w14:paraId="44187179" w14:textId="494BC572" w:rsidR="00B63C07" w:rsidRPr="00EF2A33" w:rsidRDefault="00833AF4" w:rsidP="00FB09F1">
            <w:pPr>
              <w:widowControl w:val="0"/>
              <w:autoSpaceDE w:val="0"/>
              <w:autoSpaceDN w:val="0"/>
              <w:adjustRightInd w:val="0"/>
              <w:spacing w:after="0" w:line="240" w:lineRule="auto"/>
              <w:jc w:val="right"/>
              <w:rPr>
                <w:sz w:val="20"/>
                <w:szCs w:val="20"/>
              </w:rPr>
            </w:pPr>
            <w:r w:rsidRPr="00EF2A33">
              <w:rPr>
                <w:sz w:val="20"/>
                <w:szCs w:val="20"/>
              </w:rPr>
              <w:t>.115</w:t>
            </w:r>
            <w:r w:rsidR="00B63C07" w:rsidRPr="00EF2A33">
              <w:rPr>
                <w:sz w:val="20"/>
                <w:szCs w:val="20"/>
              </w:rPr>
              <w:t>***</w:t>
            </w:r>
          </w:p>
          <w:p w14:paraId="78C6129C" w14:textId="5FF36957" w:rsidR="00B63C07" w:rsidRPr="00EF2A33" w:rsidRDefault="00B31052"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tc>
      </w:tr>
      <w:tr w:rsidR="00EF2A33" w:rsidRPr="00EF2A33" w14:paraId="1A5B79AE" w14:textId="77777777" w:rsidTr="005C3EBC">
        <w:trPr>
          <w:trHeight w:val="184"/>
          <w:jc w:val="center"/>
        </w:trPr>
        <w:tc>
          <w:tcPr>
            <w:tcW w:w="2114" w:type="dxa"/>
          </w:tcPr>
          <w:p w14:paraId="580C40CC"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FAMILY</w:t>
            </w:r>
          </w:p>
        </w:tc>
        <w:tc>
          <w:tcPr>
            <w:tcW w:w="1080" w:type="dxa"/>
          </w:tcPr>
          <w:p w14:paraId="691EB204"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59A0307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717076C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-.004***</w:t>
            </w:r>
          </w:p>
          <w:p w14:paraId="028ACFC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080" w:type="dxa"/>
          </w:tcPr>
          <w:p w14:paraId="22519A0D" w14:textId="70F1EFF1" w:rsidR="00B63C07" w:rsidRPr="00EF2A33" w:rsidRDefault="002D0F55" w:rsidP="00FB09F1">
            <w:pPr>
              <w:widowControl w:val="0"/>
              <w:autoSpaceDE w:val="0"/>
              <w:autoSpaceDN w:val="0"/>
              <w:adjustRightInd w:val="0"/>
              <w:spacing w:after="0" w:line="240" w:lineRule="auto"/>
              <w:jc w:val="right"/>
              <w:rPr>
                <w:sz w:val="20"/>
                <w:szCs w:val="20"/>
              </w:rPr>
            </w:pPr>
            <w:r w:rsidRPr="00EF2A33">
              <w:rPr>
                <w:sz w:val="20"/>
                <w:szCs w:val="20"/>
              </w:rPr>
              <w:t>-.6</w:t>
            </w:r>
            <w:r w:rsidR="000E70C7" w:rsidRPr="00EF2A33">
              <w:rPr>
                <w:sz w:val="20"/>
                <w:szCs w:val="20"/>
              </w:rPr>
              <w:t>2</w:t>
            </w:r>
            <w:r w:rsidR="00B63C07" w:rsidRPr="00EF2A33">
              <w:rPr>
                <w:sz w:val="20"/>
                <w:szCs w:val="20"/>
              </w:rPr>
              <w:t>***</w:t>
            </w:r>
          </w:p>
          <w:p w14:paraId="2F8FA444" w14:textId="5DD55BD9" w:rsidR="00B63C07" w:rsidRPr="00EF2A33" w:rsidRDefault="00B31052" w:rsidP="00FB09F1">
            <w:pPr>
              <w:widowControl w:val="0"/>
              <w:autoSpaceDE w:val="0"/>
              <w:autoSpaceDN w:val="0"/>
              <w:adjustRightInd w:val="0"/>
              <w:spacing w:after="0" w:line="240" w:lineRule="auto"/>
              <w:jc w:val="right"/>
              <w:rPr>
                <w:sz w:val="20"/>
                <w:szCs w:val="20"/>
              </w:rPr>
            </w:pPr>
            <w:r w:rsidRPr="00EF2A33">
              <w:rPr>
                <w:sz w:val="20"/>
                <w:szCs w:val="20"/>
              </w:rPr>
              <w:t>(.17</w:t>
            </w:r>
            <w:r w:rsidR="00B63C07" w:rsidRPr="00EF2A33">
              <w:rPr>
                <w:sz w:val="20"/>
                <w:szCs w:val="20"/>
              </w:rPr>
              <w:t>)</w:t>
            </w:r>
          </w:p>
        </w:tc>
        <w:tc>
          <w:tcPr>
            <w:tcW w:w="1170" w:type="dxa"/>
          </w:tcPr>
          <w:p w14:paraId="349D9062" w14:textId="155A45D2" w:rsidR="00B63C07" w:rsidRPr="00EF2A33" w:rsidRDefault="00A341F3" w:rsidP="00FB09F1">
            <w:pPr>
              <w:widowControl w:val="0"/>
              <w:autoSpaceDE w:val="0"/>
              <w:autoSpaceDN w:val="0"/>
              <w:adjustRightInd w:val="0"/>
              <w:spacing w:after="0" w:line="240" w:lineRule="auto"/>
              <w:jc w:val="right"/>
              <w:rPr>
                <w:sz w:val="20"/>
                <w:szCs w:val="20"/>
              </w:rPr>
            </w:pPr>
            <w:r w:rsidRPr="00EF2A33">
              <w:rPr>
                <w:sz w:val="20"/>
                <w:szCs w:val="20"/>
              </w:rPr>
              <w:t>-.11</w:t>
            </w:r>
            <w:r w:rsidR="00B63C07" w:rsidRPr="00EF2A33">
              <w:rPr>
                <w:sz w:val="20"/>
                <w:szCs w:val="20"/>
              </w:rPr>
              <w:t>***</w:t>
            </w:r>
          </w:p>
          <w:p w14:paraId="1BB8C49D" w14:textId="4F76AC8E" w:rsidR="00B63C07" w:rsidRPr="00EF2A33" w:rsidRDefault="00B31052"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tc>
      </w:tr>
      <w:tr w:rsidR="00EF2A33" w:rsidRPr="00EF2A33" w14:paraId="77FB2F5F" w14:textId="77777777" w:rsidTr="005C3EBC">
        <w:trPr>
          <w:trHeight w:val="196"/>
          <w:jc w:val="center"/>
        </w:trPr>
        <w:tc>
          <w:tcPr>
            <w:tcW w:w="2114" w:type="dxa"/>
          </w:tcPr>
          <w:p w14:paraId="4257B5FE" w14:textId="15249357" w:rsidR="00B63C07" w:rsidRPr="00EF2A33" w:rsidRDefault="00537050" w:rsidP="005C3EBC">
            <w:pPr>
              <w:widowControl w:val="0"/>
              <w:autoSpaceDE w:val="0"/>
              <w:autoSpaceDN w:val="0"/>
              <w:adjustRightInd w:val="0"/>
              <w:spacing w:after="0" w:line="240" w:lineRule="auto"/>
              <w:rPr>
                <w:sz w:val="20"/>
                <w:szCs w:val="20"/>
              </w:rPr>
            </w:pPr>
            <w:r w:rsidRPr="00EF2A33">
              <w:rPr>
                <w:sz w:val="20"/>
                <w:szCs w:val="20"/>
              </w:rPr>
              <w:t>EDU</w:t>
            </w:r>
          </w:p>
        </w:tc>
        <w:tc>
          <w:tcPr>
            <w:tcW w:w="1080" w:type="dxa"/>
          </w:tcPr>
          <w:p w14:paraId="39EDAA70" w14:textId="5AE1B3FE"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p w14:paraId="6DB06A5E" w14:textId="5DE27184"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tc>
        <w:tc>
          <w:tcPr>
            <w:tcW w:w="1170" w:type="dxa"/>
          </w:tcPr>
          <w:p w14:paraId="23ED96A1" w14:textId="56132E41"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-.01</w:t>
            </w:r>
          </w:p>
          <w:p w14:paraId="6CB86957" w14:textId="00BBF814"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w:t>
            </w:r>
            <w:r w:rsidR="00B63C07" w:rsidRPr="00EF2A33">
              <w:rPr>
                <w:sz w:val="20"/>
                <w:szCs w:val="20"/>
              </w:rPr>
              <w:t>2)</w:t>
            </w:r>
          </w:p>
        </w:tc>
        <w:tc>
          <w:tcPr>
            <w:tcW w:w="1080" w:type="dxa"/>
          </w:tcPr>
          <w:p w14:paraId="79AE1A0D" w14:textId="0F886904" w:rsidR="00B63C07" w:rsidRPr="00EF2A33" w:rsidRDefault="00616BF8" w:rsidP="00FB09F1">
            <w:pPr>
              <w:widowControl w:val="0"/>
              <w:autoSpaceDE w:val="0"/>
              <w:autoSpaceDN w:val="0"/>
              <w:adjustRightInd w:val="0"/>
              <w:spacing w:after="0" w:line="240" w:lineRule="auto"/>
              <w:jc w:val="right"/>
              <w:rPr>
                <w:sz w:val="20"/>
                <w:szCs w:val="20"/>
              </w:rPr>
            </w:pPr>
            <w:r w:rsidRPr="00EF2A33">
              <w:rPr>
                <w:sz w:val="20"/>
                <w:szCs w:val="20"/>
              </w:rPr>
              <w:t>-14.6*</w:t>
            </w:r>
            <w:r w:rsidR="00B63C07" w:rsidRPr="00EF2A33">
              <w:rPr>
                <w:sz w:val="20"/>
                <w:szCs w:val="20"/>
              </w:rPr>
              <w:t>*</w:t>
            </w:r>
          </w:p>
          <w:p w14:paraId="272A50B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(6)</w:t>
            </w:r>
          </w:p>
        </w:tc>
        <w:tc>
          <w:tcPr>
            <w:tcW w:w="1170" w:type="dxa"/>
          </w:tcPr>
          <w:p w14:paraId="1D668CC4" w14:textId="5C6EDEF3"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-2.74</w:t>
            </w:r>
            <w:r w:rsidR="00B63C07" w:rsidRPr="00EF2A33">
              <w:rPr>
                <w:sz w:val="20"/>
                <w:szCs w:val="20"/>
              </w:rPr>
              <w:t>***</w:t>
            </w:r>
          </w:p>
          <w:p w14:paraId="0232F55A" w14:textId="15A2CBF5"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(.52</w:t>
            </w:r>
            <w:r w:rsidR="00B63C07" w:rsidRPr="00EF2A33">
              <w:rPr>
                <w:sz w:val="20"/>
                <w:szCs w:val="20"/>
              </w:rPr>
              <w:t>)</w:t>
            </w:r>
          </w:p>
        </w:tc>
      </w:tr>
      <w:tr w:rsidR="00EF2A33" w:rsidRPr="00EF2A33" w14:paraId="5407A6AF" w14:textId="77777777" w:rsidTr="005C3EBC">
        <w:trPr>
          <w:trHeight w:val="184"/>
          <w:jc w:val="center"/>
        </w:trPr>
        <w:tc>
          <w:tcPr>
            <w:tcW w:w="2114" w:type="dxa"/>
          </w:tcPr>
          <w:p w14:paraId="7A5539C2"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TA</w:t>
            </w:r>
          </w:p>
        </w:tc>
        <w:tc>
          <w:tcPr>
            <w:tcW w:w="1080" w:type="dxa"/>
          </w:tcPr>
          <w:p w14:paraId="3295CDF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380BA51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31C9692E" w14:textId="0051F655" w:rsidR="00B63C07" w:rsidRPr="00EF2A33" w:rsidRDefault="00A54880" w:rsidP="00FB09F1">
            <w:pPr>
              <w:widowControl w:val="0"/>
              <w:autoSpaceDE w:val="0"/>
              <w:autoSpaceDN w:val="0"/>
              <w:adjustRightInd w:val="0"/>
              <w:spacing w:after="0" w:line="240" w:lineRule="auto"/>
              <w:jc w:val="right"/>
              <w:rPr>
                <w:sz w:val="20"/>
                <w:szCs w:val="20"/>
              </w:rPr>
            </w:pPr>
            <w:r w:rsidRPr="00EF2A33">
              <w:rPr>
                <w:sz w:val="20"/>
                <w:szCs w:val="20"/>
              </w:rPr>
              <w:t>0</w:t>
            </w:r>
          </w:p>
          <w:p w14:paraId="16D4CCE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080" w:type="dxa"/>
          </w:tcPr>
          <w:p w14:paraId="7CC650F3" w14:textId="7F316856"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r w:rsidR="00616BF8" w:rsidRPr="00EF2A33">
              <w:rPr>
                <w:sz w:val="20"/>
                <w:szCs w:val="20"/>
              </w:rPr>
              <w:t>*</w:t>
            </w:r>
          </w:p>
          <w:p w14:paraId="5F1C649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170" w:type="dxa"/>
          </w:tcPr>
          <w:p w14:paraId="5F4C383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0A149E4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r>
      <w:tr w:rsidR="00EF2A33" w:rsidRPr="00EF2A33" w14:paraId="0AD1F864" w14:textId="77777777" w:rsidTr="005C3EBC">
        <w:trPr>
          <w:trHeight w:val="196"/>
          <w:jc w:val="center"/>
        </w:trPr>
        <w:tc>
          <w:tcPr>
            <w:tcW w:w="2114" w:type="dxa"/>
          </w:tcPr>
          <w:p w14:paraId="0B4CC57C" w14:textId="77777777" w:rsidR="00B63C07" w:rsidRPr="00EF2A33" w:rsidRDefault="00B63C07" w:rsidP="00EF2A6A">
            <w:pPr>
              <w:spacing w:after="0" w:line="240" w:lineRule="auto"/>
              <w:jc w:val="left"/>
              <w:rPr>
                <w:sz w:val="20"/>
                <w:szCs w:val="20"/>
              </w:rPr>
            </w:pPr>
            <w:r w:rsidRPr="00EF2A33">
              <w:rPr>
                <w:sz w:val="20"/>
                <w:szCs w:val="20"/>
              </w:rPr>
              <w:t>INDUS</w:t>
            </w:r>
          </w:p>
        </w:tc>
        <w:tc>
          <w:tcPr>
            <w:tcW w:w="1080" w:type="dxa"/>
          </w:tcPr>
          <w:p w14:paraId="1B40DD6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170" w:type="dxa"/>
          </w:tcPr>
          <w:p w14:paraId="227B430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080" w:type="dxa"/>
          </w:tcPr>
          <w:p w14:paraId="6DC65297"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170" w:type="dxa"/>
          </w:tcPr>
          <w:p w14:paraId="6C5B6F8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r>
      <w:tr w:rsidR="00EF2A33" w:rsidRPr="00EF2A33" w14:paraId="1EFA2A64" w14:textId="77777777" w:rsidTr="005C3EBC">
        <w:trPr>
          <w:trHeight w:val="196"/>
          <w:jc w:val="center"/>
        </w:trPr>
        <w:tc>
          <w:tcPr>
            <w:tcW w:w="2114" w:type="dxa"/>
          </w:tcPr>
          <w:p w14:paraId="3432DB49" w14:textId="77777777" w:rsidR="00B63C07" w:rsidRPr="00EF2A33" w:rsidRDefault="00B63C07" w:rsidP="00EF2A6A">
            <w:pPr>
              <w:spacing w:after="0" w:line="240" w:lineRule="auto"/>
              <w:jc w:val="left"/>
              <w:rPr>
                <w:sz w:val="20"/>
                <w:szCs w:val="20"/>
              </w:rPr>
            </w:pPr>
            <w:r w:rsidRPr="00EF2A33">
              <w:rPr>
                <w:sz w:val="20"/>
                <w:szCs w:val="20"/>
              </w:rPr>
              <w:t>YEAR</w:t>
            </w:r>
          </w:p>
        </w:tc>
        <w:tc>
          <w:tcPr>
            <w:tcW w:w="1080" w:type="dxa"/>
          </w:tcPr>
          <w:p w14:paraId="1E1359E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170" w:type="dxa"/>
          </w:tcPr>
          <w:p w14:paraId="676C0F3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080" w:type="dxa"/>
          </w:tcPr>
          <w:p w14:paraId="378F875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170" w:type="dxa"/>
          </w:tcPr>
          <w:p w14:paraId="18480BD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r>
      <w:tr w:rsidR="00EF2A33" w:rsidRPr="00EF2A33" w14:paraId="3F4AE45A" w14:textId="77777777" w:rsidTr="005C3EBC">
        <w:trPr>
          <w:trHeight w:val="196"/>
          <w:jc w:val="center"/>
        </w:trPr>
        <w:tc>
          <w:tcPr>
            <w:tcW w:w="2114" w:type="dxa"/>
            <w:hideMark/>
          </w:tcPr>
          <w:p w14:paraId="7E391385"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Constant</w:t>
            </w:r>
          </w:p>
        </w:tc>
        <w:tc>
          <w:tcPr>
            <w:tcW w:w="1080" w:type="dxa"/>
          </w:tcPr>
          <w:p w14:paraId="6EAEC34F" w14:textId="23A03E86"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.11</w:t>
            </w:r>
            <w:r w:rsidR="00B63C07" w:rsidRPr="00EF2A33">
              <w:rPr>
                <w:sz w:val="20"/>
                <w:szCs w:val="20"/>
              </w:rPr>
              <w:t>***</w:t>
            </w:r>
          </w:p>
          <w:p w14:paraId="4187A06A" w14:textId="72C54B7A"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tc>
        <w:tc>
          <w:tcPr>
            <w:tcW w:w="1170" w:type="dxa"/>
          </w:tcPr>
          <w:p w14:paraId="0B21DFF2" w14:textId="7B5D0081"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.36</w:t>
            </w:r>
            <w:r w:rsidR="00B63C07" w:rsidRPr="00EF2A33">
              <w:rPr>
                <w:sz w:val="20"/>
                <w:szCs w:val="20"/>
              </w:rPr>
              <w:t>***</w:t>
            </w:r>
          </w:p>
          <w:p w14:paraId="2D990DCC" w14:textId="2D294CB8"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(.07</w:t>
            </w:r>
            <w:r w:rsidR="00B63C07" w:rsidRPr="00EF2A33">
              <w:rPr>
                <w:sz w:val="20"/>
                <w:szCs w:val="20"/>
              </w:rPr>
              <w:t>)</w:t>
            </w:r>
          </w:p>
        </w:tc>
        <w:tc>
          <w:tcPr>
            <w:tcW w:w="1080" w:type="dxa"/>
          </w:tcPr>
          <w:p w14:paraId="63B31E81" w14:textId="494E6974"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35.8</w:t>
            </w:r>
            <w:r w:rsidR="00B63C07" w:rsidRPr="00EF2A33">
              <w:rPr>
                <w:sz w:val="20"/>
                <w:szCs w:val="20"/>
              </w:rPr>
              <w:t>6*</w:t>
            </w:r>
          </w:p>
          <w:p w14:paraId="69A61B1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(18.67)</w:t>
            </w:r>
          </w:p>
        </w:tc>
        <w:tc>
          <w:tcPr>
            <w:tcW w:w="1170" w:type="dxa"/>
          </w:tcPr>
          <w:p w14:paraId="24696412" w14:textId="3CF6987C" w:rsidR="00B63C07" w:rsidRPr="00EF2A33" w:rsidRDefault="0010600D" w:rsidP="00FB09F1">
            <w:pPr>
              <w:widowControl w:val="0"/>
              <w:autoSpaceDE w:val="0"/>
              <w:autoSpaceDN w:val="0"/>
              <w:adjustRightInd w:val="0"/>
              <w:spacing w:after="0" w:line="240" w:lineRule="auto"/>
              <w:jc w:val="right"/>
              <w:rPr>
                <w:sz w:val="20"/>
                <w:szCs w:val="20"/>
              </w:rPr>
            </w:pPr>
            <w:r w:rsidRPr="00EF2A33">
              <w:rPr>
                <w:sz w:val="20"/>
                <w:szCs w:val="20"/>
              </w:rPr>
              <w:t>7.79</w:t>
            </w:r>
            <w:r w:rsidR="00B63C07" w:rsidRPr="00EF2A33">
              <w:rPr>
                <w:sz w:val="20"/>
                <w:szCs w:val="20"/>
              </w:rPr>
              <w:t>***</w:t>
            </w:r>
          </w:p>
          <w:p w14:paraId="7A30DAE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(1.61)</w:t>
            </w:r>
          </w:p>
        </w:tc>
      </w:tr>
      <w:tr w:rsidR="00EF2A33" w:rsidRPr="00EF2A33" w14:paraId="7DE7C1A4" w14:textId="77777777" w:rsidTr="005C3EBC">
        <w:trPr>
          <w:trHeight w:val="196"/>
          <w:jc w:val="center"/>
        </w:trPr>
        <w:tc>
          <w:tcPr>
            <w:tcW w:w="2114" w:type="dxa"/>
            <w:hideMark/>
          </w:tcPr>
          <w:p w14:paraId="37272417"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Observations</w:t>
            </w:r>
          </w:p>
        </w:tc>
        <w:tc>
          <w:tcPr>
            <w:tcW w:w="1080" w:type="dxa"/>
            <w:hideMark/>
          </w:tcPr>
          <w:p w14:paraId="73A06690"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170" w:type="dxa"/>
            <w:hideMark/>
          </w:tcPr>
          <w:p w14:paraId="6B8B84D7"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080" w:type="dxa"/>
          </w:tcPr>
          <w:p w14:paraId="627426E9"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170" w:type="dxa"/>
          </w:tcPr>
          <w:p w14:paraId="1D05ADC3"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r>
      <w:tr w:rsidR="00EF2A33" w:rsidRPr="00EF2A33" w14:paraId="4E842CF5" w14:textId="77777777" w:rsidTr="005C3EBC">
        <w:trPr>
          <w:trHeight w:val="306"/>
          <w:jc w:val="center"/>
        </w:trPr>
        <w:tc>
          <w:tcPr>
            <w:tcW w:w="2114" w:type="dxa"/>
            <w:hideMark/>
          </w:tcPr>
          <w:p w14:paraId="3EFCAC6F"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R-squared</w:t>
            </w:r>
          </w:p>
        </w:tc>
        <w:tc>
          <w:tcPr>
            <w:tcW w:w="1080" w:type="dxa"/>
          </w:tcPr>
          <w:p w14:paraId="7E7001E7"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0.75</w:t>
            </w:r>
          </w:p>
        </w:tc>
        <w:tc>
          <w:tcPr>
            <w:tcW w:w="1170" w:type="dxa"/>
          </w:tcPr>
          <w:p w14:paraId="2A05E41E" w14:textId="377CBF12" w:rsidR="00B63C07" w:rsidRPr="00EF2A33" w:rsidRDefault="0033142F"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0.57</w:t>
            </w:r>
          </w:p>
        </w:tc>
        <w:tc>
          <w:tcPr>
            <w:tcW w:w="1080" w:type="dxa"/>
          </w:tcPr>
          <w:p w14:paraId="3F0D2DA3" w14:textId="6EE6F979" w:rsidR="00B63C07" w:rsidRPr="00EF2A33" w:rsidRDefault="00B347B8"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0.18</w:t>
            </w:r>
          </w:p>
        </w:tc>
        <w:tc>
          <w:tcPr>
            <w:tcW w:w="1170" w:type="dxa"/>
          </w:tcPr>
          <w:p w14:paraId="779C9EC7"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0.52</w:t>
            </w:r>
          </w:p>
        </w:tc>
      </w:tr>
      <w:tr w:rsidR="00B63C07" w:rsidRPr="00EF2A33" w14:paraId="21F0B8BF" w14:textId="77777777" w:rsidTr="005C3EBC">
        <w:trPr>
          <w:trHeight w:val="306"/>
          <w:jc w:val="center"/>
        </w:trPr>
        <w:tc>
          <w:tcPr>
            <w:tcW w:w="6614" w:type="dxa"/>
            <w:gridSpan w:val="5"/>
            <w:tcBorders>
              <w:bottom w:val="single" w:sz="4" w:space="0" w:color="auto"/>
            </w:tcBorders>
          </w:tcPr>
          <w:p w14:paraId="3FBD85CD" w14:textId="6C0A9C82" w:rsidR="00B63C07" w:rsidRPr="00EF2A33" w:rsidRDefault="00B63C07" w:rsidP="005C3EBC">
            <w:pPr>
              <w:pBdr>
                <w:top w:val="single" w:sz="4" w:space="1" w:color="auto"/>
              </w:pBdr>
              <w:spacing w:line="240" w:lineRule="auto"/>
              <w:rPr>
                <w:sz w:val="20"/>
                <w:szCs w:val="20"/>
                <w:lang w:val="en-GB"/>
              </w:rPr>
            </w:pPr>
            <w:r w:rsidRPr="00EF2A33">
              <w:rPr>
                <w:sz w:val="20"/>
                <w:szCs w:val="20"/>
                <w:lang w:val="en-GB"/>
              </w:rPr>
              <w:t xml:space="preserve">Notes: (1) *, **, *** </w:t>
            </w:r>
            <w:r w:rsidRPr="00EF2A33">
              <w:rPr>
                <w:rFonts w:eastAsia="Calibri"/>
                <w:sz w:val="20"/>
                <w:szCs w:val="20"/>
                <w:lang w:val="en-GB"/>
              </w:rPr>
              <w:t xml:space="preserve">indicate significance at the 10%, 5%, and 1% </w:t>
            </w:r>
            <w:r w:rsidR="00C05C02" w:rsidRPr="00EF2A33">
              <w:rPr>
                <w:rFonts w:eastAsia="Calibri"/>
                <w:sz w:val="20"/>
                <w:szCs w:val="20"/>
                <w:lang w:val="en-GB"/>
              </w:rPr>
              <w:t xml:space="preserve">confidence </w:t>
            </w:r>
            <w:r w:rsidRPr="00EF2A33">
              <w:rPr>
                <w:rFonts w:eastAsia="Calibri"/>
                <w:sz w:val="20"/>
                <w:szCs w:val="20"/>
                <w:lang w:val="en-GB"/>
              </w:rPr>
              <w:t>levels</w:t>
            </w:r>
            <w:r w:rsidRPr="00EF2A33">
              <w:rPr>
                <w:sz w:val="20"/>
                <w:szCs w:val="20"/>
                <w:lang w:val="en-GB"/>
              </w:rPr>
              <w:t xml:space="preserve">, respectively. (2) See Table 2 for </w:t>
            </w:r>
            <w:r w:rsidRPr="00EF2A33">
              <w:rPr>
                <w:rFonts w:eastAsia="Calibri"/>
                <w:sz w:val="20"/>
                <w:szCs w:val="20"/>
                <w:lang w:val="en-GB"/>
              </w:rPr>
              <w:t>the variable definitions.</w:t>
            </w:r>
          </w:p>
          <w:p w14:paraId="64C2D84C" w14:textId="77777777" w:rsidR="00B63C07" w:rsidRPr="00EF2A33" w:rsidRDefault="00B63C07" w:rsidP="005C3EBC">
            <w:pPr>
              <w:widowControl w:val="0"/>
              <w:autoSpaceDE w:val="0"/>
              <w:autoSpaceDN w:val="0"/>
              <w:adjustRightInd w:val="0"/>
              <w:spacing w:after="0" w:line="240" w:lineRule="auto"/>
              <w:jc w:val="left"/>
              <w:rPr>
                <w:rFonts w:ascii="Garamond" w:eastAsiaTheme="minorEastAsia" w:hAnsi="Garamond"/>
                <w:sz w:val="20"/>
                <w:szCs w:val="20"/>
              </w:rPr>
            </w:pPr>
            <w:r w:rsidRPr="00EF2A33">
              <w:rPr>
                <w:sz w:val="20"/>
                <w:szCs w:val="20"/>
              </w:rPr>
              <w:t>Source: Authors’ own work</w:t>
            </w:r>
          </w:p>
        </w:tc>
      </w:tr>
    </w:tbl>
    <w:p w14:paraId="4CEA2940" w14:textId="77777777" w:rsidR="00364626" w:rsidRPr="00EF2A33" w:rsidRDefault="00364626" w:rsidP="002D4DDA">
      <w:pPr>
        <w:rPr>
          <w:bCs/>
          <w:iCs/>
          <w:lang w:val="en-GB"/>
        </w:rPr>
      </w:pPr>
    </w:p>
    <w:p w14:paraId="1006784A" w14:textId="62B04177" w:rsidR="00364626" w:rsidRPr="00EF2A33" w:rsidRDefault="00364626" w:rsidP="00324FCF">
      <w:pPr>
        <w:rPr>
          <w:rFonts w:eastAsia="Times New Roman"/>
          <w:lang w:val="en-GB" w:eastAsia="en-GB"/>
        </w:rPr>
      </w:pPr>
      <w:r w:rsidRPr="00EF2A33">
        <w:rPr>
          <w:b/>
          <w:bCs/>
          <w:iCs/>
          <w:lang w:val="en-GB"/>
        </w:rPr>
        <w:t xml:space="preserve">6.3.2 2sls </w:t>
      </w:r>
      <w:r w:rsidR="00FC4F0B" w:rsidRPr="00EF2A33">
        <w:rPr>
          <w:b/>
          <w:iCs/>
          <w:lang w:val="en-GB"/>
        </w:rPr>
        <w:t>R</w:t>
      </w:r>
      <w:r w:rsidR="002130EF" w:rsidRPr="00EF2A33">
        <w:rPr>
          <w:b/>
          <w:iCs/>
          <w:lang w:val="en-GB"/>
        </w:rPr>
        <w:t>egression</w:t>
      </w:r>
      <w:r w:rsidR="002130EF" w:rsidRPr="00EF2A33">
        <w:rPr>
          <w:b/>
          <w:bCs/>
          <w:iCs/>
          <w:lang w:val="en-GB"/>
        </w:rPr>
        <w:t xml:space="preserve"> </w:t>
      </w:r>
      <w:r w:rsidR="00FC4F0B" w:rsidRPr="00EF2A33">
        <w:rPr>
          <w:b/>
          <w:bCs/>
          <w:iCs/>
          <w:lang w:val="en-GB"/>
        </w:rPr>
        <w:t>E</w:t>
      </w:r>
      <w:r w:rsidRPr="00EF2A33">
        <w:rPr>
          <w:b/>
          <w:bCs/>
          <w:iCs/>
          <w:lang w:val="en-GB"/>
        </w:rPr>
        <w:t>ffect:</w:t>
      </w:r>
      <w:r w:rsidR="008B17F7" w:rsidRPr="00EF2A33">
        <w:rPr>
          <w:bCs/>
          <w:iCs/>
          <w:lang w:val="en-GB"/>
        </w:rPr>
        <w:t xml:space="preserve"> </w:t>
      </w:r>
      <w:r w:rsidR="00725F14" w:rsidRPr="00EF2A33">
        <w:rPr>
          <w:rFonts w:eastAsia="Times New Roman"/>
          <w:lang w:val="en-GB" w:eastAsia="en-GB"/>
        </w:rPr>
        <w:t xml:space="preserve">We systematically address any endogeneity problems by using the two-stage least squares (2SLS) method, as described in Table </w:t>
      </w:r>
      <w:r w:rsidR="00B63C07" w:rsidRPr="00EF2A33">
        <w:rPr>
          <w:rFonts w:eastAsia="Times New Roman"/>
          <w:lang w:val="en-GB" w:eastAsia="en-GB"/>
        </w:rPr>
        <w:t>7</w:t>
      </w:r>
      <w:r w:rsidR="00725F14" w:rsidRPr="00EF2A33">
        <w:rPr>
          <w:rFonts w:eastAsia="Times New Roman"/>
          <w:lang w:val="en-GB" w:eastAsia="en-GB"/>
        </w:rPr>
        <w:t xml:space="preserve">, </w:t>
      </w:r>
      <w:r w:rsidR="00F83FFD" w:rsidRPr="00EF2A33">
        <w:rPr>
          <w:rFonts w:eastAsia="Times New Roman"/>
          <w:lang w:val="en-GB" w:eastAsia="en-GB"/>
        </w:rPr>
        <w:t>following</w:t>
      </w:r>
      <w:r w:rsidR="00725F14" w:rsidRPr="00EF2A33">
        <w:rPr>
          <w:rFonts w:eastAsia="Times New Roman"/>
          <w:lang w:val="en-GB" w:eastAsia="en-GB"/>
        </w:rPr>
        <w:t xml:space="preserve"> the methodology suggested by Larcker and Rusticus (2010).</w:t>
      </w:r>
      <w:r w:rsidR="00237431" w:rsidRPr="00EF2A33">
        <w:rPr>
          <w:rFonts w:eastAsia="Times New Roman"/>
          <w:lang w:val="en-GB" w:eastAsia="en-GB"/>
        </w:rPr>
        <w:t xml:space="preserve"> We used the Cho and Kim (2003) technique because of the interdependence of board qualities, especially the appointment of board or subcommittee members.</w:t>
      </w:r>
      <w:r w:rsidR="00847709" w:rsidRPr="00EF2A33">
        <w:rPr>
          <w:rFonts w:eastAsia="Times New Roman"/>
          <w:lang w:val="en-GB" w:eastAsia="en-GB"/>
        </w:rPr>
        <w:t xml:space="preserve"> In this context, the number of independent directors </w:t>
      </w:r>
      <w:r w:rsidR="00F83FFD" w:rsidRPr="00EF2A33">
        <w:rPr>
          <w:rFonts w:eastAsia="Times New Roman"/>
          <w:lang w:val="en-GB" w:eastAsia="en-GB"/>
        </w:rPr>
        <w:t>is</w:t>
      </w:r>
      <w:r w:rsidR="00847709" w:rsidRPr="00EF2A33">
        <w:rPr>
          <w:rFonts w:eastAsia="Times New Roman"/>
          <w:lang w:val="en-GB" w:eastAsia="en-GB"/>
        </w:rPr>
        <w:t xml:space="preserve"> an endogenous variable that has a bearing on company board size. The strategy takes into consideration the regulatory mandate from the Securities and Exchange Commission (2012) and Bangladesh Securities and Exchange Commission (2018) for boards to maintain a minimum of 20% of independent directors </w:t>
      </w:r>
      <w:proofErr w:type="gramStart"/>
      <w:r w:rsidR="00847709" w:rsidRPr="00EF2A33">
        <w:rPr>
          <w:rFonts w:eastAsia="Times New Roman"/>
          <w:lang w:val="en-GB" w:eastAsia="en-GB"/>
        </w:rPr>
        <w:t>in order to</w:t>
      </w:r>
      <w:proofErr w:type="gramEnd"/>
      <w:r w:rsidR="00847709" w:rsidRPr="00EF2A33">
        <w:rPr>
          <w:rFonts w:eastAsia="Times New Roman"/>
          <w:lang w:val="en-GB" w:eastAsia="en-GB"/>
        </w:rPr>
        <w:t xml:space="preserve"> adhere to corporate governance norms.</w:t>
      </w:r>
      <w:r w:rsidR="007E098E" w:rsidRPr="00EF2A33">
        <w:rPr>
          <w:rFonts w:eastAsia="Times New Roman"/>
          <w:lang w:val="en-GB" w:eastAsia="en-GB"/>
        </w:rPr>
        <w:t xml:space="preserve"> The validity and reliability of our findings are enhanced by the 2SLS results in Table 8, which provide insights into possible endogeneity concerns. </w:t>
      </w:r>
      <w:r w:rsidR="00713A40" w:rsidRPr="00EF2A33">
        <w:rPr>
          <w:rFonts w:eastAsia="Times New Roman"/>
          <w:lang w:val="en-GB" w:eastAsia="en-GB"/>
        </w:rPr>
        <w:t>The results of Durbin-Wu-Hausman statistics exhibit the r</w:t>
      </w:r>
      <w:r w:rsidR="00605E60" w:rsidRPr="00EF2A33">
        <w:rPr>
          <w:rFonts w:eastAsia="Times New Roman"/>
          <w:lang w:val="en-GB" w:eastAsia="en-GB"/>
        </w:rPr>
        <w:t>ange of 9.52 to 0.32</w:t>
      </w:r>
      <w:r w:rsidR="00713A40" w:rsidRPr="00EF2A33">
        <w:rPr>
          <w:rFonts w:eastAsia="Times New Roman"/>
          <w:lang w:val="en-GB" w:eastAsia="en-GB"/>
        </w:rPr>
        <w:t>.</w:t>
      </w:r>
      <w:r w:rsidR="003C55ED" w:rsidRPr="00EF2A33">
        <w:rPr>
          <w:rFonts w:eastAsia="Times New Roman"/>
          <w:lang w:val="en-GB" w:eastAsia="en-GB"/>
        </w:rPr>
        <w:t xml:space="preserve"> According to Ullah et al. (2018), models deemed acceptable when the Durbin-Wu-Hausman stat</w:t>
      </w:r>
      <w:r w:rsidR="000C3660" w:rsidRPr="00EF2A33">
        <w:rPr>
          <w:rFonts w:eastAsia="Times New Roman"/>
          <w:lang w:val="en-GB" w:eastAsia="en-GB"/>
        </w:rPr>
        <w:t>istics fall between 1.5 and 6</w:t>
      </w:r>
      <w:r w:rsidR="003C55ED" w:rsidRPr="00EF2A33">
        <w:rPr>
          <w:rFonts w:eastAsia="Times New Roman"/>
          <w:lang w:val="en-GB" w:eastAsia="en-GB"/>
        </w:rPr>
        <w:t>.5.</w:t>
      </w:r>
      <w:r w:rsidR="00FC4F0B" w:rsidRPr="00EF2A33">
        <w:rPr>
          <w:rFonts w:eastAsia="Times New Roman"/>
          <w:lang w:val="en-GB" w:eastAsia="en-GB"/>
        </w:rPr>
        <w:t xml:space="preserve"> </w:t>
      </w:r>
    </w:p>
    <w:p w14:paraId="0D5DF6A3" w14:textId="3585A92A" w:rsidR="00364626" w:rsidRPr="00EF2A33" w:rsidRDefault="00B63C07" w:rsidP="00364626">
      <w:pPr>
        <w:pStyle w:val="Caption"/>
        <w:keepNext/>
        <w:jc w:val="center"/>
        <w:rPr>
          <w:i w:val="0"/>
          <w:color w:val="auto"/>
          <w:sz w:val="24"/>
          <w:szCs w:val="24"/>
        </w:rPr>
      </w:pPr>
      <w:r w:rsidRPr="00EF2A33">
        <w:rPr>
          <w:i w:val="0"/>
          <w:color w:val="auto"/>
          <w:sz w:val="24"/>
          <w:szCs w:val="24"/>
        </w:rPr>
        <w:t>Table 7</w:t>
      </w:r>
      <w:r w:rsidR="00364626" w:rsidRPr="00EF2A33">
        <w:rPr>
          <w:i w:val="0"/>
          <w:color w:val="auto"/>
          <w:sz w:val="24"/>
          <w:szCs w:val="24"/>
        </w:rPr>
        <w:t>:</w:t>
      </w:r>
      <w:r w:rsidR="004018C7" w:rsidRPr="00EF2A33">
        <w:rPr>
          <w:i w:val="0"/>
          <w:color w:val="auto"/>
          <w:sz w:val="24"/>
          <w:szCs w:val="24"/>
        </w:rPr>
        <w:t xml:space="preserve"> </w:t>
      </w:r>
      <w:r w:rsidR="00364626" w:rsidRPr="00EF2A33">
        <w:rPr>
          <w:bCs/>
          <w:i w:val="0"/>
          <w:color w:val="auto"/>
          <w:sz w:val="24"/>
          <w:szCs w:val="24"/>
        </w:rPr>
        <w:t xml:space="preserve">2SLS </w:t>
      </w:r>
      <w:r w:rsidR="00B3364B" w:rsidRPr="00EF2A33">
        <w:rPr>
          <w:bCs/>
          <w:i w:val="0"/>
          <w:color w:val="auto"/>
          <w:sz w:val="24"/>
          <w:szCs w:val="24"/>
          <w:lang w:val="en-GB"/>
        </w:rPr>
        <w:t>R</w:t>
      </w:r>
      <w:r w:rsidR="002130EF" w:rsidRPr="00EF2A33">
        <w:rPr>
          <w:bCs/>
          <w:i w:val="0"/>
          <w:color w:val="auto"/>
          <w:sz w:val="24"/>
          <w:szCs w:val="24"/>
          <w:lang w:val="en-GB"/>
        </w:rPr>
        <w:t>egression</w:t>
      </w:r>
      <w:r w:rsidR="002130EF" w:rsidRPr="00EF2A33">
        <w:rPr>
          <w:bCs/>
          <w:i w:val="0"/>
          <w:color w:val="auto"/>
          <w:sz w:val="24"/>
          <w:szCs w:val="24"/>
        </w:rPr>
        <w:t xml:space="preserve"> </w:t>
      </w:r>
      <w:r w:rsidR="00B3364B" w:rsidRPr="00EF2A33">
        <w:rPr>
          <w:bCs/>
          <w:i w:val="0"/>
          <w:color w:val="auto"/>
          <w:sz w:val="24"/>
          <w:szCs w:val="24"/>
        </w:rPr>
        <w:t>E</w:t>
      </w:r>
      <w:r w:rsidR="00364626" w:rsidRPr="00EF2A33">
        <w:rPr>
          <w:bCs/>
          <w:i w:val="0"/>
          <w:color w:val="auto"/>
          <w:sz w:val="24"/>
          <w:szCs w:val="24"/>
        </w:rPr>
        <w:t>ffect</w:t>
      </w:r>
    </w:p>
    <w:tbl>
      <w:tblPr>
        <w:tblW w:w="0" w:type="auto"/>
        <w:jc w:val="center"/>
        <w:tblLook w:val="04A0" w:firstRow="1" w:lastRow="0" w:firstColumn="1" w:lastColumn="0" w:noHBand="0" w:noVBand="1"/>
      </w:tblPr>
      <w:tblGrid>
        <w:gridCol w:w="2384"/>
        <w:gridCol w:w="1148"/>
        <w:gridCol w:w="1389"/>
        <w:gridCol w:w="1218"/>
        <w:gridCol w:w="1319"/>
      </w:tblGrid>
      <w:tr w:rsidR="00EF2A33" w:rsidRPr="00EF2A33" w14:paraId="5CDE4C9E" w14:textId="77777777" w:rsidTr="00B63C07">
        <w:trPr>
          <w:trHeight w:val="183"/>
          <w:jc w:val="center"/>
        </w:trPr>
        <w:tc>
          <w:tcPr>
            <w:tcW w:w="2384" w:type="dxa"/>
            <w:tcBorders>
              <w:top w:val="single" w:sz="4" w:space="0" w:color="auto"/>
            </w:tcBorders>
          </w:tcPr>
          <w:p w14:paraId="4463C9E7"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p>
        </w:tc>
        <w:tc>
          <w:tcPr>
            <w:tcW w:w="2537" w:type="dxa"/>
            <w:gridSpan w:val="2"/>
            <w:tcBorders>
              <w:top w:val="single" w:sz="4" w:space="0" w:color="auto"/>
              <w:bottom w:val="single" w:sz="4" w:space="0" w:color="auto"/>
            </w:tcBorders>
            <w:hideMark/>
          </w:tcPr>
          <w:p w14:paraId="43458560"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i/>
                <w:iCs/>
                <w:sz w:val="20"/>
                <w:szCs w:val="20"/>
              </w:rPr>
            </w:pPr>
            <w:r w:rsidRPr="00EF2A33">
              <w:rPr>
                <w:rFonts w:ascii="Garamond" w:eastAsiaTheme="minorEastAsia" w:hAnsi="Garamond"/>
                <w:i/>
                <w:iCs/>
                <w:sz w:val="20"/>
                <w:szCs w:val="20"/>
              </w:rPr>
              <w:t>Accounting Based Measures</w:t>
            </w:r>
          </w:p>
        </w:tc>
        <w:tc>
          <w:tcPr>
            <w:tcW w:w="2537" w:type="dxa"/>
            <w:gridSpan w:val="2"/>
            <w:tcBorders>
              <w:top w:val="single" w:sz="4" w:space="0" w:color="auto"/>
              <w:bottom w:val="single" w:sz="4" w:space="0" w:color="auto"/>
            </w:tcBorders>
            <w:hideMark/>
          </w:tcPr>
          <w:p w14:paraId="5D1A8146"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i/>
                <w:iCs/>
                <w:sz w:val="20"/>
                <w:szCs w:val="20"/>
              </w:rPr>
            </w:pPr>
            <w:r w:rsidRPr="00EF2A33">
              <w:rPr>
                <w:rFonts w:ascii="Garamond" w:eastAsiaTheme="minorEastAsia" w:hAnsi="Garamond"/>
                <w:i/>
                <w:iCs/>
                <w:sz w:val="20"/>
                <w:szCs w:val="20"/>
              </w:rPr>
              <w:t>Market-Based Measures</w:t>
            </w:r>
          </w:p>
        </w:tc>
      </w:tr>
      <w:tr w:rsidR="00EF2A33" w:rsidRPr="00EF2A33" w14:paraId="2D2F252F" w14:textId="77777777" w:rsidTr="00B63C07">
        <w:trPr>
          <w:trHeight w:val="183"/>
          <w:jc w:val="center"/>
        </w:trPr>
        <w:tc>
          <w:tcPr>
            <w:tcW w:w="2384" w:type="dxa"/>
            <w:hideMark/>
          </w:tcPr>
          <w:p w14:paraId="572E42B5"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r w:rsidRPr="00EF2A33">
              <w:rPr>
                <w:rFonts w:ascii="Garamond" w:eastAsiaTheme="minorEastAsia" w:hAnsi="Garamond"/>
                <w:sz w:val="20"/>
                <w:szCs w:val="20"/>
              </w:rPr>
              <w:t xml:space="preserve">   </w:t>
            </w:r>
          </w:p>
        </w:tc>
        <w:tc>
          <w:tcPr>
            <w:tcW w:w="1148" w:type="dxa"/>
            <w:tcBorders>
              <w:top w:val="single" w:sz="4" w:space="0" w:color="auto"/>
            </w:tcBorders>
            <w:hideMark/>
          </w:tcPr>
          <w:p w14:paraId="24C1F684"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(1)</w:t>
            </w:r>
          </w:p>
        </w:tc>
        <w:tc>
          <w:tcPr>
            <w:tcW w:w="1389" w:type="dxa"/>
            <w:tcBorders>
              <w:top w:val="single" w:sz="4" w:space="0" w:color="auto"/>
            </w:tcBorders>
            <w:hideMark/>
          </w:tcPr>
          <w:p w14:paraId="401AFAD9"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(2)</w:t>
            </w:r>
          </w:p>
        </w:tc>
        <w:tc>
          <w:tcPr>
            <w:tcW w:w="1218" w:type="dxa"/>
            <w:tcBorders>
              <w:top w:val="single" w:sz="4" w:space="0" w:color="auto"/>
            </w:tcBorders>
            <w:hideMark/>
          </w:tcPr>
          <w:p w14:paraId="661628F4"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(3)</w:t>
            </w:r>
          </w:p>
        </w:tc>
        <w:tc>
          <w:tcPr>
            <w:tcW w:w="1319" w:type="dxa"/>
            <w:tcBorders>
              <w:top w:val="single" w:sz="4" w:space="0" w:color="auto"/>
            </w:tcBorders>
            <w:hideMark/>
          </w:tcPr>
          <w:p w14:paraId="7B2DF579"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 xml:space="preserve">  (4)</w:t>
            </w:r>
          </w:p>
        </w:tc>
      </w:tr>
      <w:tr w:rsidR="00EF2A33" w:rsidRPr="00EF2A33" w14:paraId="4D7C0B7F" w14:textId="77777777" w:rsidTr="00B63C07">
        <w:trPr>
          <w:trHeight w:val="250"/>
          <w:jc w:val="center"/>
        </w:trPr>
        <w:tc>
          <w:tcPr>
            <w:tcW w:w="2384" w:type="dxa"/>
            <w:tcBorders>
              <w:bottom w:val="single" w:sz="4" w:space="0" w:color="auto"/>
            </w:tcBorders>
            <w:hideMark/>
          </w:tcPr>
          <w:p w14:paraId="04B24A14" w14:textId="77777777" w:rsidR="00B63C07" w:rsidRPr="00EF2A33" w:rsidRDefault="00B63C07" w:rsidP="005C3EBC">
            <w:pPr>
              <w:widowControl w:val="0"/>
              <w:autoSpaceDE w:val="0"/>
              <w:autoSpaceDN w:val="0"/>
              <w:adjustRightInd w:val="0"/>
              <w:spacing w:after="0" w:line="240" w:lineRule="auto"/>
              <w:jc w:val="center"/>
              <w:rPr>
                <w:rFonts w:ascii="Garamond" w:eastAsiaTheme="minorEastAsia" w:hAnsi="Garamond"/>
                <w:sz w:val="20"/>
                <w:szCs w:val="20"/>
              </w:rPr>
            </w:pPr>
            <w:r w:rsidRPr="00EF2A33">
              <w:rPr>
                <w:rFonts w:ascii="Garamond" w:eastAsiaTheme="minorEastAsia" w:hAnsi="Garamond"/>
                <w:sz w:val="20"/>
                <w:szCs w:val="20"/>
              </w:rPr>
              <w:t xml:space="preserve">   </w:t>
            </w:r>
          </w:p>
        </w:tc>
        <w:tc>
          <w:tcPr>
            <w:tcW w:w="1148" w:type="dxa"/>
            <w:tcBorders>
              <w:bottom w:val="single" w:sz="4" w:space="0" w:color="auto"/>
            </w:tcBorders>
            <w:hideMark/>
          </w:tcPr>
          <w:p w14:paraId="46D0981D"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ROA</w:t>
            </w:r>
          </w:p>
        </w:tc>
        <w:tc>
          <w:tcPr>
            <w:tcW w:w="1389" w:type="dxa"/>
            <w:tcBorders>
              <w:bottom w:val="single" w:sz="4" w:space="0" w:color="auto"/>
            </w:tcBorders>
            <w:hideMark/>
          </w:tcPr>
          <w:p w14:paraId="4B6868E0"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ROE</w:t>
            </w:r>
          </w:p>
        </w:tc>
        <w:tc>
          <w:tcPr>
            <w:tcW w:w="1218" w:type="dxa"/>
            <w:tcBorders>
              <w:bottom w:val="single" w:sz="4" w:space="0" w:color="auto"/>
            </w:tcBorders>
          </w:tcPr>
          <w:p w14:paraId="7F8C3921"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MTB</w:t>
            </w:r>
          </w:p>
        </w:tc>
        <w:tc>
          <w:tcPr>
            <w:tcW w:w="1319" w:type="dxa"/>
            <w:tcBorders>
              <w:bottom w:val="single" w:sz="4" w:space="0" w:color="auto"/>
            </w:tcBorders>
          </w:tcPr>
          <w:p w14:paraId="4178AC70"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TOBINQ</w:t>
            </w:r>
          </w:p>
        </w:tc>
      </w:tr>
      <w:tr w:rsidR="00EF2A33" w:rsidRPr="00EF2A33" w14:paraId="3507F5DA" w14:textId="77777777" w:rsidTr="00B63C07">
        <w:trPr>
          <w:trHeight w:val="70"/>
          <w:jc w:val="center"/>
        </w:trPr>
        <w:tc>
          <w:tcPr>
            <w:tcW w:w="2384" w:type="dxa"/>
            <w:tcBorders>
              <w:top w:val="single" w:sz="4" w:space="0" w:color="auto"/>
            </w:tcBorders>
          </w:tcPr>
          <w:p w14:paraId="2AD1D391"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 xml:space="preserve">INST </w:t>
            </w:r>
          </w:p>
        </w:tc>
        <w:tc>
          <w:tcPr>
            <w:tcW w:w="1148" w:type="dxa"/>
            <w:tcBorders>
              <w:top w:val="single" w:sz="4" w:space="0" w:color="auto"/>
            </w:tcBorders>
          </w:tcPr>
          <w:p w14:paraId="4EAE1FA4"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0900B8B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Borders>
              <w:top w:val="single" w:sz="4" w:space="0" w:color="auto"/>
            </w:tcBorders>
          </w:tcPr>
          <w:p w14:paraId="25980705" w14:textId="43E73EC6" w:rsidR="0036561F" w:rsidRPr="00EF2A33" w:rsidRDefault="00943615" w:rsidP="0036561F">
            <w:pPr>
              <w:widowControl w:val="0"/>
              <w:autoSpaceDE w:val="0"/>
              <w:autoSpaceDN w:val="0"/>
              <w:adjustRightInd w:val="0"/>
              <w:spacing w:after="0" w:line="240" w:lineRule="auto"/>
              <w:jc w:val="right"/>
              <w:rPr>
                <w:sz w:val="20"/>
                <w:szCs w:val="20"/>
              </w:rPr>
            </w:pPr>
            <w:r w:rsidRPr="00EF2A33">
              <w:rPr>
                <w:sz w:val="20"/>
                <w:szCs w:val="20"/>
              </w:rPr>
              <w:t>0</w:t>
            </w:r>
          </w:p>
          <w:p w14:paraId="70FAF9BF" w14:textId="54520DE0" w:rsidR="00B63C07" w:rsidRPr="00EF2A33" w:rsidRDefault="0036561F" w:rsidP="0036561F">
            <w:pPr>
              <w:widowControl w:val="0"/>
              <w:autoSpaceDE w:val="0"/>
              <w:autoSpaceDN w:val="0"/>
              <w:adjustRightInd w:val="0"/>
              <w:spacing w:after="0" w:line="240" w:lineRule="auto"/>
              <w:jc w:val="right"/>
              <w:rPr>
                <w:sz w:val="20"/>
                <w:szCs w:val="20"/>
              </w:rPr>
            </w:pPr>
            <w:r w:rsidRPr="00EF2A33">
              <w:rPr>
                <w:sz w:val="20"/>
                <w:szCs w:val="20"/>
              </w:rPr>
              <w:t xml:space="preserve"> </w:t>
            </w:r>
            <w:r w:rsidR="00B63C07" w:rsidRPr="00EF2A33">
              <w:rPr>
                <w:sz w:val="20"/>
                <w:szCs w:val="20"/>
              </w:rPr>
              <w:t>(.001)</w:t>
            </w:r>
          </w:p>
        </w:tc>
        <w:tc>
          <w:tcPr>
            <w:tcW w:w="1218" w:type="dxa"/>
            <w:tcBorders>
              <w:top w:val="single" w:sz="4" w:space="0" w:color="auto"/>
            </w:tcBorders>
          </w:tcPr>
          <w:p w14:paraId="674C0C32" w14:textId="20926F29"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.478*</w:t>
            </w:r>
          </w:p>
          <w:p w14:paraId="6B7CC51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(.201)</w:t>
            </w:r>
          </w:p>
        </w:tc>
        <w:tc>
          <w:tcPr>
            <w:tcW w:w="1319" w:type="dxa"/>
            <w:tcBorders>
              <w:top w:val="single" w:sz="4" w:space="0" w:color="auto"/>
            </w:tcBorders>
          </w:tcPr>
          <w:p w14:paraId="2CA1BE8D" w14:textId="68B7AE80"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-.05</w:t>
            </w:r>
            <w:r w:rsidR="00B63C07" w:rsidRPr="00EF2A33">
              <w:rPr>
                <w:sz w:val="20"/>
                <w:szCs w:val="20"/>
              </w:rPr>
              <w:t>***</w:t>
            </w:r>
          </w:p>
          <w:p w14:paraId="5417EDB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(.02)</w:t>
            </w:r>
          </w:p>
        </w:tc>
      </w:tr>
      <w:tr w:rsidR="00EF2A33" w:rsidRPr="00EF2A33" w14:paraId="74C9B6CE" w14:textId="77777777" w:rsidTr="00B63C07">
        <w:trPr>
          <w:trHeight w:val="183"/>
          <w:jc w:val="center"/>
        </w:trPr>
        <w:tc>
          <w:tcPr>
            <w:tcW w:w="2384" w:type="dxa"/>
          </w:tcPr>
          <w:p w14:paraId="0D6F7AA6"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FOREIGN</w:t>
            </w:r>
          </w:p>
        </w:tc>
        <w:tc>
          <w:tcPr>
            <w:tcW w:w="1148" w:type="dxa"/>
          </w:tcPr>
          <w:p w14:paraId="08C0EC9A"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.004***</w:t>
            </w:r>
          </w:p>
          <w:p w14:paraId="6C418F8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389" w:type="dxa"/>
          </w:tcPr>
          <w:p w14:paraId="2A2D42F5"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.005***</w:t>
            </w:r>
          </w:p>
          <w:p w14:paraId="256E7AF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(.002)</w:t>
            </w:r>
          </w:p>
        </w:tc>
        <w:tc>
          <w:tcPr>
            <w:tcW w:w="1218" w:type="dxa"/>
          </w:tcPr>
          <w:p w14:paraId="1A6FED8F" w14:textId="7105188D"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.24</w:t>
            </w:r>
          </w:p>
          <w:p w14:paraId="52F957A5" w14:textId="43AB5947"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(.34</w:t>
            </w:r>
            <w:r w:rsidR="00B63C07" w:rsidRPr="00EF2A33">
              <w:rPr>
                <w:sz w:val="20"/>
                <w:szCs w:val="20"/>
              </w:rPr>
              <w:t>)</w:t>
            </w:r>
          </w:p>
        </w:tc>
        <w:tc>
          <w:tcPr>
            <w:tcW w:w="1319" w:type="dxa"/>
          </w:tcPr>
          <w:p w14:paraId="42A446D5" w14:textId="3A7EB438" w:rsidR="00B63C07" w:rsidRPr="00EF2A33" w:rsidRDefault="004A1CDD" w:rsidP="00FB09F1">
            <w:pPr>
              <w:widowControl w:val="0"/>
              <w:autoSpaceDE w:val="0"/>
              <w:autoSpaceDN w:val="0"/>
              <w:adjustRightInd w:val="0"/>
              <w:spacing w:after="0" w:line="240" w:lineRule="auto"/>
              <w:jc w:val="right"/>
              <w:rPr>
                <w:sz w:val="20"/>
                <w:szCs w:val="20"/>
              </w:rPr>
            </w:pPr>
            <w:r w:rsidRPr="00EF2A33">
              <w:rPr>
                <w:sz w:val="20"/>
                <w:szCs w:val="20"/>
              </w:rPr>
              <w:t>.001</w:t>
            </w:r>
          </w:p>
          <w:p w14:paraId="333E36D1" w14:textId="4796A045"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tc>
      </w:tr>
      <w:tr w:rsidR="00EF2A33" w:rsidRPr="00EF2A33" w14:paraId="4A401E49" w14:textId="77777777" w:rsidTr="00B63C07">
        <w:trPr>
          <w:trHeight w:val="195"/>
          <w:jc w:val="center"/>
        </w:trPr>
        <w:tc>
          <w:tcPr>
            <w:tcW w:w="2384" w:type="dxa"/>
          </w:tcPr>
          <w:p w14:paraId="7976F697"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SPDIRECTIOR</w:t>
            </w:r>
          </w:p>
        </w:tc>
        <w:tc>
          <w:tcPr>
            <w:tcW w:w="1148" w:type="dxa"/>
          </w:tcPr>
          <w:p w14:paraId="63DF058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7DE2E91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Pr>
          <w:p w14:paraId="0514551F" w14:textId="1243722D" w:rsidR="00B63C07" w:rsidRPr="00EF2A33" w:rsidRDefault="00943615" w:rsidP="00FB09F1">
            <w:pPr>
              <w:widowControl w:val="0"/>
              <w:autoSpaceDE w:val="0"/>
              <w:autoSpaceDN w:val="0"/>
              <w:adjustRightInd w:val="0"/>
              <w:spacing w:after="0" w:line="240" w:lineRule="auto"/>
              <w:jc w:val="right"/>
              <w:rPr>
                <w:sz w:val="20"/>
                <w:szCs w:val="20"/>
              </w:rPr>
            </w:pPr>
            <w:r w:rsidRPr="00EF2A33">
              <w:rPr>
                <w:sz w:val="20"/>
                <w:szCs w:val="20"/>
              </w:rPr>
              <w:t>.002*</w:t>
            </w:r>
          </w:p>
          <w:p w14:paraId="78124A3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218" w:type="dxa"/>
          </w:tcPr>
          <w:p w14:paraId="70B63CE1" w14:textId="53A8AD7C"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-.134</w:t>
            </w:r>
          </w:p>
          <w:p w14:paraId="1A4A6B38" w14:textId="2FAC2899"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(.16</w:t>
            </w:r>
            <w:r w:rsidR="00B63C07" w:rsidRPr="00EF2A33">
              <w:rPr>
                <w:sz w:val="20"/>
                <w:szCs w:val="20"/>
              </w:rPr>
              <w:t>)</w:t>
            </w:r>
          </w:p>
        </w:tc>
        <w:tc>
          <w:tcPr>
            <w:tcW w:w="1319" w:type="dxa"/>
          </w:tcPr>
          <w:p w14:paraId="33FFF0FA" w14:textId="7E467194" w:rsidR="00B63C07" w:rsidRPr="00EF2A33" w:rsidRDefault="004A1CDD" w:rsidP="00FB09F1">
            <w:pPr>
              <w:widowControl w:val="0"/>
              <w:autoSpaceDE w:val="0"/>
              <w:autoSpaceDN w:val="0"/>
              <w:adjustRightInd w:val="0"/>
              <w:spacing w:after="0" w:line="240" w:lineRule="auto"/>
              <w:jc w:val="right"/>
              <w:rPr>
                <w:sz w:val="20"/>
                <w:szCs w:val="20"/>
              </w:rPr>
            </w:pPr>
            <w:r w:rsidRPr="00EF2A33">
              <w:rPr>
                <w:sz w:val="20"/>
                <w:szCs w:val="20"/>
              </w:rPr>
              <w:t>-.013</w:t>
            </w:r>
          </w:p>
          <w:p w14:paraId="7CCC720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(.012)</w:t>
            </w:r>
          </w:p>
        </w:tc>
      </w:tr>
      <w:tr w:rsidR="00EF2A33" w:rsidRPr="00EF2A33" w14:paraId="649E8572" w14:textId="77777777" w:rsidTr="00B63C07">
        <w:trPr>
          <w:trHeight w:val="183"/>
          <w:jc w:val="center"/>
        </w:trPr>
        <w:tc>
          <w:tcPr>
            <w:tcW w:w="2384" w:type="dxa"/>
          </w:tcPr>
          <w:p w14:paraId="18D6ADF7"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GOVT</w:t>
            </w:r>
          </w:p>
        </w:tc>
        <w:tc>
          <w:tcPr>
            <w:tcW w:w="1148" w:type="dxa"/>
          </w:tcPr>
          <w:p w14:paraId="7EDC8F3B" w14:textId="425F9AA8"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r w:rsidR="008E40A0" w:rsidRPr="00EF2A33">
              <w:rPr>
                <w:sz w:val="20"/>
                <w:szCs w:val="20"/>
              </w:rPr>
              <w:t>***</w:t>
            </w:r>
          </w:p>
          <w:p w14:paraId="6E6FB49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Pr>
          <w:p w14:paraId="4E7086F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4DF741F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218" w:type="dxa"/>
          </w:tcPr>
          <w:p w14:paraId="21A9B6EF" w14:textId="101CF7A2"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.465***</w:t>
            </w:r>
          </w:p>
          <w:p w14:paraId="06DBB662" w14:textId="7A9E4048"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(.17</w:t>
            </w:r>
            <w:r w:rsidR="00B63C07" w:rsidRPr="00EF2A33">
              <w:rPr>
                <w:sz w:val="20"/>
                <w:szCs w:val="20"/>
              </w:rPr>
              <w:t>)</w:t>
            </w:r>
          </w:p>
        </w:tc>
        <w:tc>
          <w:tcPr>
            <w:tcW w:w="1319" w:type="dxa"/>
          </w:tcPr>
          <w:p w14:paraId="35F092FC" w14:textId="448DAAAF" w:rsidR="00B63C07" w:rsidRPr="00EF2A33" w:rsidRDefault="004A1CDD"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p w14:paraId="6943AF07" w14:textId="56C816C1"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tc>
      </w:tr>
      <w:tr w:rsidR="00EF2A33" w:rsidRPr="00EF2A33" w14:paraId="56561405" w14:textId="77777777" w:rsidTr="00B63C07">
        <w:trPr>
          <w:trHeight w:val="152"/>
          <w:jc w:val="center"/>
        </w:trPr>
        <w:tc>
          <w:tcPr>
            <w:tcW w:w="2384" w:type="dxa"/>
          </w:tcPr>
          <w:p w14:paraId="30724174"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BSIZE</w:t>
            </w:r>
          </w:p>
        </w:tc>
        <w:tc>
          <w:tcPr>
            <w:tcW w:w="1148" w:type="dxa"/>
          </w:tcPr>
          <w:p w14:paraId="2A45CD38" w14:textId="38A6BD54" w:rsidR="00B63C07" w:rsidRPr="00EF2A33" w:rsidRDefault="008E40A0" w:rsidP="00FB09F1">
            <w:pPr>
              <w:widowControl w:val="0"/>
              <w:autoSpaceDE w:val="0"/>
              <w:autoSpaceDN w:val="0"/>
              <w:adjustRightInd w:val="0"/>
              <w:spacing w:after="0" w:line="240" w:lineRule="auto"/>
              <w:jc w:val="right"/>
              <w:rPr>
                <w:sz w:val="20"/>
                <w:szCs w:val="20"/>
              </w:rPr>
            </w:pPr>
            <w:r w:rsidRPr="00EF2A33">
              <w:rPr>
                <w:sz w:val="20"/>
                <w:szCs w:val="20"/>
              </w:rPr>
              <w:t>.004</w:t>
            </w:r>
          </w:p>
          <w:p w14:paraId="52DE9B29" w14:textId="36112E24"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tc>
        <w:tc>
          <w:tcPr>
            <w:tcW w:w="1389" w:type="dxa"/>
          </w:tcPr>
          <w:p w14:paraId="40F3481D" w14:textId="6898C935"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.04</w:t>
            </w:r>
            <w:r w:rsidR="0036561F" w:rsidRPr="00EF2A33">
              <w:rPr>
                <w:sz w:val="20"/>
                <w:szCs w:val="20"/>
              </w:rPr>
              <w:t>9</w:t>
            </w:r>
            <w:r w:rsidRPr="00EF2A33">
              <w:rPr>
                <w:sz w:val="20"/>
                <w:szCs w:val="20"/>
              </w:rPr>
              <w:t>**</w:t>
            </w:r>
          </w:p>
          <w:p w14:paraId="502260AB" w14:textId="78FA0766"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(.02</w:t>
            </w:r>
            <w:r w:rsidR="00B63C07" w:rsidRPr="00EF2A33">
              <w:rPr>
                <w:sz w:val="20"/>
                <w:szCs w:val="20"/>
              </w:rPr>
              <w:t>)</w:t>
            </w:r>
          </w:p>
        </w:tc>
        <w:tc>
          <w:tcPr>
            <w:tcW w:w="1218" w:type="dxa"/>
          </w:tcPr>
          <w:p w14:paraId="51E35BAF" w14:textId="3CC4F481"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8.14**</w:t>
            </w:r>
          </w:p>
          <w:p w14:paraId="1A41211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(2.85)</w:t>
            </w:r>
          </w:p>
        </w:tc>
        <w:tc>
          <w:tcPr>
            <w:tcW w:w="1319" w:type="dxa"/>
          </w:tcPr>
          <w:p w14:paraId="4F9E5082" w14:textId="761DA954"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.29</w:t>
            </w:r>
          </w:p>
          <w:p w14:paraId="07836212" w14:textId="7C0EFCF6" w:rsidR="00B63C07" w:rsidRPr="00EF2A33" w:rsidRDefault="00390A19" w:rsidP="00FB09F1">
            <w:pPr>
              <w:widowControl w:val="0"/>
              <w:autoSpaceDE w:val="0"/>
              <w:autoSpaceDN w:val="0"/>
              <w:adjustRightInd w:val="0"/>
              <w:spacing w:after="0" w:line="240" w:lineRule="auto"/>
              <w:jc w:val="right"/>
              <w:rPr>
                <w:sz w:val="20"/>
                <w:szCs w:val="20"/>
              </w:rPr>
            </w:pPr>
            <w:r w:rsidRPr="00EF2A33">
              <w:rPr>
                <w:sz w:val="20"/>
                <w:szCs w:val="20"/>
              </w:rPr>
              <w:t>(.29</w:t>
            </w:r>
            <w:r w:rsidR="00B63C07" w:rsidRPr="00EF2A33">
              <w:rPr>
                <w:sz w:val="20"/>
                <w:szCs w:val="20"/>
              </w:rPr>
              <w:t>)</w:t>
            </w:r>
          </w:p>
        </w:tc>
      </w:tr>
      <w:tr w:rsidR="00EF2A33" w:rsidRPr="00EF2A33" w14:paraId="67882512" w14:textId="77777777" w:rsidTr="00B63C07">
        <w:trPr>
          <w:trHeight w:val="195"/>
          <w:jc w:val="center"/>
        </w:trPr>
        <w:tc>
          <w:tcPr>
            <w:tcW w:w="2384" w:type="dxa"/>
          </w:tcPr>
          <w:p w14:paraId="6858DB21"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GENDER</w:t>
            </w:r>
          </w:p>
        </w:tc>
        <w:tc>
          <w:tcPr>
            <w:tcW w:w="1148" w:type="dxa"/>
          </w:tcPr>
          <w:p w14:paraId="33DB6B6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03B38C1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Pr>
          <w:p w14:paraId="1A12CB2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5E08DE8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218" w:type="dxa"/>
          </w:tcPr>
          <w:p w14:paraId="154EAE54" w14:textId="24536ABC"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.0</w:t>
            </w:r>
            <w:r w:rsidR="00B63C07" w:rsidRPr="00EF2A33">
              <w:rPr>
                <w:sz w:val="20"/>
                <w:szCs w:val="20"/>
              </w:rPr>
              <w:t>3</w:t>
            </w:r>
            <w:r w:rsidRPr="00EF2A33">
              <w:rPr>
                <w:sz w:val="20"/>
                <w:szCs w:val="20"/>
              </w:rPr>
              <w:t>7</w:t>
            </w:r>
          </w:p>
          <w:p w14:paraId="06827D99" w14:textId="673E414E"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(.15</w:t>
            </w:r>
            <w:r w:rsidR="00B63C07" w:rsidRPr="00EF2A33">
              <w:rPr>
                <w:sz w:val="20"/>
                <w:szCs w:val="20"/>
              </w:rPr>
              <w:t>)</w:t>
            </w:r>
          </w:p>
        </w:tc>
        <w:tc>
          <w:tcPr>
            <w:tcW w:w="1319" w:type="dxa"/>
          </w:tcPr>
          <w:p w14:paraId="57190915"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-.013</w:t>
            </w:r>
          </w:p>
          <w:p w14:paraId="767E54CD" w14:textId="53853AC2"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(.02</w:t>
            </w:r>
            <w:r w:rsidR="00B63C07" w:rsidRPr="00EF2A33">
              <w:rPr>
                <w:sz w:val="20"/>
                <w:szCs w:val="20"/>
              </w:rPr>
              <w:t>)</w:t>
            </w:r>
          </w:p>
        </w:tc>
      </w:tr>
      <w:tr w:rsidR="00EF2A33" w:rsidRPr="00EF2A33" w14:paraId="2146B73B" w14:textId="77777777" w:rsidTr="00B63C07">
        <w:trPr>
          <w:trHeight w:val="195"/>
          <w:jc w:val="center"/>
        </w:trPr>
        <w:tc>
          <w:tcPr>
            <w:tcW w:w="2384" w:type="dxa"/>
          </w:tcPr>
          <w:p w14:paraId="6D031341"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MEETING</w:t>
            </w:r>
          </w:p>
        </w:tc>
        <w:tc>
          <w:tcPr>
            <w:tcW w:w="1148" w:type="dxa"/>
          </w:tcPr>
          <w:p w14:paraId="2A069E2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5AEDE31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389" w:type="dxa"/>
          </w:tcPr>
          <w:p w14:paraId="732E71B3" w14:textId="37E475D4" w:rsidR="00B63C07" w:rsidRPr="00EF2A33" w:rsidRDefault="00943615" w:rsidP="00FB09F1">
            <w:pPr>
              <w:widowControl w:val="0"/>
              <w:autoSpaceDE w:val="0"/>
              <w:autoSpaceDN w:val="0"/>
              <w:adjustRightInd w:val="0"/>
              <w:spacing w:after="0" w:line="240" w:lineRule="auto"/>
              <w:jc w:val="right"/>
              <w:rPr>
                <w:sz w:val="20"/>
                <w:szCs w:val="20"/>
              </w:rPr>
            </w:pPr>
            <w:r w:rsidRPr="00EF2A33">
              <w:rPr>
                <w:sz w:val="20"/>
                <w:szCs w:val="20"/>
              </w:rPr>
              <w:t>.007</w:t>
            </w:r>
            <w:r w:rsidR="00B63C07" w:rsidRPr="00EF2A33">
              <w:rPr>
                <w:sz w:val="20"/>
                <w:szCs w:val="20"/>
              </w:rPr>
              <w:t>**</w:t>
            </w:r>
          </w:p>
          <w:p w14:paraId="57CCD9A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(.002)</w:t>
            </w:r>
          </w:p>
        </w:tc>
        <w:tc>
          <w:tcPr>
            <w:tcW w:w="1218" w:type="dxa"/>
          </w:tcPr>
          <w:p w14:paraId="68C6148F" w14:textId="22D91CF8"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1.24</w:t>
            </w:r>
            <w:r w:rsidR="000F58FA" w:rsidRPr="00EF2A33">
              <w:rPr>
                <w:sz w:val="20"/>
                <w:szCs w:val="20"/>
              </w:rPr>
              <w:t>**</w:t>
            </w:r>
          </w:p>
          <w:p w14:paraId="120FA3B2" w14:textId="680CEE05"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(.54</w:t>
            </w:r>
            <w:r w:rsidR="00B63C07" w:rsidRPr="00EF2A33">
              <w:rPr>
                <w:sz w:val="20"/>
                <w:szCs w:val="20"/>
              </w:rPr>
              <w:t>)</w:t>
            </w:r>
          </w:p>
        </w:tc>
        <w:tc>
          <w:tcPr>
            <w:tcW w:w="1319" w:type="dxa"/>
          </w:tcPr>
          <w:p w14:paraId="7D078CCC" w14:textId="1CBFCE34"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.17</w:t>
            </w:r>
            <w:r w:rsidR="00B63C07" w:rsidRPr="00EF2A33">
              <w:rPr>
                <w:sz w:val="20"/>
                <w:szCs w:val="20"/>
              </w:rPr>
              <w:t>***</w:t>
            </w:r>
          </w:p>
          <w:p w14:paraId="25B1639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(.039)</w:t>
            </w:r>
          </w:p>
        </w:tc>
      </w:tr>
      <w:tr w:rsidR="00EF2A33" w:rsidRPr="00EF2A33" w14:paraId="3A46888B" w14:textId="77777777" w:rsidTr="00B63C07">
        <w:trPr>
          <w:trHeight w:val="183"/>
          <w:jc w:val="center"/>
        </w:trPr>
        <w:tc>
          <w:tcPr>
            <w:tcW w:w="2384" w:type="dxa"/>
          </w:tcPr>
          <w:p w14:paraId="30F01353"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FAMILY</w:t>
            </w:r>
          </w:p>
        </w:tc>
        <w:tc>
          <w:tcPr>
            <w:tcW w:w="1148" w:type="dxa"/>
          </w:tcPr>
          <w:p w14:paraId="0522162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p w14:paraId="07B9403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Pr>
          <w:p w14:paraId="68E27572" w14:textId="5289129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-.002*</w:t>
            </w:r>
            <w:r w:rsidR="00943615" w:rsidRPr="00EF2A33">
              <w:rPr>
                <w:sz w:val="20"/>
                <w:szCs w:val="20"/>
              </w:rPr>
              <w:t>*</w:t>
            </w:r>
          </w:p>
          <w:p w14:paraId="52C077F8"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(.001)</w:t>
            </w:r>
          </w:p>
        </w:tc>
        <w:tc>
          <w:tcPr>
            <w:tcW w:w="1218" w:type="dxa"/>
          </w:tcPr>
          <w:p w14:paraId="3CC751F7" w14:textId="10780615"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-.019</w:t>
            </w:r>
          </w:p>
          <w:p w14:paraId="45A047A6" w14:textId="22208355" w:rsidR="00B63C07" w:rsidRPr="00EF2A33" w:rsidRDefault="000F58FA" w:rsidP="00FB09F1">
            <w:pPr>
              <w:widowControl w:val="0"/>
              <w:autoSpaceDE w:val="0"/>
              <w:autoSpaceDN w:val="0"/>
              <w:adjustRightInd w:val="0"/>
              <w:spacing w:after="0" w:line="240" w:lineRule="auto"/>
              <w:jc w:val="right"/>
              <w:rPr>
                <w:sz w:val="20"/>
                <w:szCs w:val="20"/>
              </w:rPr>
            </w:pPr>
            <w:r w:rsidRPr="00EF2A33">
              <w:rPr>
                <w:sz w:val="20"/>
                <w:szCs w:val="20"/>
              </w:rPr>
              <w:t>(.171</w:t>
            </w:r>
            <w:r w:rsidR="00B63C07" w:rsidRPr="00EF2A33">
              <w:rPr>
                <w:sz w:val="20"/>
                <w:szCs w:val="20"/>
              </w:rPr>
              <w:t>)</w:t>
            </w:r>
          </w:p>
        </w:tc>
        <w:tc>
          <w:tcPr>
            <w:tcW w:w="1319" w:type="dxa"/>
          </w:tcPr>
          <w:p w14:paraId="30E979C1" w14:textId="0ECCA8B2"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-.06</w:t>
            </w:r>
            <w:r w:rsidR="00B63C07" w:rsidRPr="00EF2A33">
              <w:rPr>
                <w:sz w:val="20"/>
                <w:szCs w:val="20"/>
              </w:rPr>
              <w:t>***</w:t>
            </w:r>
          </w:p>
          <w:p w14:paraId="07F0C1C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(.013)</w:t>
            </w:r>
          </w:p>
        </w:tc>
      </w:tr>
      <w:tr w:rsidR="00EF2A33" w:rsidRPr="00EF2A33" w14:paraId="2FE15C7D" w14:textId="77777777" w:rsidTr="00B63C07">
        <w:trPr>
          <w:trHeight w:val="195"/>
          <w:jc w:val="center"/>
        </w:trPr>
        <w:tc>
          <w:tcPr>
            <w:tcW w:w="2384" w:type="dxa"/>
          </w:tcPr>
          <w:p w14:paraId="3EF11E81" w14:textId="0FE386B4" w:rsidR="00B63C07" w:rsidRPr="00EF2A33" w:rsidRDefault="00537050" w:rsidP="005C3EBC">
            <w:pPr>
              <w:widowControl w:val="0"/>
              <w:autoSpaceDE w:val="0"/>
              <w:autoSpaceDN w:val="0"/>
              <w:adjustRightInd w:val="0"/>
              <w:spacing w:after="0" w:line="240" w:lineRule="auto"/>
              <w:rPr>
                <w:sz w:val="20"/>
                <w:szCs w:val="20"/>
              </w:rPr>
            </w:pPr>
            <w:r w:rsidRPr="00EF2A33">
              <w:rPr>
                <w:sz w:val="20"/>
                <w:szCs w:val="20"/>
              </w:rPr>
              <w:t>EDU</w:t>
            </w:r>
          </w:p>
        </w:tc>
        <w:tc>
          <w:tcPr>
            <w:tcW w:w="1148" w:type="dxa"/>
          </w:tcPr>
          <w:p w14:paraId="432C04D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-.0032***</w:t>
            </w:r>
          </w:p>
          <w:p w14:paraId="0AC1AA7C" w14:textId="4317DDB2"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(.01</w:t>
            </w:r>
            <w:r w:rsidR="00B63C07" w:rsidRPr="00EF2A33">
              <w:rPr>
                <w:sz w:val="20"/>
                <w:szCs w:val="20"/>
              </w:rPr>
              <w:t>)</w:t>
            </w:r>
          </w:p>
        </w:tc>
        <w:tc>
          <w:tcPr>
            <w:tcW w:w="1389" w:type="dxa"/>
          </w:tcPr>
          <w:p w14:paraId="42B60162" w14:textId="517B7EFD" w:rsidR="00B63C07" w:rsidRPr="00EF2A33" w:rsidRDefault="00943615" w:rsidP="00FB09F1">
            <w:pPr>
              <w:widowControl w:val="0"/>
              <w:autoSpaceDE w:val="0"/>
              <w:autoSpaceDN w:val="0"/>
              <w:adjustRightInd w:val="0"/>
              <w:spacing w:after="0" w:line="240" w:lineRule="auto"/>
              <w:jc w:val="right"/>
              <w:rPr>
                <w:sz w:val="20"/>
                <w:szCs w:val="20"/>
              </w:rPr>
            </w:pPr>
            <w:r w:rsidRPr="00EF2A33">
              <w:rPr>
                <w:sz w:val="20"/>
                <w:szCs w:val="20"/>
              </w:rPr>
              <w:t>-.019</w:t>
            </w:r>
          </w:p>
          <w:p w14:paraId="5B5FD821" w14:textId="3184C7F9"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(.03</w:t>
            </w:r>
            <w:r w:rsidR="00B63C07" w:rsidRPr="00EF2A33">
              <w:rPr>
                <w:sz w:val="20"/>
                <w:szCs w:val="20"/>
              </w:rPr>
              <w:t>)</w:t>
            </w:r>
          </w:p>
        </w:tc>
        <w:tc>
          <w:tcPr>
            <w:tcW w:w="1218" w:type="dxa"/>
          </w:tcPr>
          <w:p w14:paraId="06F3476D" w14:textId="2DA05FF5"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w:t>
            </w:r>
            <w:r w:rsidR="000F58FA" w:rsidRPr="00EF2A33">
              <w:rPr>
                <w:sz w:val="20"/>
                <w:szCs w:val="20"/>
              </w:rPr>
              <w:t>2.92</w:t>
            </w:r>
          </w:p>
          <w:p w14:paraId="3E07E77B"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(3.95)</w:t>
            </w:r>
          </w:p>
        </w:tc>
        <w:tc>
          <w:tcPr>
            <w:tcW w:w="1319" w:type="dxa"/>
          </w:tcPr>
          <w:p w14:paraId="50482D14" w14:textId="28E43392" w:rsidR="00B63C07" w:rsidRPr="00EF2A33" w:rsidRDefault="0001152A" w:rsidP="00FB09F1">
            <w:pPr>
              <w:widowControl w:val="0"/>
              <w:autoSpaceDE w:val="0"/>
              <w:autoSpaceDN w:val="0"/>
              <w:adjustRightInd w:val="0"/>
              <w:spacing w:after="0" w:line="240" w:lineRule="auto"/>
              <w:jc w:val="right"/>
              <w:rPr>
                <w:sz w:val="20"/>
                <w:szCs w:val="20"/>
              </w:rPr>
            </w:pPr>
            <w:r w:rsidRPr="00EF2A33">
              <w:rPr>
                <w:sz w:val="20"/>
                <w:szCs w:val="20"/>
              </w:rPr>
              <w:t>-.91</w:t>
            </w:r>
            <w:r w:rsidR="00B63C07" w:rsidRPr="00EF2A33">
              <w:rPr>
                <w:sz w:val="20"/>
                <w:szCs w:val="20"/>
              </w:rPr>
              <w:t>8**</w:t>
            </w:r>
          </w:p>
          <w:p w14:paraId="7BF63878" w14:textId="180F19C3" w:rsidR="00B63C07" w:rsidRPr="00EF2A33" w:rsidRDefault="00DE535C" w:rsidP="00FB09F1">
            <w:pPr>
              <w:widowControl w:val="0"/>
              <w:autoSpaceDE w:val="0"/>
              <w:autoSpaceDN w:val="0"/>
              <w:adjustRightInd w:val="0"/>
              <w:spacing w:after="0" w:line="240" w:lineRule="auto"/>
              <w:jc w:val="right"/>
              <w:rPr>
                <w:sz w:val="20"/>
                <w:szCs w:val="20"/>
              </w:rPr>
            </w:pPr>
            <w:r w:rsidRPr="00EF2A33">
              <w:rPr>
                <w:sz w:val="20"/>
                <w:szCs w:val="20"/>
              </w:rPr>
              <w:t>(.4</w:t>
            </w:r>
            <w:r w:rsidR="00B63C07" w:rsidRPr="00EF2A33">
              <w:rPr>
                <w:sz w:val="20"/>
                <w:szCs w:val="20"/>
              </w:rPr>
              <w:t>)</w:t>
            </w:r>
          </w:p>
        </w:tc>
      </w:tr>
      <w:tr w:rsidR="00EF2A33" w:rsidRPr="00EF2A33" w14:paraId="5ED96EB2" w14:textId="77777777" w:rsidTr="00B63C07">
        <w:trPr>
          <w:trHeight w:val="183"/>
          <w:jc w:val="center"/>
        </w:trPr>
        <w:tc>
          <w:tcPr>
            <w:tcW w:w="2384" w:type="dxa"/>
          </w:tcPr>
          <w:p w14:paraId="73A5FBDA" w14:textId="77777777" w:rsidR="00B63C07" w:rsidRPr="00EF2A33" w:rsidRDefault="00B63C07" w:rsidP="005C3EBC">
            <w:pPr>
              <w:widowControl w:val="0"/>
              <w:autoSpaceDE w:val="0"/>
              <w:autoSpaceDN w:val="0"/>
              <w:adjustRightInd w:val="0"/>
              <w:spacing w:after="0" w:line="240" w:lineRule="auto"/>
              <w:rPr>
                <w:sz w:val="20"/>
                <w:szCs w:val="20"/>
              </w:rPr>
            </w:pPr>
            <w:r w:rsidRPr="00EF2A33">
              <w:rPr>
                <w:sz w:val="20"/>
                <w:szCs w:val="20"/>
              </w:rPr>
              <w:t>TA</w:t>
            </w:r>
          </w:p>
        </w:tc>
        <w:tc>
          <w:tcPr>
            <w:tcW w:w="1148" w:type="dxa"/>
          </w:tcPr>
          <w:p w14:paraId="41BBCF3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5D09FFF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89" w:type="dxa"/>
          </w:tcPr>
          <w:p w14:paraId="63AEB34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401F816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218" w:type="dxa"/>
          </w:tcPr>
          <w:p w14:paraId="13B34BFE" w14:textId="7C8E0108"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r w:rsidR="000F58FA" w:rsidRPr="00EF2A33">
              <w:rPr>
                <w:sz w:val="20"/>
                <w:szCs w:val="20"/>
              </w:rPr>
              <w:t>***</w:t>
            </w:r>
          </w:p>
          <w:p w14:paraId="60771C5F"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c>
          <w:tcPr>
            <w:tcW w:w="1319" w:type="dxa"/>
          </w:tcPr>
          <w:p w14:paraId="54886531"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p w14:paraId="0F9EEC3C"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(0)</w:t>
            </w:r>
          </w:p>
        </w:tc>
      </w:tr>
      <w:tr w:rsidR="00EF2A33" w:rsidRPr="00EF2A33" w14:paraId="4AD3B0E5" w14:textId="77777777" w:rsidTr="00B63C07">
        <w:trPr>
          <w:trHeight w:val="195"/>
          <w:jc w:val="center"/>
        </w:trPr>
        <w:tc>
          <w:tcPr>
            <w:tcW w:w="2384" w:type="dxa"/>
          </w:tcPr>
          <w:p w14:paraId="044D3980" w14:textId="77777777" w:rsidR="00B63C07" w:rsidRPr="00EF2A33" w:rsidRDefault="00B63C07" w:rsidP="00EF2A6A">
            <w:pPr>
              <w:spacing w:after="0" w:line="240" w:lineRule="auto"/>
              <w:jc w:val="left"/>
              <w:rPr>
                <w:sz w:val="20"/>
                <w:szCs w:val="20"/>
              </w:rPr>
            </w:pPr>
            <w:r w:rsidRPr="00EF2A33">
              <w:rPr>
                <w:sz w:val="20"/>
                <w:szCs w:val="20"/>
              </w:rPr>
              <w:t>INDUS</w:t>
            </w:r>
          </w:p>
        </w:tc>
        <w:tc>
          <w:tcPr>
            <w:tcW w:w="1148" w:type="dxa"/>
          </w:tcPr>
          <w:p w14:paraId="21A395C7"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389" w:type="dxa"/>
          </w:tcPr>
          <w:p w14:paraId="1BB5C89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218" w:type="dxa"/>
          </w:tcPr>
          <w:p w14:paraId="27DC0AEA"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319" w:type="dxa"/>
          </w:tcPr>
          <w:p w14:paraId="3F9B7B3D"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r>
      <w:tr w:rsidR="00EF2A33" w:rsidRPr="00EF2A33" w14:paraId="5848D526" w14:textId="77777777" w:rsidTr="00B63C07">
        <w:trPr>
          <w:trHeight w:val="195"/>
          <w:jc w:val="center"/>
        </w:trPr>
        <w:tc>
          <w:tcPr>
            <w:tcW w:w="2384" w:type="dxa"/>
          </w:tcPr>
          <w:p w14:paraId="363623F3" w14:textId="77777777" w:rsidR="00B63C07" w:rsidRPr="00EF2A33" w:rsidRDefault="00B63C07" w:rsidP="00EF2A6A">
            <w:pPr>
              <w:spacing w:after="0" w:line="240" w:lineRule="auto"/>
              <w:jc w:val="left"/>
              <w:rPr>
                <w:sz w:val="20"/>
                <w:szCs w:val="20"/>
              </w:rPr>
            </w:pPr>
            <w:r w:rsidRPr="00EF2A33">
              <w:rPr>
                <w:sz w:val="20"/>
                <w:szCs w:val="20"/>
              </w:rPr>
              <w:t>YEAR</w:t>
            </w:r>
          </w:p>
        </w:tc>
        <w:tc>
          <w:tcPr>
            <w:tcW w:w="1148" w:type="dxa"/>
          </w:tcPr>
          <w:p w14:paraId="560DE430"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389" w:type="dxa"/>
          </w:tcPr>
          <w:p w14:paraId="6DF7E724"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218" w:type="dxa"/>
          </w:tcPr>
          <w:p w14:paraId="5A6B4AE2"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c>
          <w:tcPr>
            <w:tcW w:w="1319" w:type="dxa"/>
          </w:tcPr>
          <w:p w14:paraId="6124B536"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Y</w:t>
            </w:r>
          </w:p>
        </w:tc>
      </w:tr>
      <w:tr w:rsidR="00EF2A33" w:rsidRPr="00EF2A33" w14:paraId="1C1CAD51" w14:textId="77777777" w:rsidTr="00B63C07">
        <w:trPr>
          <w:trHeight w:val="195"/>
          <w:jc w:val="center"/>
        </w:trPr>
        <w:tc>
          <w:tcPr>
            <w:tcW w:w="2384" w:type="dxa"/>
            <w:hideMark/>
          </w:tcPr>
          <w:p w14:paraId="7D25E84B"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Constant</w:t>
            </w:r>
          </w:p>
        </w:tc>
        <w:tc>
          <w:tcPr>
            <w:tcW w:w="1148" w:type="dxa"/>
          </w:tcPr>
          <w:p w14:paraId="324D8F1E" w14:textId="4544AA48"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.07</w:t>
            </w:r>
          </w:p>
          <w:p w14:paraId="64782DC4" w14:textId="078CDF49"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(.06</w:t>
            </w:r>
            <w:r w:rsidR="00B63C07" w:rsidRPr="00EF2A33">
              <w:rPr>
                <w:sz w:val="20"/>
                <w:szCs w:val="20"/>
              </w:rPr>
              <w:t>)</w:t>
            </w:r>
          </w:p>
        </w:tc>
        <w:tc>
          <w:tcPr>
            <w:tcW w:w="1389" w:type="dxa"/>
          </w:tcPr>
          <w:p w14:paraId="7180970F" w14:textId="5F63D970"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-.19</w:t>
            </w:r>
          </w:p>
          <w:p w14:paraId="6D301900" w14:textId="5F1B013F"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(.18</w:t>
            </w:r>
            <w:r w:rsidR="00B63C07" w:rsidRPr="00EF2A33">
              <w:rPr>
                <w:sz w:val="20"/>
                <w:szCs w:val="20"/>
              </w:rPr>
              <w:t>)</w:t>
            </w:r>
          </w:p>
        </w:tc>
        <w:tc>
          <w:tcPr>
            <w:tcW w:w="1218" w:type="dxa"/>
          </w:tcPr>
          <w:p w14:paraId="693C0D42" w14:textId="1FBAB361"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-18.64</w:t>
            </w:r>
          </w:p>
          <w:p w14:paraId="3FD58B59"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(28.73)</w:t>
            </w:r>
          </w:p>
        </w:tc>
        <w:tc>
          <w:tcPr>
            <w:tcW w:w="1319" w:type="dxa"/>
          </w:tcPr>
          <w:p w14:paraId="7E4F9E29" w14:textId="4BF1D24F" w:rsidR="00B63C07" w:rsidRPr="00EF2A33" w:rsidRDefault="00371CC6" w:rsidP="00FB09F1">
            <w:pPr>
              <w:widowControl w:val="0"/>
              <w:autoSpaceDE w:val="0"/>
              <w:autoSpaceDN w:val="0"/>
              <w:adjustRightInd w:val="0"/>
              <w:spacing w:after="0" w:line="240" w:lineRule="auto"/>
              <w:jc w:val="right"/>
              <w:rPr>
                <w:sz w:val="20"/>
                <w:szCs w:val="20"/>
              </w:rPr>
            </w:pPr>
            <w:r w:rsidRPr="00EF2A33">
              <w:rPr>
                <w:sz w:val="20"/>
                <w:szCs w:val="20"/>
              </w:rPr>
              <w:t>6.18</w:t>
            </w:r>
          </w:p>
          <w:p w14:paraId="4F737A03" w14:textId="77777777" w:rsidR="00B63C07" w:rsidRPr="00EF2A33" w:rsidRDefault="00B63C07" w:rsidP="00FB09F1">
            <w:pPr>
              <w:widowControl w:val="0"/>
              <w:autoSpaceDE w:val="0"/>
              <w:autoSpaceDN w:val="0"/>
              <w:adjustRightInd w:val="0"/>
              <w:spacing w:after="0" w:line="240" w:lineRule="auto"/>
              <w:jc w:val="right"/>
              <w:rPr>
                <w:sz w:val="20"/>
                <w:szCs w:val="20"/>
              </w:rPr>
            </w:pPr>
            <w:r w:rsidRPr="00EF2A33">
              <w:rPr>
                <w:sz w:val="20"/>
                <w:szCs w:val="20"/>
              </w:rPr>
              <w:t>(2.87)</w:t>
            </w:r>
          </w:p>
        </w:tc>
      </w:tr>
      <w:tr w:rsidR="00EF2A33" w:rsidRPr="00EF2A33" w14:paraId="34F60B25" w14:textId="77777777" w:rsidTr="00B63C07">
        <w:trPr>
          <w:trHeight w:val="195"/>
          <w:jc w:val="center"/>
        </w:trPr>
        <w:tc>
          <w:tcPr>
            <w:tcW w:w="2384" w:type="dxa"/>
            <w:hideMark/>
          </w:tcPr>
          <w:p w14:paraId="1331C94E"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Observations</w:t>
            </w:r>
          </w:p>
        </w:tc>
        <w:tc>
          <w:tcPr>
            <w:tcW w:w="1148" w:type="dxa"/>
            <w:hideMark/>
          </w:tcPr>
          <w:p w14:paraId="780476BF"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389" w:type="dxa"/>
            <w:hideMark/>
          </w:tcPr>
          <w:p w14:paraId="5E4C6D2E"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218" w:type="dxa"/>
          </w:tcPr>
          <w:p w14:paraId="350557DA"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c>
          <w:tcPr>
            <w:tcW w:w="1319" w:type="dxa"/>
          </w:tcPr>
          <w:p w14:paraId="29080D61" w14:textId="77777777" w:rsidR="00B63C07" w:rsidRPr="00EF2A33" w:rsidRDefault="00B63C07"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210</w:t>
            </w:r>
          </w:p>
        </w:tc>
      </w:tr>
      <w:tr w:rsidR="00EF2A33" w:rsidRPr="00EF2A33" w14:paraId="2CBE634B" w14:textId="77777777" w:rsidTr="00B63C07">
        <w:trPr>
          <w:trHeight w:val="304"/>
          <w:jc w:val="center"/>
        </w:trPr>
        <w:tc>
          <w:tcPr>
            <w:tcW w:w="2384" w:type="dxa"/>
            <w:hideMark/>
          </w:tcPr>
          <w:p w14:paraId="5E165A2A"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 xml:space="preserve"> R-squared</w:t>
            </w:r>
          </w:p>
        </w:tc>
        <w:tc>
          <w:tcPr>
            <w:tcW w:w="1148" w:type="dxa"/>
          </w:tcPr>
          <w:p w14:paraId="1A8DE14A" w14:textId="38BE06FC" w:rsidR="00B63C07" w:rsidRPr="00EF2A33" w:rsidRDefault="00561AA8"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0.57</w:t>
            </w:r>
          </w:p>
        </w:tc>
        <w:tc>
          <w:tcPr>
            <w:tcW w:w="1389" w:type="dxa"/>
          </w:tcPr>
          <w:p w14:paraId="50089A2A" w14:textId="4E6269AF" w:rsidR="00B63C07" w:rsidRPr="00EF2A33" w:rsidRDefault="00561AA8"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0.06</w:t>
            </w:r>
          </w:p>
        </w:tc>
        <w:tc>
          <w:tcPr>
            <w:tcW w:w="1218" w:type="dxa"/>
          </w:tcPr>
          <w:p w14:paraId="750F25A1" w14:textId="27AC54E8" w:rsidR="00B63C07" w:rsidRPr="00EF2A33" w:rsidRDefault="000F58FA"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0.001</w:t>
            </w:r>
          </w:p>
        </w:tc>
        <w:tc>
          <w:tcPr>
            <w:tcW w:w="1319" w:type="dxa"/>
          </w:tcPr>
          <w:p w14:paraId="612392AA" w14:textId="5F90BB64" w:rsidR="00B63C07" w:rsidRPr="00EF2A33" w:rsidRDefault="004A1CDD"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0.33</w:t>
            </w:r>
          </w:p>
        </w:tc>
      </w:tr>
      <w:tr w:rsidR="00EF2A33" w:rsidRPr="00EF2A33" w14:paraId="4D1C87ED" w14:textId="77777777" w:rsidTr="00B63C07">
        <w:trPr>
          <w:trHeight w:val="304"/>
          <w:jc w:val="center"/>
        </w:trPr>
        <w:tc>
          <w:tcPr>
            <w:tcW w:w="2384" w:type="dxa"/>
          </w:tcPr>
          <w:p w14:paraId="1EF3FE6D" w14:textId="77777777" w:rsidR="00B63C07" w:rsidRPr="00EF2A33" w:rsidRDefault="00B63C07" w:rsidP="005C3EBC">
            <w:pPr>
              <w:widowControl w:val="0"/>
              <w:autoSpaceDE w:val="0"/>
              <w:autoSpaceDN w:val="0"/>
              <w:adjustRightInd w:val="0"/>
              <w:spacing w:after="0" w:line="240" w:lineRule="auto"/>
              <w:rPr>
                <w:rFonts w:ascii="Garamond" w:eastAsiaTheme="minorEastAsia" w:hAnsi="Garamond"/>
                <w:sz w:val="20"/>
                <w:szCs w:val="20"/>
              </w:rPr>
            </w:pPr>
            <w:r w:rsidRPr="00EF2A33">
              <w:rPr>
                <w:rFonts w:ascii="Garamond" w:eastAsiaTheme="minorEastAsia" w:hAnsi="Garamond"/>
                <w:sz w:val="20"/>
                <w:szCs w:val="20"/>
              </w:rPr>
              <w:t>Durbin–Wu– Hausman</w:t>
            </w:r>
          </w:p>
        </w:tc>
        <w:tc>
          <w:tcPr>
            <w:tcW w:w="1148" w:type="dxa"/>
          </w:tcPr>
          <w:p w14:paraId="11746EB2" w14:textId="4910B2F0" w:rsidR="00B63C07" w:rsidRPr="00EF2A33" w:rsidRDefault="00943615"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0.32</w:t>
            </w:r>
          </w:p>
        </w:tc>
        <w:tc>
          <w:tcPr>
            <w:tcW w:w="1389" w:type="dxa"/>
          </w:tcPr>
          <w:p w14:paraId="3AC76700" w14:textId="63DBA481" w:rsidR="00B63C07" w:rsidRPr="00EF2A33" w:rsidRDefault="00943615" w:rsidP="00943615">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9</w:t>
            </w:r>
            <w:r w:rsidR="00B63C07" w:rsidRPr="00EF2A33">
              <w:rPr>
                <w:rFonts w:ascii="Garamond" w:eastAsiaTheme="minorEastAsia" w:hAnsi="Garamond"/>
                <w:sz w:val="20"/>
                <w:szCs w:val="20"/>
              </w:rPr>
              <w:t>.</w:t>
            </w:r>
            <w:r w:rsidRPr="00EF2A33">
              <w:rPr>
                <w:rFonts w:ascii="Garamond" w:eastAsiaTheme="minorEastAsia" w:hAnsi="Garamond"/>
                <w:sz w:val="20"/>
                <w:szCs w:val="20"/>
              </w:rPr>
              <w:t>52</w:t>
            </w:r>
          </w:p>
        </w:tc>
        <w:tc>
          <w:tcPr>
            <w:tcW w:w="1218" w:type="dxa"/>
          </w:tcPr>
          <w:p w14:paraId="0EC737A8" w14:textId="60CF684D" w:rsidR="00B63C07" w:rsidRPr="00EF2A33" w:rsidRDefault="004A1CDD"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6</w:t>
            </w:r>
          </w:p>
        </w:tc>
        <w:tc>
          <w:tcPr>
            <w:tcW w:w="1319" w:type="dxa"/>
          </w:tcPr>
          <w:p w14:paraId="0BAED48B" w14:textId="27BC4D9C" w:rsidR="00B63C07" w:rsidRPr="00EF2A33" w:rsidRDefault="004A1CDD" w:rsidP="00FB09F1">
            <w:pPr>
              <w:widowControl w:val="0"/>
              <w:autoSpaceDE w:val="0"/>
              <w:autoSpaceDN w:val="0"/>
              <w:adjustRightInd w:val="0"/>
              <w:spacing w:after="0" w:line="240" w:lineRule="auto"/>
              <w:jc w:val="right"/>
              <w:rPr>
                <w:rFonts w:ascii="Garamond" w:eastAsiaTheme="minorEastAsia" w:hAnsi="Garamond"/>
                <w:sz w:val="20"/>
                <w:szCs w:val="20"/>
              </w:rPr>
            </w:pPr>
            <w:r w:rsidRPr="00EF2A33">
              <w:rPr>
                <w:rFonts w:ascii="Garamond" w:eastAsiaTheme="minorEastAsia" w:hAnsi="Garamond"/>
                <w:sz w:val="20"/>
                <w:szCs w:val="20"/>
              </w:rPr>
              <w:t>0.32</w:t>
            </w:r>
          </w:p>
        </w:tc>
      </w:tr>
      <w:tr w:rsidR="00B63C07" w:rsidRPr="00EF2A33" w14:paraId="7D389483" w14:textId="77777777" w:rsidTr="00B63C07">
        <w:trPr>
          <w:trHeight w:val="304"/>
          <w:jc w:val="center"/>
        </w:trPr>
        <w:tc>
          <w:tcPr>
            <w:tcW w:w="7458" w:type="dxa"/>
            <w:gridSpan w:val="5"/>
            <w:tcBorders>
              <w:bottom w:val="single" w:sz="4" w:space="0" w:color="auto"/>
            </w:tcBorders>
          </w:tcPr>
          <w:p w14:paraId="5A97681C" w14:textId="6E231AB0" w:rsidR="00B63C07" w:rsidRPr="00EF2A33" w:rsidRDefault="00B63C07" w:rsidP="00FB09F1">
            <w:pPr>
              <w:pBdr>
                <w:top w:val="single" w:sz="4" w:space="1" w:color="auto"/>
              </w:pBdr>
              <w:spacing w:line="240" w:lineRule="auto"/>
              <w:rPr>
                <w:sz w:val="20"/>
                <w:szCs w:val="20"/>
                <w:lang w:val="en-GB"/>
              </w:rPr>
            </w:pPr>
            <w:r w:rsidRPr="00EF2A33">
              <w:rPr>
                <w:sz w:val="20"/>
                <w:szCs w:val="20"/>
                <w:lang w:val="en-GB"/>
              </w:rPr>
              <w:t xml:space="preserve">Notes: (1) *, **, *** </w:t>
            </w:r>
            <w:r w:rsidRPr="00EF2A33">
              <w:rPr>
                <w:rFonts w:eastAsia="Calibri"/>
                <w:sz w:val="20"/>
                <w:szCs w:val="20"/>
                <w:lang w:val="en-GB"/>
              </w:rPr>
              <w:t>indicate significance at the 10%, 5%, and 1% confidenc</w:t>
            </w:r>
            <w:r w:rsidRPr="00EF2A33">
              <w:rPr>
                <w:sz w:val="20"/>
                <w:szCs w:val="20"/>
                <w:lang w:val="en-GB"/>
              </w:rPr>
              <w:t>e</w:t>
            </w:r>
            <w:r w:rsidR="00C05C02" w:rsidRPr="00EF2A33">
              <w:rPr>
                <w:sz w:val="20"/>
                <w:szCs w:val="20"/>
                <w:lang w:val="en-GB"/>
              </w:rPr>
              <w:t xml:space="preserve"> levels</w:t>
            </w:r>
            <w:r w:rsidRPr="00EF2A33">
              <w:rPr>
                <w:sz w:val="20"/>
                <w:szCs w:val="20"/>
                <w:lang w:val="en-GB"/>
              </w:rPr>
              <w:t xml:space="preserve">, respectively. (2) See Table 2 for </w:t>
            </w:r>
            <w:r w:rsidRPr="00EF2A33">
              <w:rPr>
                <w:rFonts w:eastAsia="Calibri"/>
                <w:sz w:val="20"/>
                <w:szCs w:val="20"/>
                <w:lang w:val="en-GB"/>
              </w:rPr>
              <w:t>the variable definitions.</w:t>
            </w:r>
          </w:p>
          <w:p w14:paraId="7D81F247" w14:textId="77777777" w:rsidR="00B63C07" w:rsidRPr="00EF2A33" w:rsidRDefault="00B63C07" w:rsidP="005C3EBC">
            <w:pPr>
              <w:widowControl w:val="0"/>
              <w:autoSpaceDE w:val="0"/>
              <w:autoSpaceDN w:val="0"/>
              <w:adjustRightInd w:val="0"/>
              <w:spacing w:after="0" w:line="240" w:lineRule="auto"/>
              <w:jc w:val="left"/>
              <w:rPr>
                <w:rFonts w:ascii="Garamond" w:eastAsiaTheme="minorEastAsia" w:hAnsi="Garamond"/>
                <w:sz w:val="20"/>
                <w:szCs w:val="20"/>
              </w:rPr>
            </w:pPr>
            <w:r w:rsidRPr="00EF2A33">
              <w:rPr>
                <w:sz w:val="20"/>
                <w:szCs w:val="20"/>
              </w:rPr>
              <w:t>Source: Authors’ own work</w:t>
            </w:r>
          </w:p>
        </w:tc>
      </w:tr>
    </w:tbl>
    <w:p w14:paraId="5CCF0775" w14:textId="77777777" w:rsidR="00364626" w:rsidRPr="00EF2A33" w:rsidRDefault="00364626" w:rsidP="00324FCF">
      <w:pPr>
        <w:rPr>
          <w:b/>
          <w:bCs/>
          <w:lang w:val="en-GB"/>
        </w:rPr>
      </w:pPr>
    </w:p>
    <w:p w14:paraId="531778FE" w14:textId="133B07B3" w:rsidR="00324FCF" w:rsidRPr="00EF2A33" w:rsidRDefault="00324FCF" w:rsidP="00324FCF">
      <w:pPr>
        <w:rPr>
          <w:b/>
          <w:bCs/>
          <w:lang w:val="en-GB"/>
        </w:rPr>
      </w:pPr>
      <w:r w:rsidRPr="00EF2A33">
        <w:rPr>
          <w:b/>
          <w:bCs/>
          <w:lang w:val="en-GB"/>
        </w:rPr>
        <w:t>7. Discussion</w:t>
      </w:r>
    </w:p>
    <w:p w14:paraId="249F7CC7" w14:textId="7FF3E64E" w:rsidR="00CC1264" w:rsidRPr="00EF2A33" w:rsidRDefault="00CC1264" w:rsidP="00CC1264">
      <w:r w:rsidRPr="00EF2A33">
        <w:rPr>
          <w:b/>
          <w:bCs/>
          <w:lang w:val="en-GB"/>
        </w:rPr>
        <w:t xml:space="preserve">7.1 </w:t>
      </w:r>
      <w:r w:rsidRPr="00EF2A33">
        <w:rPr>
          <w:b/>
          <w:bCs/>
        </w:rPr>
        <w:t>Institutional Ownership:</w:t>
      </w:r>
      <w:r w:rsidR="00FC48B8" w:rsidRPr="00EF2A33">
        <w:rPr>
          <w:b/>
          <w:bCs/>
        </w:rPr>
        <w:t xml:space="preserve"> </w:t>
      </w:r>
      <w:r w:rsidR="00F83FFD" w:rsidRPr="00EF2A33">
        <w:t xml:space="preserve">The analysis produced intriguing findings concerning the relationship between institutional ownership and various performance metrics, offering insights into the complex dynamics between ownership structures and firm performance, as proposed by agency theory. Contrary to our hypothesis (Hypothesis 1), institutional ownership demonstrated a positive and significant association with MTB, a market-based performance measure. However, in contrast to the theoretical expectations outlined in Hypothesis 1, our results indicated a negative and significant relationship between institutional ownership and ROA and TOBINQ. This divergence from the </w:t>
      </w:r>
      <w:proofErr w:type="spellStart"/>
      <w:r w:rsidR="00F83FFD" w:rsidRPr="00EF2A33">
        <w:t>hypothesi</w:t>
      </w:r>
      <w:r w:rsidR="00C211A7" w:rsidRPr="00EF2A33">
        <w:t>s</w:t>
      </w:r>
      <w:r w:rsidR="00F83FFD" w:rsidRPr="00EF2A33">
        <w:t>ed</w:t>
      </w:r>
      <w:proofErr w:type="spellEnd"/>
      <w:r w:rsidR="00F83FFD" w:rsidRPr="00EF2A33">
        <w:t xml:space="preserve"> direction aligns with prior research suggesting that institutional investors, leveraging their expertise and professional oversight, contribute to enhancing firm profitability (Andreou et al., 2022; </w:t>
      </w:r>
      <w:proofErr w:type="spellStart"/>
      <w:r w:rsidR="00F83FFD" w:rsidRPr="00EF2A33">
        <w:t>Colpan</w:t>
      </w:r>
      <w:proofErr w:type="spellEnd"/>
      <w:r w:rsidR="00F83FFD" w:rsidRPr="00EF2A33">
        <w:t xml:space="preserve"> and Yoshikawa, 2012; Pfeffer and </w:t>
      </w:r>
      <w:proofErr w:type="spellStart"/>
      <w:r w:rsidR="00F83FFD" w:rsidRPr="00EF2A33">
        <w:t>Salancik</w:t>
      </w:r>
      <w:proofErr w:type="spellEnd"/>
      <w:r w:rsidR="00F83FFD" w:rsidRPr="00EF2A33">
        <w:t>, 2003).</w:t>
      </w:r>
    </w:p>
    <w:p w14:paraId="4D1C245E" w14:textId="14D38C3F" w:rsidR="00CC1264" w:rsidRPr="00EF2A33" w:rsidRDefault="00CC1264" w:rsidP="00CC1264">
      <w:r w:rsidRPr="00EF2A33">
        <w:t>One plausible explanation for these divergent outcomes could be the multifaceted nature of firm performance and the complex interactions between ownership structures</w:t>
      </w:r>
      <w:r w:rsidR="00F733DF" w:rsidRPr="00EF2A33">
        <w:t>.</w:t>
      </w:r>
      <w:r w:rsidRPr="00EF2A33">
        <w:t xml:space="preserve"> </w:t>
      </w:r>
      <w:r w:rsidR="00BF7577" w:rsidRPr="00EF2A33">
        <w:t xml:space="preserve">Because </w:t>
      </w:r>
      <w:r w:rsidR="00FA36D6" w:rsidRPr="00EF2A33">
        <w:t>institution</w:t>
      </w:r>
      <w:r w:rsidR="00BF7577" w:rsidRPr="00EF2A33">
        <w:t xml:space="preserve"> holding does not necessarily mean that they have control over the firm business decision to accelerate ROA and TOBINQ. </w:t>
      </w:r>
      <w:r w:rsidR="00EF7CD8" w:rsidRPr="00EF2A33">
        <w:t xml:space="preserve">Therefore, institutional investors are not </w:t>
      </w:r>
      <w:r w:rsidR="0030580B" w:rsidRPr="00EF2A33">
        <w:t>exposed by</w:t>
      </w:r>
      <w:r w:rsidR="00EF7CD8" w:rsidRPr="00EF2A33">
        <w:t xml:space="preserve"> a strong commitment and engagement with the company and thus have a positive influence on its performance. </w:t>
      </w:r>
      <w:r w:rsidR="00BF7577" w:rsidRPr="00EF2A33">
        <w:t>Thus</w:t>
      </w:r>
      <w:r w:rsidR="00FA36D6" w:rsidRPr="00EF2A33">
        <w:t>,</w:t>
      </w:r>
      <w:r w:rsidR="00BF7577" w:rsidRPr="00EF2A33">
        <w:t xml:space="preserve"> </w:t>
      </w:r>
      <w:r w:rsidRPr="00EF2A33">
        <w:t xml:space="preserve">other performance dimensions might be contingent upon </w:t>
      </w:r>
      <w:r w:rsidRPr="00EF2A33">
        <w:lastRenderedPageBreak/>
        <w:t xml:space="preserve">additional factors or operate through alternative channels not captured in our analysis. This </w:t>
      </w:r>
      <w:r w:rsidR="00BF7577" w:rsidRPr="00EF2A33">
        <w:t>exerts a discernible suggesting</w:t>
      </w:r>
      <w:r w:rsidRPr="00EF2A33">
        <w:t xml:space="preserve"> the relationship between institutional ownership and firm performance is context-dependent and warrants further investigation to unravel the underlying mechanisms driving these differential effects (</w:t>
      </w:r>
      <w:proofErr w:type="spellStart"/>
      <w:r w:rsidRPr="00EF2A33">
        <w:t>Demsetz</w:t>
      </w:r>
      <w:proofErr w:type="spellEnd"/>
      <w:r w:rsidRPr="00EF2A33">
        <w:t xml:space="preserve"> and Villalonga, 2001; </w:t>
      </w:r>
      <w:proofErr w:type="spellStart"/>
      <w:r w:rsidRPr="00EF2A33">
        <w:t>Kapopoulos</w:t>
      </w:r>
      <w:proofErr w:type="spellEnd"/>
      <w:r w:rsidRPr="00EF2A33">
        <w:t xml:space="preserve"> and </w:t>
      </w:r>
      <w:proofErr w:type="spellStart"/>
      <w:r w:rsidRPr="00EF2A33">
        <w:t>Lazaretou</w:t>
      </w:r>
      <w:proofErr w:type="spellEnd"/>
      <w:r w:rsidRPr="00EF2A33">
        <w:t>, 2007).</w:t>
      </w:r>
    </w:p>
    <w:p w14:paraId="797B8221" w14:textId="2EA17E3E" w:rsidR="004B0A7E" w:rsidRPr="00EF2A33" w:rsidRDefault="004B0A7E" w:rsidP="004B0A7E">
      <w:r w:rsidRPr="00EF2A33">
        <w:rPr>
          <w:b/>
          <w:bCs/>
        </w:rPr>
        <w:t xml:space="preserve">7.2 Foreign Ownership: </w:t>
      </w:r>
      <w:r w:rsidR="00777B07" w:rsidRPr="00EF2A33">
        <w:t>In h</w:t>
      </w:r>
      <w:r w:rsidRPr="00EF2A33">
        <w:t xml:space="preserve">ypothesized (Hypothesis 2), we found a significant positive association between foreign ownership and </w:t>
      </w:r>
      <w:r w:rsidR="00777B07" w:rsidRPr="00EF2A33">
        <w:t>ROA</w:t>
      </w:r>
      <w:r w:rsidR="00EF7CD8" w:rsidRPr="00EF2A33">
        <w:t xml:space="preserve"> which is c</w:t>
      </w:r>
      <w:r w:rsidRPr="00EF2A33">
        <w:t xml:space="preserve">onsistent with prior literature (Douma et al., 2006; </w:t>
      </w:r>
      <w:r w:rsidR="00203537" w:rsidRPr="00EF2A33">
        <w:t xml:space="preserve">Ferreira and Matos, 2008; </w:t>
      </w:r>
      <w:r w:rsidR="00BA39A0" w:rsidRPr="00EF2A33">
        <w:rPr>
          <w:lang w:val="en-GB"/>
        </w:rPr>
        <w:t>Nguyen</w:t>
      </w:r>
      <w:r w:rsidR="00BA39A0" w:rsidRPr="00EF2A33">
        <w:t xml:space="preserve"> et al., 2020; </w:t>
      </w:r>
      <w:r w:rsidRPr="00EF2A33">
        <w:t xml:space="preserve">Omran et al., </w:t>
      </w:r>
      <w:r w:rsidR="00EF7CD8" w:rsidRPr="00EF2A33">
        <w:t>2008;</w:t>
      </w:r>
      <w:r w:rsidR="00203537" w:rsidRPr="00EF2A33">
        <w:t xml:space="preserve"> Zulkifli et al. 2017</w:t>
      </w:r>
      <w:r w:rsidR="00EF7CD8" w:rsidRPr="00EF2A33">
        <w:t>). O</w:t>
      </w:r>
      <w:r w:rsidRPr="00EF2A33">
        <w:t xml:space="preserve">ur findings suggest that foreign investors, characterized by their strong commitment and engagement with the firm, exert a positive influence on company performance. </w:t>
      </w:r>
    </w:p>
    <w:p w14:paraId="1A4640FB" w14:textId="285E7239" w:rsidR="00324FCF" w:rsidRPr="00EF2A33" w:rsidRDefault="004B0A7E" w:rsidP="004B0A7E">
      <w:r w:rsidRPr="00EF2A33">
        <w:t>These findings lend support to the notion that foreign investors, by introducing external resources such as knowledge, expertise, and access to global markets, play a pivotal role in driving firm performance (Claessens et al., 2000). Additionally, foreign investors, less connected to domestic shareholders and possessing comparatively limited company information, exhibit increased motivation to closely monitor the firm's operations (Chen et al., 2009), which may further contribute to the observed positive relationship between foreign ownership and firm performance.</w:t>
      </w:r>
    </w:p>
    <w:p w14:paraId="070630F8" w14:textId="29DCEA5A" w:rsidR="00D224B0" w:rsidRPr="00EF2A33" w:rsidRDefault="00D224B0" w:rsidP="00D224B0">
      <w:pPr>
        <w:rPr>
          <w:lang w:val="en-GB"/>
        </w:rPr>
      </w:pPr>
      <w:r w:rsidRPr="00EF2A33">
        <w:rPr>
          <w:b/>
          <w:bCs/>
          <w:lang w:val="en-GB"/>
        </w:rPr>
        <w:t xml:space="preserve">7.3 </w:t>
      </w:r>
      <w:r w:rsidR="00594FB4" w:rsidRPr="00EF2A33">
        <w:rPr>
          <w:b/>
          <w:bCs/>
          <w:lang w:val="en-GB"/>
        </w:rPr>
        <w:t xml:space="preserve">Sponsor </w:t>
      </w:r>
      <w:r w:rsidR="006E52B0" w:rsidRPr="00EF2A33">
        <w:rPr>
          <w:b/>
          <w:bCs/>
          <w:lang w:val="en-GB"/>
        </w:rPr>
        <w:t xml:space="preserve">and Director </w:t>
      </w:r>
      <w:r w:rsidRPr="00EF2A33">
        <w:rPr>
          <w:b/>
          <w:bCs/>
          <w:lang w:val="en-GB"/>
        </w:rPr>
        <w:t xml:space="preserve">Ownership: </w:t>
      </w:r>
      <w:r w:rsidR="004C264F" w:rsidRPr="00EF2A33">
        <w:t xml:space="preserve">In hypothesized (Hypothesis 3), we find a mixed result revealing ROA is statistically positive and while TOBINQ is negative significant. </w:t>
      </w:r>
      <w:r w:rsidRPr="00EF2A33">
        <w:rPr>
          <w:lang w:val="en-GB"/>
        </w:rPr>
        <w:t>The results of the study align with previous research such as Bhagat and Bolton (2013) and Farrer and Ramsay (1998), which documented a positive impact of director ownership on company performance</w:t>
      </w:r>
      <w:r w:rsidR="006E52B0" w:rsidRPr="00EF2A33">
        <w:rPr>
          <w:lang w:val="en-GB"/>
        </w:rPr>
        <w:t xml:space="preserve"> (ROA)</w:t>
      </w:r>
      <w:r w:rsidRPr="00EF2A33">
        <w:rPr>
          <w:lang w:val="en-GB"/>
        </w:rPr>
        <w:t>. Similarly, the positive association between sponsor ownership and firm performance is in line with the arguments from agency theory, where sponsors, as significant shareholders, have a vested interest in overseeing managerial activities to mitigate agency problems.</w:t>
      </w:r>
      <w:r w:rsidR="006E52B0" w:rsidRPr="00EF2A33">
        <w:rPr>
          <w:lang w:val="en-GB"/>
        </w:rPr>
        <w:t xml:space="preserve"> </w:t>
      </w:r>
      <w:r w:rsidRPr="00EF2A33">
        <w:rPr>
          <w:lang w:val="en-GB"/>
        </w:rPr>
        <w:t xml:space="preserve">Furthermore, the significant relationship between </w:t>
      </w:r>
      <w:r w:rsidR="006E52B0" w:rsidRPr="00EF2A33">
        <w:rPr>
          <w:lang w:val="en-GB"/>
        </w:rPr>
        <w:t>sponsor</w:t>
      </w:r>
      <w:r w:rsidRPr="00EF2A33">
        <w:rPr>
          <w:lang w:val="en-GB"/>
        </w:rPr>
        <w:t xml:space="preserve"> </w:t>
      </w:r>
      <w:r w:rsidR="006E52B0" w:rsidRPr="00EF2A33">
        <w:rPr>
          <w:lang w:val="en-GB"/>
        </w:rPr>
        <w:t xml:space="preserve">ownership </w:t>
      </w:r>
      <w:r w:rsidRPr="00EF2A33">
        <w:rPr>
          <w:lang w:val="en-GB"/>
        </w:rPr>
        <w:t>with firm performance supports the notion that governance mechanisms play a crucial role in enhancing company performance. This is consistent with the broader literature on corporate governance, where institutional ownership is often associated with better firm performance (Han and Suk, 1998; Omran et al., 2008</w:t>
      </w:r>
      <w:r w:rsidR="00C87964" w:rsidRPr="00EF2A33">
        <w:rPr>
          <w:lang w:val="en-GB"/>
        </w:rPr>
        <w:t xml:space="preserve">; </w:t>
      </w:r>
      <w:r w:rsidR="00C87964" w:rsidRPr="00EF2A33">
        <w:t>Zulkifli et al. 2017</w:t>
      </w:r>
      <w:r w:rsidRPr="00EF2A33">
        <w:rPr>
          <w:lang w:val="en-GB"/>
        </w:rPr>
        <w:t xml:space="preserve">). The positive impact is also consistent with studies such as those by </w:t>
      </w:r>
      <w:proofErr w:type="spellStart"/>
      <w:r w:rsidRPr="00EF2A33">
        <w:rPr>
          <w:lang w:val="en-GB"/>
        </w:rPr>
        <w:t>Kansil</w:t>
      </w:r>
      <w:proofErr w:type="spellEnd"/>
      <w:r w:rsidRPr="00EF2A33">
        <w:rPr>
          <w:lang w:val="en-GB"/>
        </w:rPr>
        <w:t xml:space="preserve"> and Singh (2018) and Yeh (2019), which highlighted the professionalism and expertise of institutional directors in driving positive outcomes for </w:t>
      </w:r>
      <w:r w:rsidRPr="00EF2A33">
        <w:rPr>
          <w:lang w:val="en-GB"/>
        </w:rPr>
        <w:lastRenderedPageBreak/>
        <w:t>companies.</w:t>
      </w:r>
      <w:r w:rsidR="006E52B0" w:rsidRPr="00EF2A33">
        <w:rPr>
          <w:lang w:val="en-GB"/>
        </w:rPr>
        <w:t xml:space="preserve"> Conversely, we find sponsor ownership is negative significant to TOBINQ which is not align with our theoretical expectation.</w:t>
      </w:r>
      <w:r w:rsidR="00DA1DFA" w:rsidRPr="00EF2A33">
        <w:rPr>
          <w:lang w:val="en-GB"/>
        </w:rPr>
        <w:t xml:space="preserve"> The findings indicates that sponsor and </w:t>
      </w:r>
      <w:r w:rsidR="00F83FFD" w:rsidRPr="00EF2A33">
        <w:rPr>
          <w:lang w:val="en-GB"/>
        </w:rPr>
        <w:t>directors’</w:t>
      </w:r>
      <w:r w:rsidR="00DA1DFA" w:rsidRPr="00EF2A33">
        <w:rPr>
          <w:lang w:val="en-GB"/>
        </w:rPr>
        <w:t xml:space="preserve"> ownership negatively</w:t>
      </w:r>
      <w:r w:rsidR="00F83FFD" w:rsidRPr="00EF2A33">
        <w:rPr>
          <w:lang w:val="en-GB"/>
        </w:rPr>
        <w:t>.</w:t>
      </w:r>
    </w:p>
    <w:p w14:paraId="473208BC" w14:textId="3BF3F09A" w:rsidR="00A51FBE" w:rsidRPr="00EF2A33" w:rsidRDefault="00A51FBE" w:rsidP="00D224B0">
      <w:pPr>
        <w:rPr>
          <w:lang w:val="en-GB"/>
        </w:rPr>
      </w:pPr>
      <w:r w:rsidRPr="00EF2A33">
        <w:rPr>
          <w:b/>
          <w:bCs/>
          <w:lang w:val="en-GB"/>
        </w:rPr>
        <w:t>7.4 Government Ownership:</w:t>
      </w:r>
      <w:r w:rsidRPr="00EF2A33">
        <w:rPr>
          <w:lang w:val="en-GB"/>
        </w:rPr>
        <w:t xml:space="preserve"> The results found a </w:t>
      </w:r>
      <w:r w:rsidR="00185849" w:rsidRPr="00EF2A33">
        <w:rPr>
          <w:lang w:val="en-GB"/>
        </w:rPr>
        <w:t xml:space="preserve">statistically negative </w:t>
      </w:r>
      <w:r w:rsidRPr="00EF2A33">
        <w:rPr>
          <w:lang w:val="en-GB"/>
        </w:rPr>
        <w:t xml:space="preserve">relationship between </w:t>
      </w:r>
      <w:r w:rsidR="00185849" w:rsidRPr="00EF2A33">
        <w:rPr>
          <w:lang w:val="en-GB"/>
        </w:rPr>
        <w:t>government ownership</w:t>
      </w:r>
      <w:r w:rsidRPr="00EF2A33">
        <w:rPr>
          <w:lang w:val="en-GB"/>
        </w:rPr>
        <w:t xml:space="preserve"> and firm</w:t>
      </w:r>
      <w:r w:rsidR="00185849" w:rsidRPr="00EF2A33">
        <w:rPr>
          <w:lang w:val="en-GB"/>
        </w:rPr>
        <w:t xml:space="preserve"> performances</w:t>
      </w:r>
      <w:r w:rsidR="00105B0B" w:rsidRPr="00EF2A33">
        <w:rPr>
          <w:lang w:val="en-GB"/>
        </w:rPr>
        <w:t xml:space="preserve"> including ROA, ROE and TOBINQ</w:t>
      </w:r>
      <w:r w:rsidR="00185849" w:rsidRPr="00EF2A33">
        <w:rPr>
          <w:lang w:val="en-GB"/>
        </w:rPr>
        <w:t xml:space="preserve">. </w:t>
      </w:r>
      <w:r w:rsidR="00763543" w:rsidRPr="00EF2A33">
        <w:rPr>
          <w:lang w:val="en-GB"/>
        </w:rPr>
        <w:t>The outcome is in</w:t>
      </w:r>
      <w:r w:rsidR="00763543" w:rsidRPr="00EF2A33">
        <w:t>c</w:t>
      </w:r>
      <w:r w:rsidR="00185849" w:rsidRPr="00EF2A33">
        <w:t xml:space="preserve">onsistent with the hypothesis derived from agency theory (Hypothesis </w:t>
      </w:r>
      <w:r w:rsidR="003012D7" w:rsidRPr="00EF2A33">
        <w:t>4</w:t>
      </w:r>
      <w:r w:rsidR="00185849" w:rsidRPr="00EF2A33">
        <w:t>)</w:t>
      </w:r>
      <w:r w:rsidR="00763543" w:rsidRPr="00EF2A33">
        <w:t>.</w:t>
      </w:r>
      <w:r w:rsidR="00185849" w:rsidRPr="00EF2A33">
        <w:t xml:space="preserve"> </w:t>
      </w:r>
      <w:r w:rsidR="00763543" w:rsidRPr="00EF2A33">
        <w:t>The</w:t>
      </w:r>
      <w:r w:rsidR="00185849" w:rsidRPr="00EF2A33">
        <w:t xml:space="preserve"> findings revealed that firms with more government </w:t>
      </w:r>
      <w:r w:rsidR="00F83FFD" w:rsidRPr="00EF2A33">
        <w:t>holdings</w:t>
      </w:r>
      <w:r w:rsidR="00185849" w:rsidRPr="00EF2A33">
        <w:t xml:space="preserve"> negat</w:t>
      </w:r>
      <w:r w:rsidR="00C41186" w:rsidRPr="00EF2A33">
        <w:t>ively associated with ROA, ROE</w:t>
      </w:r>
      <w:r w:rsidR="00185849" w:rsidRPr="00EF2A33">
        <w:t xml:space="preserve"> and TOBINQ. The possible reason might be that </w:t>
      </w:r>
      <w:r w:rsidR="00625EBD" w:rsidRPr="00EF2A33">
        <w:t xml:space="preserve">firms’ management on behalf of the government were represented by individuals not serious in undertaking their responsibilities because they </w:t>
      </w:r>
      <w:r w:rsidR="00763543" w:rsidRPr="00EF2A33">
        <w:t>might</w:t>
      </w:r>
      <w:r w:rsidR="00625EBD" w:rsidRPr="00EF2A33">
        <w:t xml:space="preserve"> not have the relevant experience or expertise to do the job</w:t>
      </w:r>
      <w:r w:rsidR="00BC43E4" w:rsidRPr="00EF2A33">
        <w:t xml:space="preserve"> or they are politically </w:t>
      </w:r>
      <w:r w:rsidR="00763543" w:rsidRPr="00EF2A33">
        <w:t>chosen</w:t>
      </w:r>
      <w:r w:rsidR="00625EBD" w:rsidRPr="00EF2A33">
        <w:t xml:space="preserve"> (Jaffar &amp; Abdul-Shukor, 2016</w:t>
      </w:r>
      <w:r w:rsidR="00E40E35" w:rsidRPr="00EF2A33">
        <w:t>; Zulkifli et al. 2017</w:t>
      </w:r>
      <w:r w:rsidR="00625EBD" w:rsidRPr="00EF2A33">
        <w:t>).</w:t>
      </w:r>
    </w:p>
    <w:p w14:paraId="34DF5D11" w14:textId="68F73996" w:rsidR="001C2B25" w:rsidRPr="00EF2A33" w:rsidRDefault="00D643D0" w:rsidP="001C2B25">
      <w:pPr>
        <w:rPr>
          <w:lang w:val="en-GB"/>
        </w:rPr>
      </w:pPr>
      <w:r w:rsidRPr="00EF2A33">
        <w:rPr>
          <w:b/>
          <w:bCs/>
          <w:lang w:val="en-GB"/>
        </w:rPr>
        <w:t>7.5</w:t>
      </w:r>
      <w:r w:rsidR="001C2B25" w:rsidRPr="00EF2A33">
        <w:rPr>
          <w:b/>
          <w:bCs/>
          <w:lang w:val="en-GB"/>
        </w:rPr>
        <w:t xml:space="preserve"> Board Size:</w:t>
      </w:r>
      <w:r w:rsidR="001C2B25" w:rsidRPr="00EF2A33">
        <w:rPr>
          <w:lang w:val="en-GB"/>
        </w:rPr>
        <w:t xml:space="preserve"> </w:t>
      </w:r>
      <w:r w:rsidR="00753D63" w:rsidRPr="00EF2A33">
        <w:rPr>
          <w:lang w:val="en-GB"/>
        </w:rPr>
        <w:t>The</w:t>
      </w:r>
      <w:r w:rsidR="001C2B25" w:rsidRPr="00EF2A33">
        <w:rPr>
          <w:lang w:val="en-GB"/>
        </w:rPr>
        <w:t xml:space="preserve"> result</w:t>
      </w:r>
      <w:r w:rsidR="00753D63" w:rsidRPr="00EF2A33">
        <w:rPr>
          <w:lang w:val="en-GB"/>
        </w:rPr>
        <w:t xml:space="preserve">s found a positive relationship between board size and </w:t>
      </w:r>
      <w:r w:rsidR="00C478A9" w:rsidRPr="00EF2A33">
        <w:rPr>
          <w:lang w:val="en-GB"/>
        </w:rPr>
        <w:t xml:space="preserve">TOBINQ </w:t>
      </w:r>
      <w:r w:rsidR="001C2B25" w:rsidRPr="00EF2A33">
        <w:rPr>
          <w:lang w:val="en-GB"/>
        </w:rPr>
        <w:t>suggest</w:t>
      </w:r>
      <w:r w:rsidR="00753D63" w:rsidRPr="00EF2A33">
        <w:rPr>
          <w:lang w:val="en-GB"/>
        </w:rPr>
        <w:t>ing</w:t>
      </w:r>
      <w:r w:rsidR="001C2B25" w:rsidRPr="00EF2A33">
        <w:rPr>
          <w:lang w:val="en-GB"/>
        </w:rPr>
        <w:t xml:space="preserve"> that larger boards, with their diverse experiences and backgrounds, are more effective in overseeing management actions and contributing to enhanced company performance, aligning with previous research findings (Saha</w:t>
      </w:r>
      <w:r w:rsidR="00B019A4" w:rsidRPr="00EF2A33">
        <w:rPr>
          <w:lang w:val="en-GB"/>
        </w:rPr>
        <w:t xml:space="preserve"> and Khan</w:t>
      </w:r>
      <w:r w:rsidR="001C2B25" w:rsidRPr="00EF2A33">
        <w:rPr>
          <w:lang w:val="en-GB"/>
        </w:rPr>
        <w:t>, 20</w:t>
      </w:r>
      <w:r w:rsidR="00B019A4" w:rsidRPr="00EF2A33">
        <w:rPr>
          <w:lang w:val="en-GB"/>
        </w:rPr>
        <w:t>24a</w:t>
      </w:r>
      <w:r w:rsidR="00F1656F" w:rsidRPr="00EF2A33">
        <w:rPr>
          <w:lang w:val="en-GB"/>
        </w:rPr>
        <w:t>; Choi et al., 2007</w:t>
      </w:r>
      <w:r w:rsidR="001C2B25" w:rsidRPr="00EF2A33">
        <w:rPr>
          <w:lang w:val="en-GB"/>
        </w:rPr>
        <w:t xml:space="preserve">; </w:t>
      </w:r>
      <w:proofErr w:type="spellStart"/>
      <w:r w:rsidR="001C2B25" w:rsidRPr="00EF2A33">
        <w:rPr>
          <w:lang w:val="en-GB"/>
        </w:rPr>
        <w:t>Adeabah</w:t>
      </w:r>
      <w:proofErr w:type="spellEnd"/>
      <w:r w:rsidR="001C2B25" w:rsidRPr="00EF2A33">
        <w:rPr>
          <w:lang w:val="en-GB"/>
        </w:rPr>
        <w:t xml:space="preserve"> et al., 2019</w:t>
      </w:r>
      <w:r w:rsidR="00F1656F" w:rsidRPr="00EF2A33">
        <w:rPr>
          <w:lang w:val="en-GB"/>
        </w:rPr>
        <w:t>; Bachiller, 2015; Coles et al., 2008</w:t>
      </w:r>
      <w:r w:rsidR="001C2B25" w:rsidRPr="00EF2A33">
        <w:rPr>
          <w:lang w:val="en-GB"/>
        </w:rPr>
        <w:t>).</w:t>
      </w:r>
      <w:r w:rsidR="00C478A9" w:rsidRPr="00EF2A33">
        <w:rPr>
          <w:lang w:val="en-GB"/>
        </w:rPr>
        <w:t xml:space="preserve"> Conversely, board size negatively </w:t>
      </w:r>
      <w:r w:rsidR="00F83FFD" w:rsidRPr="00EF2A33">
        <w:rPr>
          <w:lang w:val="en-GB"/>
        </w:rPr>
        <w:t>influences</w:t>
      </w:r>
      <w:r w:rsidR="00C478A9" w:rsidRPr="00EF2A33">
        <w:rPr>
          <w:lang w:val="en-GB"/>
        </w:rPr>
        <w:t xml:space="preserve"> return on equity, which is consistent with earlier studies (Guest, 2009)</w:t>
      </w:r>
      <w:r w:rsidR="000E0E21" w:rsidRPr="00EF2A33">
        <w:rPr>
          <w:lang w:val="en-GB"/>
        </w:rPr>
        <w:t>.</w:t>
      </w:r>
    </w:p>
    <w:p w14:paraId="6B9AF237" w14:textId="77777777" w:rsidR="00F83FFD" w:rsidRPr="00EF2A33" w:rsidRDefault="00D643D0" w:rsidP="00F83FFD">
      <w:r w:rsidRPr="00EF2A33">
        <w:rPr>
          <w:b/>
          <w:bCs/>
          <w:lang w:val="en-GB"/>
        </w:rPr>
        <w:t>7.6 Board Independence:</w:t>
      </w:r>
      <w:r w:rsidRPr="00EF2A33">
        <w:rPr>
          <w:lang w:val="en-GB"/>
        </w:rPr>
        <w:t xml:space="preserve"> </w:t>
      </w:r>
      <w:r w:rsidR="00F83FFD" w:rsidRPr="00EF2A33">
        <w:t>Our analysis of the sample data reveals that the presence of independent directors significantly impacts firm performance, particularly in terms of ROA and TOBINQ. This finding supports Hypothesis 2 and aligns with prior empirical research (Bachiller, 2015; Brickley &amp; Zimmerman, 2010). According to agency theory, a board comprising a substantial number of external directors is considered independent and capable of impartially monitoring and advising managers, thereby advancing shareholders' interests (Brickley &amp; Zimmerman, 2010).</w:t>
      </w:r>
    </w:p>
    <w:p w14:paraId="38E275EF" w14:textId="05C7C20D" w:rsidR="003D4A79" w:rsidRPr="00EF2A33" w:rsidRDefault="00F83FFD" w:rsidP="00F83FFD">
      <w:r w:rsidRPr="00EF2A33">
        <w:t>Conversely, our results indicate a negative and significant relationship between ROE and MTB and board independence. This outcome is consistent with previous findings by Rashid (2018), suggesting that the independence of the board does not necessarily lead to improved firm financial performance.</w:t>
      </w:r>
    </w:p>
    <w:p w14:paraId="1EA913CF" w14:textId="0C19B710" w:rsidR="00D643D0" w:rsidRPr="00EF2A33" w:rsidRDefault="00D643D0" w:rsidP="00D643D0">
      <w:pPr>
        <w:rPr>
          <w:lang w:val="en-GB"/>
        </w:rPr>
      </w:pPr>
      <w:r w:rsidRPr="00EF2A33">
        <w:rPr>
          <w:b/>
          <w:bCs/>
          <w:lang w:val="en-GB"/>
        </w:rPr>
        <w:t>7.7 Gender Diversity:</w:t>
      </w:r>
      <w:r w:rsidRPr="00EF2A33">
        <w:rPr>
          <w:lang w:val="en-GB"/>
        </w:rPr>
        <w:t xml:space="preserve"> </w:t>
      </w:r>
      <w:r w:rsidR="000E4D9B" w:rsidRPr="00EF2A33">
        <w:t>The empirical findings confirm the presence of a significant positive relationship between gender diversity and firm performance including ROE</w:t>
      </w:r>
      <w:r w:rsidR="009B1AF9" w:rsidRPr="00EF2A33">
        <w:t>, MTB</w:t>
      </w:r>
      <w:r w:rsidR="000E4D9B" w:rsidRPr="00EF2A33">
        <w:t xml:space="preserve"> and TOBINQ, thereby substantiating Hypothesis 7.</w:t>
      </w:r>
      <w:r w:rsidR="00B978B0" w:rsidRPr="00EF2A33">
        <w:t xml:space="preserve"> </w:t>
      </w:r>
      <w:r w:rsidR="00B978B0" w:rsidRPr="00EF2A33">
        <w:rPr>
          <w:lang w:val="en-GB"/>
        </w:rPr>
        <w:t xml:space="preserve">The finding is </w:t>
      </w:r>
      <w:proofErr w:type="gramStart"/>
      <w:r w:rsidR="00B978B0" w:rsidRPr="00EF2A33">
        <w:rPr>
          <w:lang w:val="en-GB"/>
        </w:rPr>
        <w:t>similar to</w:t>
      </w:r>
      <w:proofErr w:type="gramEnd"/>
      <w:r w:rsidR="00B978B0" w:rsidRPr="00EF2A33">
        <w:rPr>
          <w:lang w:val="en-GB"/>
        </w:rPr>
        <w:t xml:space="preserve"> Terjesen et al. (2009) </w:t>
      </w:r>
      <w:r w:rsidR="00D24EB4" w:rsidRPr="00EF2A33">
        <w:rPr>
          <w:lang w:val="en-GB"/>
        </w:rPr>
        <w:t xml:space="preserve">and Xing &amp; Sila (2021) </w:t>
      </w:r>
      <w:r w:rsidR="00B978B0" w:rsidRPr="00EF2A33">
        <w:rPr>
          <w:lang w:val="en-GB"/>
        </w:rPr>
        <w:t>who report</w:t>
      </w:r>
      <w:r w:rsidR="00B978B0" w:rsidRPr="00EF2A33">
        <w:rPr>
          <w:rFonts w:eastAsia="Calibri"/>
          <w:lang w:val="en-GB"/>
        </w:rPr>
        <w:t xml:space="preserve">ed that boards with distinctive female directors facilitate </w:t>
      </w:r>
      <w:r w:rsidR="00B978B0" w:rsidRPr="00EF2A33">
        <w:rPr>
          <w:rFonts w:eastAsia="Calibri"/>
          <w:lang w:val="en-GB"/>
        </w:rPr>
        <w:lastRenderedPageBreak/>
        <w:t>firms with a variety of resources. However, there is no significant influence of</w:t>
      </w:r>
      <w:r w:rsidR="009B1AF9" w:rsidRPr="00EF2A33">
        <w:rPr>
          <w:rFonts w:eastAsia="Calibri"/>
          <w:lang w:val="en-GB"/>
        </w:rPr>
        <w:t xml:space="preserve"> gender diversity on ROA</w:t>
      </w:r>
      <w:r w:rsidR="00B978B0" w:rsidRPr="00EF2A33">
        <w:rPr>
          <w:rFonts w:eastAsia="Calibri"/>
          <w:lang w:val="en-GB"/>
        </w:rPr>
        <w:t>.</w:t>
      </w:r>
    </w:p>
    <w:p w14:paraId="015A4556" w14:textId="35478366" w:rsidR="00670F52" w:rsidRPr="00EF2A33" w:rsidRDefault="00670F52" w:rsidP="00670F52">
      <w:pPr>
        <w:rPr>
          <w:lang w:val="en-GB"/>
        </w:rPr>
      </w:pPr>
      <w:r w:rsidRPr="00EF2A33">
        <w:rPr>
          <w:b/>
          <w:bCs/>
          <w:lang w:val="en-GB"/>
        </w:rPr>
        <w:t xml:space="preserve">7.8 Board </w:t>
      </w:r>
      <w:r w:rsidR="00793C29" w:rsidRPr="00EF2A33">
        <w:rPr>
          <w:b/>
          <w:bCs/>
          <w:lang w:val="en-GB"/>
        </w:rPr>
        <w:t>Expertise</w:t>
      </w:r>
      <w:r w:rsidRPr="00EF2A33">
        <w:rPr>
          <w:b/>
          <w:bCs/>
          <w:lang w:val="en-GB"/>
        </w:rPr>
        <w:t>:</w:t>
      </w:r>
      <w:r w:rsidRPr="00EF2A33">
        <w:rPr>
          <w:lang w:val="en-GB"/>
        </w:rPr>
        <w:t xml:space="preserve"> </w:t>
      </w:r>
      <w:r w:rsidR="00ED77B4" w:rsidRPr="00EF2A33">
        <w:t xml:space="preserve">The study reveals a significant positive relationship between the </w:t>
      </w:r>
      <w:r w:rsidR="00793C29" w:rsidRPr="00EF2A33">
        <w:t>board expertise</w:t>
      </w:r>
      <w:r w:rsidR="00ED77B4" w:rsidRPr="00EF2A33">
        <w:t xml:space="preserve"> and firm performance (ROE</w:t>
      </w:r>
      <w:r w:rsidR="00507700" w:rsidRPr="00EF2A33">
        <w:t>, MTB</w:t>
      </w:r>
      <w:r w:rsidR="00ED77B4" w:rsidRPr="00EF2A33">
        <w:t xml:space="preserve"> and TOBINQ)</w:t>
      </w:r>
      <w:r w:rsidR="00E02E80" w:rsidRPr="00EF2A33">
        <w:t>, consistent to the expectations outlined in Hypothesis 8.</w:t>
      </w:r>
      <w:r w:rsidR="00250EF8" w:rsidRPr="00EF2A33">
        <w:t xml:space="preserve"> The findings </w:t>
      </w:r>
      <w:proofErr w:type="gramStart"/>
      <w:r w:rsidR="00250EF8" w:rsidRPr="00EF2A33">
        <w:t>is</w:t>
      </w:r>
      <w:proofErr w:type="gramEnd"/>
      <w:r w:rsidR="00250EF8" w:rsidRPr="00EF2A33">
        <w:t xml:space="preserve"> supported by many existing research </w:t>
      </w:r>
      <w:r w:rsidR="00250EF8" w:rsidRPr="00EF2A33">
        <w:rPr>
          <w:lang w:val="en-GB"/>
        </w:rPr>
        <w:t>researchers who suggest that the number of meetings a board member attends may often be used to explain their level of effort and diligence (</w:t>
      </w:r>
      <w:r w:rsidR="009C61CB" w:rsidRPr="00EF2A33">
        <w:t>Karim et al., 2021</w:t>
      </w:r>
      <w:r w:rsidR="00250EF8" w:rsidRPr="00EF2A33">
        <w:rPr>
          <w:lang w:val="en-GB"/>
        </w:rPr>
        <w:t xml:space="preserve">; </w:t>
      </w:r>
      <w:proofErr w:type="spellStart"/>
      <w:r w:rsidR="00250EF8" w:rsidRPr="00EF2A33">
        <w:rPr>
          <w:lang w:val="en-GB"/>
        </w:rPr>
        <w:t>Alnabsha</w:t>
      </w:r>
      <w:proofErr w:type="spellEnd"/>
      <w:r w:rsidR="00250EF8" w:rsidRPr="00EF2A33">
        <w:rPr>
          <w:lang w:val="en-GB"/>
        </w:rPr>
        <w:t xml:space="preserve"> et al. 2018).</w:t>
      </w:r>
      <w:r w:rsidR="008D6381" w:rsidRPr="00EF2A33">
        <w:rPr>
          <w:lang w:val="en-GB"/>
        </w:rPr>
        <w:t xml:space="preserve"> However, empirical results show that ROA </w:t>
      </w:r>
      <w:r w:rsidR="00507700" w:rsidRPr="00EF2A33">
        <w:rPr>
          <w:lang w:val="en-GB"/>
        </w:rPr>
        <w:t>is</w:t>
      </w:r>
      <w:r w:rsidR="008D6381" w:rsidRPr="00EF2A33">
        <w:rPr>
          <w:lang w:val="en-GB"/>
        </w:rPr>
        <w:t xml:space="preserve"> not associated with the </w:t>
      </w:r>
      <w:r w:rsidR="00793C29" w:rsidRPr="00EF2A33">
        <w:rPr>
          <w:lang w:val="en-GB"/>
        </w:rPr>
        <w:t>expertise</w:t>
      </w:r>
      <w:r w:rsidR="008D6381" w:rsidRPr="00EF2A33">
        <w:rPr>
          <w:lang w:val="en-GB"/>
        </w:rPr>
        <w:t>.</w:t>
      </w:r>
    </w:p>
    <w:p w14:paraId="66CB9C9B" w14:textId="7C122924" w:rsidR="002E2351" w:rsidRPr="00EF2A33" w:rsidRDefault="002E2351" w:rsidP="002E2351">
      <w:pPr>
        <w:rPr>
          <w:lang w:val="en-GB"/>
        </w:rPr>
      </w:pPr>
      <w:r w:rsidRPr="00EF2A33">
        <w:rPr>
          <w:b/>
          <w:bCs/>
          <w:lang w:val="en-GB"/>
        </w:rPr>
        <w:t xml:space="preserve">7.9 Family </w:t>
      </w:r>
      <w:r w:rsidR="000B4708" w:rsidRPr="00EF2A33">
        <w:rPr>
          <w:b/>
          <w:bCs/>
          <w:lang w:val="en-GB"/>
        </w:rPr>
        <w:t>Control</w:t>
      </w:r>
      <w:r w:rsidRPr="00EF2A33">
        <w:rPr>
          <w:b/>
          <w:bCs/>
          <w:lang w:val="en-GB"/>
        </w:rPr>
        <w:t>:</w:t>
      </w:r>
      <w:r w:rsidRPr="00EF2A33">
        <w:rPr>
          <w:lang w:val="en-GB"/>
        </w:rPr>
        <w:t xml:space="preserve"> </w:t>
      </w:r>
      <w:r w:rsidR="002E136F" w:rsidRPr="00EF2A33">
        <w:rPr>
          <w:lang w:val="en-GB"/>
        </w:rPr>
        <w:t xml:space="preserve">Our analysis consistently reveals a significant negative correlation between family control and all the accounting and market-based firm performance indicators. This finding is supported by existing studies that have explored the impact of family members on board effectiveness and business success (Bachiller, 2015; </w:t>
      </w:r>
      <w:proofErr w:type="spellStart"/>
      <w:r w:rsidR="002E136F" w:rsidRPr="00EF2A33">
        <w:rPr>
          <w:lang w:val="en-GB"/>
        </w:rPr>
        <w:t>Desender</w:t>
      </w:r>
      <w:proofErr w:type="spellEnd"/>
      <w:r w:rsidR="002E136F" w:rsidRPr="00EF2A33">
        <w:rPr>
          <w:lang w:val="en-GB"/>
        </w:rPr>
        <w:t>, 2009; Makhlouf et al., 2018). These studies suggest that the presence of family members on the board may compromise its effectiveness, as board members may be selected based solely on familial ties and preferences (Omran et al., 2008). Additionally, the significant influence and control exerted by family members over the business may lead to the compromise of minority shareholder rights and instances of expropriation (Al-Dubai et al., 2014). Overall, our findings align with the literature and underscore the detrimental impact of family control on firm performance.</w:t>
      </w:r>
    </w:p>
    <w:p w14:paraId="17F39618" w14:textId="67682D06" w:rsidR="00497F94" w:rsidRPr="00EF2A33" w:rsidRDefault="00497F94" w:rsidP="002E2351">
      <w:pPr>
        <w:rPr>
          <w:lang w:val="en-GB"/>
        </w:rPr>
      </w:pPr>
      <w:r w:rsidRPr="00EF2A33">
        <w:rPr>
          <w:b/>
          <w:bCs/>
          <w:lang w:val="en-GB"/>
        </w:rPr>
        <w:t>7.10 Directors Education:</w:t>
      </w:r>
      <w:r w:rsidRPr="00EF2A33">
        <w:rPr>
          <w:lang w:val="en-GB"/>
        </w:rPr>
        <w:t xml:space="preserve"> </w:t>
      </w:r>
      <w:r w:rsidR="00CD6939" w:rsidRPr="00EF2A33">
        <w:t>The study consistently demonstrates a negative and significant relationship between directors’ education and firm performances</w:t>
      </w:r>
      <w:r w:rsidR="00F732B1" w:rsidRPr="00EF2A33">
        <w:t xml:space="preserve"> including ROA and TOBINQ</w:t>
      </w:r>
      <w:r w:rsidR="00CD6939" w:rsidRPr="00EF2A33">
        <w:t>, contradicting Hypothesis 10.</w:t>
      </w:r>
      <w:r w:rsidR="00F07E8A" w:rsidRPr="00EF2A33">
        <w:t xml:space="preserve"> </w:t>
      </w:r>
      <w:r w:rsidR="00F732B1" w:rsidRPr="00EF2A33">
        <w:t xml:space="preserve">The finding is consistent with earlier </w:t>
      </w:r>
      <w:r w:rsidR="00F732B1" w:rsidRPr="00EF2A33">
        <w:rPr>
          <w:lang w:val="en-GB"/>
        </w:rPr>
        <w:t xml:space="preserve">research that indicated a negative correlation between the financial performance of the board and the educational variety of its members </w:t>
      </w:r>
      <w:r w:rsidR="00F732B1" w:rsidRPr="00EF2A33">
        <w:t>(</w:t>
      </w:r>
      <w:r w:rsidR="00480431" w:rsidRPr="00EF2A33">
        <w:rPr>
          <w:lang w:val="en-GB"/>
        </w:rPr>
        <w:t>Fernández-Temprano &amp; Tejerina-</w:t>
      </w:r>
      <w:proofErr w:type="spellStart"/>
      <w:r w:rsidR="00480431" w:rsidRPr="00EF2A33">
        <w:rPr>
          <w:lang w:val="en-GB"/>
        </w:rPr>
        <w:t>Gaite</w:t>
      </w:r>
      <w:proofErr w:type="spellEnd"/>
      <w:r w:rsidR="00480431" w:rsidRPr="00EF2A33">
        <w:rPr>
          <w:lang w:val="en-GB"/>
        </w:rPr>
        <w:t xml:space="preserve">, 2020; </w:t>
      </w:r>
      <w:proofErr w:type="spellStart"/>
      <w:r w:rsidR="00F732B1" w:rsidRPr="00EF2A33">
        <w:t>Kagzi</w:t>
      </w:r>
      <w:proofErr w:type="spellEnd"/>
      <w:r w:rsidR="00F732B1" w:rsidRPr="00EF2A33">
        <w:t xml:space="preserve"> and Guha, 2018; Hafsi and Turgut, 2013</w:t>
      </w:r>
      <w:r w:rsidR="00CD3FED" w:rsidRPr="00EF2A33">
        <w:t xml:space="preserve"> and </w:t>
      </w:r>
      <w:proofErr w:type="spellStart"/>
      <w:r w:rsidR="00CD3FED" w:rsidRPr="00EF2A33">
        <w:t>Ujunwa</w:t>
      </w:r>
      <w:proofErr w:type="spellEnd"/>
      <w:r w:rsidR="00CD3FED" w:rsidRPr="00EF2A33">
        <w:t>, 2012</w:t>
      </w:r>
      <w:r w:rsidR="00F732B1" w:rsidRPr="00EF2A33">
        <w:t>). Moreover, t</w:t>
      </w:r>
      <w:r w:rsidR="00F07E8A" w:rsidRPr="00EF2A33">
        <w:t xml:space="preserve">he findings suggest that educational qualification does not have any influence on </w:t>
      </w:r>
      <w:r w:rsidR="00F732B1" w:rsidRPr="00EF2A33">
        <w:t xml:space="preserve">ROE </w:t>
      </w:r>
      <w:r w:rsidR="00F07E8A" w:rsidRPr="00EF2A33">
        <w:t xml:space="preserve">and </w:t>
      </w:r>
      <w:r w:rsidR="00E45E18" w:rsidRPr="00EF2A33">
        <w:t>MTB</w:t>
      </w:r>
      <w:r w:rsidR="00F732B1" w:rsidRPr="00EF2A33">
        <w:t>.</w:t>
      </w:r>
    </w:p>
    <w:p w14:paraId="056B52F1" w14:textId="52D4A034" w:rsidR="00BD100A" w:rsidRPr="00EF2A33" w:rsidRDefault="00C201FA" w:rsidP="002E2351">
      <w:pPr>
        <w:rPr>
          <w:lang w:val="en-GB"/>
        </w:rPr>
      </w:pPr>
      <w:r w:rsidRPr="00EF2A33">
        <w:t>Overall, the study findings highlight the significant influence of ownership structure and board characteristics on firm profitability</w:t>
      </w:r>
      <w:r w:rsidR="000A47C6" w:rsidRPr="00EF2A33">
        <w:t>, contributing valuable insights into the complex interplay between ownership structure, corporate governance and financial transparency.</w:t>
      </w:r>
      <w:r w:rsidR="00BD100A" w:rsidRPr="00EF2A33">
        <w:t xml:space="preserve"> Specifically, foreign ownership, </w:t>
      </w:r>
      <w:r w:rsidR="009D0048" w:rsidRPr="00EF2A33">
        <w:t>directors</w:t>
      </w:r>
      <w:r w:rsidR="00BD100A" w:rsidRPr="00EF2A33">
        <w:t xml:space="preserve">’ ownership, larger boards, the presence of independent directors, existence of female directors, </w:t>
      </w:r>
      <w:r w:rsidR="009D0048" w:rsidRPr="00EF2A33">
        <w:t xml:space="preserve">and </w:t>
      </w:r>
      <w:r w:rsidR="00BD100A" w:rsidRPr="00EF2A33">
        <w:t xml:space="preserve">board </w:t>
      </w:r>
      <w:r w:rsidR="00E313A9" w:rsidRPr="00EF2A33">
        <w:t xml:space="preserve">expertise </w:t>
      </w:r>
      <w:r w:rsidR="00BD100A" w:rsidRPr="00EF2A33">
        <w:t xml:space="preserve">were identified as positive and significant factors associated with increased specific firm value, consistent with </w:t>
      </w:r>
      <w:r w:rsidR="00BD100A" w:rsidRPr="00EF2A33">
        <w:lastRenderedPageBreak/>
        <w:t xml:space="preserve">previous research </w:t>
      </w:r>
      <w:r w:rsidR="00EC3C0B" w:rsidRPr="00EF2A33">
        <w:rPr>
          <w:lang w:val="en-GB"/>
        </w:rPr>
        <w:t>(</w:t>
      </w:r>
      <w:r w:rsidR="004A1781" w:rsidRPr="00EF2A33">
        <w:rPr>
          <w:lang w:val="en-GB"/>
        </w:rPr>
        <w:t xml:space="preserve">Benjamin &amp; Biswas, 2022; </w:t>
      </w:r>
      <w:r w:rsidR="009C61CB" w:rsidRPr="00EF2A33">
        <w:t>Karim et al., 2021</w:t>
      </w:r>
      <w:r w:rsidR="00EC3C0B" w:rsidRPr="00EF2A33">
        <w:t xml:space="preserve">; Bhagat and Bolton </w:t>
      </w:r>
      <w:r w:rsidR="00EC3C0B" w:rsidRPr="00EF2A33">
        <w:rPr>
          <w:lang w:val="en-GB"/>
        </w:rPr>
        <w:t>2013</w:t>
      </w:r>
      <w:r w:rsidR="00EC3C0B" w:rsidRPr="00EF2A33">
        <w:t xml:space="preserve">; Brickley &amp; Zimmerman, 2010; Ferreira and Matos, 2008; </w:t>
      </w:r>
      <w:r w:rsidR="00EC3C0B" w:rsidRPr="00EF2A33">
        <w:rPr>
          <w:lang w:val="en-GB"/>
        </w:rPr>
        <w:t>Nguyen</w:t>
      </w:r>
      <w:r w:rsidR="00EC3C0B" w:rsidRPr="00EF2A33">
        <w:t xml:space="preserve"> et al., 2020; </w:t>
      </w:r>
      <w:r w:rsidR="00EC3C0B" w:rsidRPr="00EF2A33">
        <w:rPr>
          <w:lang w:val="en-GB"/>
        </w:rPr>
        <w:t>Saha and Khan, 2024a</w:t>
      </w:r>
      <w:r w:rsidR="00EC3C0B" w:rsidRPr="00EF2A33">
        <w:t xml:space="preserve">; Terjesen et al., </w:t>
      </w:r>
      <w:r w:rsidR="00EC3C0B" w:rsidRPr="00EF2A33">
        <w:rPr>
          <w:lang w:val="en-GB"/>
        </w:rPr>
        <w:t>2009</w:t>
      </w:r>
      <w:r w:rsidR="00EC3C0B" w:rsidRPr="00EF2A33">
        <w:t>)</w:t>
      </w:r>
      <w:r w:rsidR="00BD100A" w:rsidRPr="00EF2A33">
        <w:t>. In contrast, greater government ownership</w:t>
      </w:r>
      <w:r w:rsidR="00DE388F" w:rsidRPr="00EF2A33">
        <w:t>,</w:t>
      </w:r>
      <w:r w:rsidR="00BD100A" w:rsidRPr="00EF2A33">
        <w:t xml:space="preserve"> more family control</w:t>
      </w:r>
      <w:r w:rsidR="00DE388F" w:rsidRPr="00EF2A33">
        <w:t xml:space="preserve"> and education</w:t>
      </w:r>
      <w:r w:rsidR="00BD100A" w:rsidRPr="00EF2A33">
        <w:t xml:space="preserve"> were identified as strongly negative significant to firm performance, consistent with previous research (</w:t>
      </w:r>
      <w:r w:rsidR="00676741" w:rsidRPr="00EF2A33">
        <w:t xml:space="preserve">Jaffar &amp; Abdul-Shukor, 2016; </w:t>
      </w:r>
      <w:proofErr w:type="spellStart"/>
      <w:r w:rsidR="005E7CA1" w:rsidRPr="00EF2A33">
        <w:t>Kagzi</w:t>
      </w:r>
      <w:proofErr w:type="spellEnd"/>
      <w:r w:rsidR="005E7CA1" w:rsidRPr="00EF2A33">
        <w:t xml:space="preserve"> and Guha, 2018; Makhlouf et al., 2018</w:t>
      </w:r>
      <w:r w:rsidR="00BD100A" w:rsidRPr="00EF2A33">
        <w:t>).</w:t>
      </w:r>
      <w:r w:rsidR="001D0337" w:rsidRPr="00EF2A33">
        <w:t>These findings suggest that regulatory bodies may need to scrutinize further to understand the reasons behind the limited influence of institutional ownership, government ownership and some other CG attributes.</w:t>
      </w:r>
    </w:p>
    <w:p w14:paraId="14C2413F" w14:textId="77777777" w:rsidR="00FA36D6" w:rsidRPr="00EF2A33" w:rsidRDefault="00FA36D6" w:rsidP="002E2351"/>
    <w:p w14:paraId="059E9EF8" w14:textId="4B7CA8A7" w:rsidR="006F755B" w:rsidRPr="00EF2A33" w:rsidRDefault="00BD100A" w:rsidP="003D243F">
      <w:r w:rsidRPr="00EF2A33">
        <w:t xml:space="preserve"> </w:t>
      </w:r>
      <w:r w:rsidR="00324FCF" w:rsidRPr="00EF2A33">
        <w:rPr>
          <w:b/>
          <w:bCs/>
          <w:lang w:val="en-GB"/>
        </w:rPr>
        <w:t>8</w:t>
      </w:r>
      <w:r w:rsidR="00CE484D" w:rsidRPr="00EF2A33">
        <w:rPr>
          <w:b/>
          <w:bCs/>
          <w:lang w:val="en-GB"/>
        </w:rPr>
        <w:t xml:space="preserve">. </w:t>
      </w:r>
      <w:r w:rsidR="006F755B" w:rsidRPr="00EF2A33">
        <w:rPr>
          <w:b/>
          <w:bCs/>
          <w:lang w:val="en-GB"/>
        </w:rPr>
        <w:t>Conclusion</w:t>
      </w:r>
      <w:bookmarkEnd w:id="13"/>
      <w:r w:rsidR="008B1C5E" w:rsidRPr="00EF2A33">
        <w:rPr>
          <w:b/>
          <w:bCs/>
          <w:lang w:val="en-GB"/>
        </w:rPr>
        <w:t xml:space="preserve"> </w:t>
      </w:r>
    </w:p>
    <w:p w14:paraId="7B94E1A4" w14:textId="77777777" w:rsidR="005B7957" w:rsidRPr="00EF2A33" w:rsidRDefault="005B7957" w:rsidP="005B7957">
      <w:pPr>
        <w:rPr>
          <w:lang w:val="en-GB"/>
        </w:rPr>
      </w:pPr>
      <w:r w:rsidRPr="00EF2A33">
        <w:rPr>
          <w:lang w:val="en-GB"/>
        </w:rPr>
        <w:t>This research delved into the intricate relationship between a firm's ownership structure, board characteristics, and various performance metrics in Bangladesh, using Return on Asset (ROA), Return on Equity (ROE), Market-to-book value, and Tobin's Q as indicators. Notably, foreign ownership and sponsor director ownership were found to positively impact Return on Asset, indicating a focus on optimizing asset utilization. Conversely, government ownership showed a negative significant association with ROA, ROE, and TOBINQ, suggesting inefficient management mechanisms hindering firm performance.</w:t>
      </w:r>
    </w:p>
    <w:p w14:paraId="5AAAF12A" w14:textId="77777777" w:rsidR="005B7957" w:rsidRPr="00EF2A33" w:rsidRDefault="005B7957" w:rsidP="005B7957">
      <w:pPr>
        <w:rPr>
          <w:lang w:val="en-GB"/>
        </w:rPr>
      </w:pPr>
      <w:r w:rsidRPr="00EF2A33">
        <w:rPr>
          <w:lang w:val="en-GB"/>
        </w:rPr>
        <w:t>Furthermore, the study highlighted that not all board characteristics positively influence firm profitability. While a larger board positively influenced Tobin's Q, it had a negative statistical impact on ROE, raising questions about effective board composition. Although Bangladesh's corporate governance guidelines recommend a requisite number of directors for efficiency, our findings suggest a nuanced understanding of the impact of board composition on firm performance.</w:t>
      </w:r>
    </w:p>
    <w:p w14:paraId="231D4BD2" w14:textId="7C1755B5" w:rsidR="00B4422F" w:rsidRPr="00EF2A33" w:rsidRDefault="005B7957" w:rsidP="005B7957">
      <w:pPr>
        <w:rPr>
          <w:lang w:val="en-GB"/>
        </w:rPr>
      </w:pPr>
      <w:r w:rsidRPr="00EF2A33">
        <w:rPr>
          <w:lang w:val="en-GB"/>
        </w:rPr>
        <w:t>Independent directors emerged as crucial contributors to accountability and transparency, positively influencing ROA and Tobin's Q. Despite not being mandatory under CG guidelines, female directors positively influenced ROE and TOBINQ, indicating a propensity for responsible management, potentially mitigating agency problems. Surprisingly, family control exhibited a strongly negative association across all performance metrics, indicating that family dominance may impede firm growth and financial progress.</w:t>
      </w:r>
    </w:p>
    <w:p w14:paraId="2619F7A9" w14:textId="1756C576" w:rsidR="00B4422F" w:rsidRPr="00EF2A33" w:rsidRDefault="00B4422F" w:rsidP="003D243F">
      <w:pPr>
        <w:rPr>
          <w:lang w:val="en-GB"/>
        </w:rPr>
      </w:pPr>
      <w:r w:rsidRPr="00EF2A33">
        <w:rPr>
          <w:lang w:val="en-GB"/>
        </w:rPr>
        <w:t xml:space="preserve">Overall, the study's results align with agency theory, illuminating the complex interplay between ownership structure, board characteristics, and firm performance in the context of </w:t>
      </w:r>
      <w:r w:rsidRPr="00EF2A33">
        <w:rPr>
          <w:lang w:val="en-GB"/>
        </w:rPr>
        <w:lastRenderedPageBreak/>
        <w:t>Bangladesh. It underscores the importance of carefully considering the specific context and factors influencing corporate governance practices and their ultimate impact on firm performance. This nuanced understanding is crucial for stakeholders and policymakers seeking to enhance corporate governance frameworks and promote sustainable business performance in the region.</w:t>
      </w:r>
    </w:p>
    <w:p w14:paraId="1AF0D312" w14:textId="7E5BFAF9" w:rsidR="009C2443" w:rsidRPr="00EF2A33" w:rsidRDefault="00065C04" w:rsidP="003D243F">
      <w:pPr>
        <w:rPr>
          <w:lang w:val="en-GB"/>
        </w:rPr>
      </w:pPr>
      <w:r w:rsidRPr="00EF2A33">
        <w:rPr>
          <w:lang w:val="en-GB"/>
        </w:rPr>
        <w:t xml:space="preserve">As brought up, the capability of shareholders to influence managerial actions is </w:t>
      </w:r>
      <w:r w:rsidR="003234E0" w:rsidRPr="00EF2A33">
        <w:rPr>
          <w:lang w:val="en-GB"/>
        </w:rPr>
        <w:t>minimal</w:t>
      </w:r>
      <w:r w:rsidRPr="00EF2A33">
        <w:rPr>
          <w:lang w:val="en-GB"/>
        </w:rPr>
        <w:t xml:space="preserve"> if they are not part of the corporate board. Nevertheless, they </w:t>
      </w:r>
      <w:r w:rsidR="003234E0" w:rsidRPr="00EF2A33">
        <w:rPr>
          <w:lang w:val="en-GB"/>
        </w:rPr>
        <w:t>have the exclusive power to form and change the board’s structure using the right</w:t>
      </w:r>
      <w:r w:rsidRPr="00EF2A33">
        <w:rPr>
          <w:lang w:val="en-GB"/>
        </w:rPr>
        <w:t xml:space="preserve"> to vote to elect board members at the annual general meeting. At any moment</w:t>
      </w:r>
      <w:r w:rsidR="003234E0" w:rsidRPr="00EF2A33">
        <w:rPr>
          <w:lang w:val="en-GB"/>
        </w:rPr>
        <w:t>,</w:t>
      </w:r>
      <w:r w:rsidRPr="00EF2A33">
        <w:rPr>
          <w:lang w:val="en-GB"/>
        </w:rPr>
        <w:t xml:space="preserve"> if they perceive the board not governing the firm’s actions towards the shareholder’s interests, the shareholders can convene an extraordinary general meeting to make essential alterations </w:t>
      </w:r>
      <w:r w:rsidR="003234E0" w:rsidRPr="00EF2A33">
        <w:rPr>
          <w:lang w:val="en-GB"/>
        </w:rPr>
        <w:t xml:space="preserve">to </w:t>
      </w:r>
      <w:r w:rsidRPr="00EF2A33">
        <w:rPr>
          <w:lang w:val="en-GB"/>
        </w:rPr>
        <w:t>the firm’s board. Therefore, the role of the board of directors</w:t>
      </w:r>
      <w:r w:rsidR="003234E0" w:rsidRPr="00EF2A33">
        <w:rPr>
          <w:lang w:val="en-GB"/>
        </w:rPr>
        <w:t>,</w:t>
      </w:r>
      <w:r w:rsidRPr="00EF2A33">
        <w:rPr>
          <w:lang w:val="en-GB"/>
        </w:rPr>
        <w:t xml:space="preserve"> which is ultimately formed by the votes of the shareholders, is </w:t>
      </w:r>
      <w:r w:rsidR="003234E0" w:rsidRPr="00EF2A33">
        <w:rPr>
          <w:lang w:val="en-GB"/>
        </w:rPr>
        <w:t>signific</w:t>
      </w:r>
      <w:r w:rsidRPr="00EF2A33">
        <w:rPr>
          <w:lang w:val="en-GB"/>
        </w:rPr>
        <w:t xml:space="preserve">ant </w:t>
      </w:r>
      <w:proofErr w:type="gramStart"/>
      <w:r w:rsidRPr="00EF2A33">
        <w:rPr>
          <w:lang w:val="en-GB"/>
        </w:rPr>
        <w:t>in order to</w:t>
      </w:r>
      <w:proofErr w:type="gramEnd"/>
      <w:r w:rsidRPr="00EF2A33">
        <w:rPr>
          <w:lang w:val="en-GB"/>
        </w:rPr>
        <w:t xml:space="preserve"> accomplish better performance and to guide managerial actions towards the interests of the owners. </w:t>
      </w:r>
      <w:r w:rsidR="00C86886" w:rsidRPr="00EF2A33">
        <w:rPr>
          <w:lang w:val="en-GB"/>
        </w:rPr>
        <w:t>We also seek to concentrate on the problem of appointing independent directors. Regulators like BSEC and Bangladesh Bank must guarantee the designated independent directors' genuine independence. Despite the difficult circumstances in Bangladesh, strong implementation of regulations and adequate monitoring may assist. Instead of just copying other nations' corporate governance structures, Bangladesh's corporate culture and business climate should be changed according to its own corporate climate.</w:t>
      </w:r>
      <w:r w:rsidR="009C2443" w:rsidRPr="00EF2A33">
        <w:rPr>
          <w:lang w:val="en-GB"/>
        </w:rPr>
        <w:t xml:space="preserve"> Although independent directors should be strong and resolute, they should be independent of thought as well as prepared to question the CEO and other directors constructively — notions that may not be entirely expressed in </w:t>
      </w:r>
      <w:r w:rsidR="00376E4F" w:rsidRPr="00EF2A33">
        <w:rPr>
          <w:lang w:val="en-GB"/>
        </w:rPr>
        <w:t>black-and-white</w:t>
      </w:r>
      <w:r w:rsidR="009C2443" w:rsidRPr="00EF2A33">
        <w:rPr>
          <w:lang w:val="en-GB"/>
        </w:rPr>
        <w:t xml:space="preserve"> regulations.  At the same time, directors should avoid becoming divisive or pursuing their own interests. Collaboration and collegiality are also necessary for a healthy and functional board of directors. Individual independent directors should be strong and steady, free of political or ideological bias, and prepared to confront the CEO and other directors in a constructive manner — ideas that may not be completely reflected in </w:t>
      </w:r>
      <w:r w:rsidR="00CC0E06" w:rsidRPr="00EF2A33">
        <w:rPr>
          <w:lang w:val="en-GB"/>
        </w:rPr>
        <w:t>black-and-white</w:t>
      </w:r>
      <w:r w:rsidR="009C2443" w:rsidRPr="00EF2A33">
        <w:rPr>
          <w:lang w:val="en-GB"/>
        </w:rPr>
        <w:t xml:space="preserve"> laws and regulations. At the same time, directors should avoid becoming divisive or pursuing their own interests</w:t>
      </w:r>
      <w:r w:rsidR="00654455" w:rsidRPr="00EF2A33">
        <w:rPr>
          <w:lang w:val="en-GB"/>
        </w:rPr>
        <w:t xml:space="preserve"> as c</w:t>
      </w:r>
      <w:r w:rsidR="009C2443" w:rsidRPr="00EF2A33">
        <w:rPr>
          <w:lang w:val="en-GB"/>
        </w:rPr>
        <w:t>ollaboration and collegiality are necessary for a healthy and functional board of directors</w:t>
      </w:r>
      <w:r w:rsidR="00654455" w:rsidRPr="00EF2A33">
        <w:rPr>
          <w:lang w:val="en-GB"/>
        </w:rPr>
        <w:t>.</w:t>
      </w:r>
    </w:p>
    <w:p w14:paraId="7F2DBA09" w14:textId="0063A5BF" w:rsidR="005B7957" w:rsidRPr="00EF2A33" w:rsidRDefault="005B7957" w:rsidP="005B7957">
      <w:pPr>
        <w:rPr>
          <w:lang w:val="en-GB"/>
        </w:rPr>
      </w:pPr>
      <w:bookmarkStart w:id="14" w:name="References"/>
      <w:bookmarkStart w:id="15" w:name="_Toc60915890"/>
      <w:bookmarkStart w:id="16" w:name="_Hlk53515082"/>
      <w:bookmarkEnd w:id="14"/>
      <w:r w:rsidRPr="00EF2A33">
        <w:rPr>
          <w:lang w:val="en-GB"/>
        </w:rPr>
        <w:t xml:space="preserve">Several limitations warrant consideration when interpreting the study findings. The analysis was based on data spanning only </w:t>
      </w:r>
      <w:r w:rsidR="0097351A" w:rsidRPr="00EF2A33">
        <w:rPr>
          <w:lang w:val="en-GB"/>
        </w:rPr>
        <w:t>seven</w:t>
      </w:r>
      <w:r w:rsidRPr="00EF2A33">
        <w:rPr>
          <w:lang w:val="en-GB"/>
        </w:rPr>
        <w:t xml:space="preserve"> years, and future studies could benefit from a longer timeframe. Data availability constraints for some firms and the lack of consideration for the moderating function of the corporate board on company performance suggest avenues for </w:t>
      </w:r>
      <w:r w:rsidRPr="00EF2A33">
        <w:rPr>
          <w:lang w:val="en-GB"/>
        </w:rPr>
        <w:lastRenderedPageBreak/>
        <w:t>future research. By addressing these limitations, future studies can provide a more comprehensive understanding of the dynamics between ownership structure, board characteristics, and firm performance in Bangladesh.</w:t>
      </w:r>
    </w:p>
    <w:p w14:paraId="23D42C78" w14:textId="77777777" w:rsidR="00AE4CAE" w:rsidRPr="00EF2A33" w:rsidRDefault="00AE4CAE" w:rsidP="00A45C5A">
      <w:pPr>
        <w:rPr>
          <w:lang w:val="en-GB"/>
        </w:rPr>
      </w:pPr>
    </w:p>
    <w:p w14:paraId="6F56E77C" w14:textId="7B42FB99" w:rsidR="003E652E" w:rsidRPr="00EF2A33" w:rsidRDefault="006F755B" w:rsidP="00462D77">
      <w:pPr>
        <w:rPr>
          <w:b/>
          <w:bCs/>
          <w:lang w:val="en-GB"/>
        </w:rPr>
      </w:pPr>
      <w:r w:rsidRPr="00EF2A33">
        <w:rPr>
          <w:b/>
          <w:bCs/>
          <w:lang w:val="en-GB"/>
        </w:rPr>
        <w:t>References</w:t>
      </w:r>
      <w:bookmarkEnd w:id="1"/>
      <w:bookmarkEnd w:id="15"/>
      <w:bookmarkEnd w:id="16"/>
    </w:p>
    <w:p w14:paraId="73FB7E00" w14:textId="77777777" w:rsidR="003E652E" w:rsidRPr="00EF2A33" w:rsidRDefault="003E652E" w:rsidP="009C16B5">
      <w:pPr>
        <w:spacing w:after="0"/>
        <w:ind w:left="720" w:hanging="720"/>
        <w:rPr>
          <w:lang w:val="en-GB"/>
        </w:rPr>
      </w:pPr>
      <w:proofErr w:type="spellStart"/>
      <w:r w:rsidRPr="00EF2A33">
        <w:rPr>
          <w:lang w:val="en-GB"/>
        </w:rPr>
        <w:t>Adeabah</w:t>
      </w:r>
      <w:proofErr w:type="spellEnd"/>
      <w:r w:rsidRPr="00EF2A33">
        <w:rPr>
          <w:lang w:val="en-GB"/>
        </w:rPr>
        <w:t xml:space="preserve">, D., Gyeke-Dako, A. and Andoh, C. (2019). Board gender diversity, corporate governance and bank efficiency in Ghana: a two-stage data envelope analysis (DEA) approach, </w:t>
      </w:r>
      <w:r w:rsidRPr="00EF2A33">
        <w:rPr>
          <w:i/>
          <w:lang w:val="en-GB"/>
        </w:rPr>
        <w:t>Corporate Governance: The International Journal of Business in Society</w:t>
      </w:r>
      <w:r w:rsidRPr="00EF2A33">
        <w:rPr>
          <w:lang w:val="en-GB"/>
        </w:rPr>
        <w:t>, Vol. 19 No. 2, pp. 299-320.</w:t>
      </w:r>
    </w:p>
    <w:p w14:paraId="121DACE1" w14:textId="77777777" w:rsidR="003E652E" w:rsidRPr="00EF2A33" w:rsidRDefault="003E652E" w:rsidP="009C16B5">
      <w:pPr>
        <w:spacing w:after="0"/>
        <w:ind w:left="720" w:hanging="720"/>
      </w:pPr>
      <w:r w:rsidRPr="00EF2A33">
        <w:t>Adıgüzel, H. (2013). Corporate governance, family ownership and earnings management: Emerging market evidence. </w:t>
      </w:r>
      <w:r w:rsidRPr="00EF2A33">
        <w:rPr>
          <w:i/>
          <w:iCs/>
        </w:rPr>
        <w:t>Accounting and Finance Research</w:t>
      </w:r>
      <w:r w:rsidRPr="00EF2A33">
        <w:t>, </w:t>
      </w:r>
      <w:r w:rsidRPr="00EF2A33">
        <w:rPr>
          <w:i/>
          <w:iCs/>
        </w:rPr>
        <w:t>2</w:t>
      </w:r>
      <w:r w:rsidRPr="00EF2A33">
        <w:t>(4), 17-33.</w:t>
      </w:r>
    </w:p>
    <w:p w14:paraId="177DF65A" w14:textId="77777777" w:rsidR="003E652E" w:rsidRPr="00EF2A33" w:rsidRDefault="003E652E" w:rsidP="009C16B5">
      <w:pPr>
        <w:spacing w:after="0"/>
        <w:ind w:left="720" w:hanging="720"/>
        <w:rPr>
          <w:lang w:val="en-GB"/>
        </w:rPr>
      </w:pPr>
      <w:r w:rsidRPr="00EF2A33">
        <w:rPr>
          <w:lang w:val="de-DE"/>
        </w:rPr>
        <w:t xml:space="preserve">Adnan Aziz, M., &amp; Dar, H. A. (2006). </w:t>
      </w:r>
      <w:r w:rsidRPr="00EF2A33">
        <w:rPr>
          <w:lang w:val="en-GB"/>
        </w:rPr>
        <w:t xml:space="preserve">Predicting corporate bankruptcy: where we </w:t>
      </w:r>
      <w:proofErr w:type="gramStart"/>
      <w:r w:rsidRPr="00EF2A33">
        <w:rPr>
          <w:lang w:val="en-GB"/>
        </w:rPr>
        <w:t>stand?.</w:t>
      </w:r>
      <w:proofErr w:type="gramEnd"/>
      <w:r w:rsidRPr="00EF2A33">
        <w:rPr>
          <w:lang w:val="en-GB"/>
        </w:rPr>
        <w:t> </w:t>
      </w:r>
      <w:r w:rsidRPr="00EF2A33">
        <w:rPr>
          <w:i/>
          <w:iCs/>
          <w:lang w:val="en-GB"/>
        </w:rPr>
        <w:t>Corporate Governance: The international journal of business in society</w:t>
      </w:r>
      <w:r w:rsidRPr="00EF2A33">
        <w:rPr>
          <w:lang w:val="en-GB"/>
        </w:rPr>
        <w:t>, </w:t>
      </w:r>
      <w:r w:rsidRPr="00EF2A33">
        <w:rPr>
          <w:i/>
          <w:iCs/>
          <w:lang w:val="en-GB"/>
        </w:rPr>
        <w:t>6</w:t>
      </w:r>
      <w:r w:rsidRPr="00EF2A33">
        <w:rPr>
          <w:lang w:val="en-GB"/>
        </w:rPr>
        <w:t>(1), 18-33.</w:t>
      </w:r>
    </w:p>
    <w:p w14:paraId="5660A087" w14:textId="77777777" w:rsidR="003E652E" w:rsidRPr="00EF2A33" w:rsidRDefault="003E652E" w:rsidP="009C16B5">
      <w:pPr>
        <w:spacing w:after="0"/>
        <w:ind w:left="720" w:hanging="720"/>
        <w:rPr>
          <w:lang w:val="en-GB"/>
        </w:rPr>
      </w:pPr>
      <w:r w:rsidRPr="00EF2A33">
        <w:t>Ahmed, H., &amp; Gábor, A. (2012). An examination of the relationship of governance structure and performance: Evidence from banking companies in Bangladesh. </w:t>
      </w:r>
      <w:r w:rsidRPr="00EF2A33">
        <w:rPr>
          <w:i/>
          <w:iCs/>
        </w:rPr>
        <w:t>Society and Economy</w:t>
      </w:r>
      <w:r w:rsidRPr="00EF2A33">
        <w:t>, </w:t>
      </w:r>
      <w:r w:rsidRPr="00EF2A33">
        <w:rPr>
          <w:i/>
          <w:iCs/>
        </w:rPr>
        <w:t>34</w:t>
      </w:r>
      <w:r w:rsidRPr="00EF2A33">
        <w:t>(4), 643-666.</w:t>
      </w:r>
      <w:r w:rsidRPr="00EF2A33">
        <w:rPr>
          <w:lang w:val="en-GB"/>
        </w:rPr>
        <w:t xml:space="preserve"> </w:t>
      </w:r>
    </w:p>
    <w:p w14:paraId="53FB3FF8" w14:textId="77777777" w:rsidR="003E652E" w:rsidRPr="00EF2A33" w:rsidRDefault="003E652E" w:rsidP="009C16B5">
      <w:pPr>
        <w:spacing w:after="0"/>
        <w:ind w:left="720" w:hanging="720"/>
        <w:rPr>
          <w:lang w:val="en-GB"/>
        </w:rPr>
      </w:pPr>
      <w:r w:rsidRPr="00EF2A33">
        <w:rPr>
          <w:lang w:val="en-GB"/>
        </w:rPr>
        <w:t>Akhter, W., &amp; Hassan, A. (2024). Does corporate social responsibility mediate the relationship between corporate governance and firm performance? Empirical evidence from BRICS countries. </w:t>
      </w:r>
      <w:r w:rsidRPr="00EF2A33">
        <w:rPr>
          <w:i/>
          <w:iCs/>
          <w:lang w:val="en-GB"/>
        </w:rPr>
        <w:t>Corporate Social Responsibility and Environmental Management</w:t>
      </w:r>
      <w:r w:rsidRPr="00EF2A33">
        <w:rPr>
          <w:lang w:val="en-GB"/>
        </w:rPr>
        <w:t>, </w:t>
      </w:r>
      <w:r w:rsidRPr="00EF2A33">
        <w:rPr>
          <w:i/>
          <w:iCs/>
          <w:lang w:val="en-GB"/>
        </w:rPr>
        <w:t>31</w:t>
      </w:r>
      <w:r w:rsidRPr="00EF2A33">
        <w:rPr>
          <w:lang w:val="en-GB"/>
        </w:rPr>
        <w:t>(1), 566-578.</w:t>
      </w:r>
    </w:p>
    <w:p w14:paraId="68D200A2" w14:textId="77777777" w:rsidR="003E652E" w:rsidRPr="00EF2A33" w:rsidRDefault="003E652E" w:rsidP="009C16B5">
      <w:pPr>
        <w:spacing w:after="0"/>
        <w:ind w:left="720" w:hanging="720"/>
        <w:rPr>
          <w:lang w:val="en-GB"/>
        </w:rPr>
      </w:pPr>
      <w:r w:rsidRPr="00EF2A33">
        <w:rPr>
          <w:lang w:val="en-GB"/>
        </w:rPr>
        <w:t>Al-Dubai, S., Ku Ismail, K. N. I., &amp; Amran, N. A. (2014). Family involvement in ownership, management, and firm performance: Moderating and direct-effect models. </w:t>
      </w:r>
      <w:r w:rsidRPr="00EF2A33">
        <w:rPr>
          <w:i/>
          <w:iCs/>
          <w:lang w:val="en-GB"/>
        </w:rPr>
        <w:t>Asian Social Science</w:t>
      </w:r>
      <w:r w:rsidRPr="00EF2A33">
        <w:rPr>
          <w:lang w:val="en-GB"/>
        </w:rPr>
        <w:t>, </w:t>
      </w:r>
      <w:r w:rsidRPr="00EF2A33">
        <w:rPr>
          <w:i/>
          <w:iCs/>
          <w:lang w:val="en-GB"/>
        </w:rPr>
        <w:t>10</w:t>
      </w:r>
      <w:r w:rsidRPr="00EF2A33">
        <w:rPr>
          <w:lang w:val="en-GB"/>
        </w:rPr>
        <w:t>(14).</w:t>
      </w:r>
    </w:p>
    <w:p w14:paraId="5B6F2423" w14:textId="77777777" w:rsidR="003E652E" w:rsidRPr="00EF2A33" w:rsidRDefault="003E652E" w:rsidP="009C16B5">
      <w:pPr>
        <w:spacing w:after="0"/>
        <w:ind w:left="720" w:hanging="720"/>
        <w:rPr>
          <w:lang w:val="en-GB"/>
        </w:rPr>
      </w:pPr>
      <w:r w:rsidRPr="00EF2A33">
        <w:rPr>
          <w:lang w:val="en-GB"/>
        </w:rPr>
        <w:t>Ali, M., Ng, Y. L., &amp; Kulik, C. T. (2014). Board age and gender diversity: A test of competing linear and curvilinear predictions. </w:t>
      </w:r>
      <w:r w:rsidRPr="00EF2A33">
        <w:rPr>
          <w:i/>
          <w:iCs/>
          <w:lang w:val="en-GB"/>
        </w:rPr>
        <w:t>Journal of business ethics</w:t>
      </w:r>
      <w:r w:rsidRPr="00EF2A33">
        <w:rPr>
          <w:lang w:val="en-GB"/>
        </w:rPr>
        <w:t>, </w:t>
      </w:r>
      <w:r w:rsidRPr="00EF2A33">
        <w:rPr>
          <w:i/>
          <w:iCs/>
          <w:lang w:val="en-GB"/>
        </w:rPr>
        <w:t>125</w:t>
      </w:r>
      <w:r w:rsidRPr="00EF2A33">
        <w:rPr>
          <w:lang w:val="en-GB"/>
        </w:rPr>
        <w:t>, 497-512.</w:t>
      </w:r>
    </w:p>
    <w:p w14:paraId="51CA3206" w14:textId="77777777" w:rsidR="003E652E" w:rsidRPr="00EF2A33" w:rsidRDefault="003E652E" w:rsidP="009C16B5">
      <w:pPr>
        <w:spacing w:after="0"/>
        <w:ind w:left="720" w:hanging="720"/>
        <w:rPr>
          <w:lang w:val="en-GB"/>
        </w:rPr>
      </w:pPr>
      <w:bookmarkStart w:id="17" w:name="_bookmark9"/>
      <w:bookmarkStart w:id="18" w:name="_bookmark10"/>
      <w:bookmarkEnd w:id="17"/>
      <w:bookmarkEnd w:id="18"/>
      <w:proofErr w:type="spellStart"/>
      <w:r w:rsidRPr="00EF2A33">
        <w:rPr>
          <w:lang w:val="en-GB"/>
        </w:rPr>
        <w:t>Alnabsha</w:t>
      </w:r>
      <w:proofErr w:type="spellEnd"/>
      <w:r w:rsidRPr="00EF2A33">
        <w:rPr>
          <w:lang w:val="en-GB"/>
        </w:rPr>
        <w:t xml:space="preserve">, A., Abdou, H. A., Ntim, C. G., &amp; </w:t>
      </w:r>
      <w:proofErr w:type="spellStart"/>
      <w:r w:rsidRPr="00EF2A33">
        <w:rPr>
          <w:lang w:val="en-GB"/>
        </w:rPr>
        <w:t>Elamer</w:t>
      </w:r>
      <w:proofErr w:type="spellEnd"/>
      <w:r w:rsidRPr="00EF2A33">
        <w:rPr>
          <w:lang w:val="en-GB"/>
        </w:rPr>
        <w:t xml:space="preserve">, A. A. (2018). Corporate boards, ownership structures and corporate disclosures: Evidence from a developing country. </w:t>
      </w:r>
      <w:r w:rsidRPr="00EF2A33">
        <w:rPr>
          <w:i/>
          <w:iCs/>
          <w:lang w:val="en-GB"/>
        </w:rPr>
        <w:t>Journal of Applied Accounting Research</w:t>
      </w:r>
      <w:r w:rsidRPr="00EF2A33">
        <w:rPr>
          <w:lang w:val="en-GB"/>
        </w:rPr>
        <w:t xml:space="preserve">, </w:t>
      </w:r>
      <w:r w:rsidRPr="00EF2A33">
        <w:rPr>
          <w:i/>
          <w:iCs/>
          <w:lang w:val="en-GB"/>
        </w:rPr>
        <w:t>19</w:t>
      </w:r>
      <w:r w:rsidRPr="00EF2A33">
        <w:rPr>
          <w:lang w:val="en-GB"/>
        </w:rPr>
        <w:t>(1), 20–41.</w:t>
      </w:r>
    </w:p>
    <w:p w14:paraId="54EDEBD1" w14:textId="77777777" w:rsidR="003E652E" w:rsidRPr="00EF2A33" w:rsidRDefault="003E652E" w:rsidP="009C16B5">
      <w:pPr>
        <w:spacing w:after="0"/>
        <w:ind w:left="720" w:hanging="720"/>
        <w:rPr>
          <w:lang w:val="en-GB"/>
        </w:rPr>
      </w:pPr>
      <w:r w:rsidRPr="00EF2A33">
        <w:rPr>
          <w:lang w:val="en-GB"/>
        </w:rPr>
        <w:t xml:space="preserve">Amrah, M. R., Hashim, H. A., &amp; Ariff, A. M. (2015). The moderating effect of family control on the relationship between board of </w:t>
      </w:r>
      <w:proofErr w:type="gramStart"/>
      <w:r w:rsidRPr="00EF2A33">
        <w:rPr>
          <w:lang w:val="en-GB"/>
        </w:rPr>
        <w:t>directors</w:t>
      </w:r>
      <w:proofErr w:type="gramEnd"/>
      <w:r w:rsidRPr="00EF2A33">
        <w:rPr>
          <w:lang w:val="en-GB"/>
        </w:rPr>
        <w:t xml:space="preserve"> effectiveness and cost of debt: </w:t>
      </w:r>
      <w:r w:rsidRPr="00EF2A33">
        <w:rPr>
          <w:lang w:val="en-GB"/>
        </w:rPr>
        <w:lastRenderedPageBreak/>
        <w:t>Evidence from Oman. </w:t>
      </w:r>
      <w:r w:rsidRPr="00EF2A33">
        <w:rPr>
          <w:i/>
          <w:iCs/>
          <w:lang w:val="en-GB"/>
        </w:rPr>
        <w:t>International Journal of Economics, Management and Accounting</w:t>
      </w:r>
      <w:r w:rsidRPr="00EF2A33">
        <w:rPr>
          <w:lang w:val="en-GB"/>
        </w:rPr>
        <w:t>, </w:t>
      </w:r>
      <w:r w:rsidRPr="00EF2A33">
        <w:rPr>
          <w:i/>
          <w:iCs/>
          <w:lang w:val="en-GB"/>
        </w:rPr>
        <w:t>23</w:t>
      </w:r>
      <w:r w:rsidRPr="00EF2A33">
        <w:rPr>
          <w:lang w:val="en-GB"/>
        </w:rPr>
        <w:t>(2), 217-239.</w:t>
      </w:r>
    </w:p>
    <w:p w14:paraId="467C9062" w14:textId="77777777" w:rsidR="003E652E" w:rsidRPr="00EF2A33" w:rsidRDefault="003E652E" w:rsidP="009C16B5">
      <w:pPr>
        <w:spacing w:after="0"/>
        <w:ind w:left="720" w:hanging="720"/>
        <w:rPr>
          <w:lang w:val="en-GB"/>
        </w:rPr>
      </w:pPr>
      <w:r w:rsidRPr="00EF2A33">
        <w:rPr>
          <w:lang w:val="en-GB"/>
        </w:rPr>
        <w:t xml:space="preserve">Andreou, P. C., </w:t>
      </w:r>
      <w:proofErr w:type="spellStart"/>
      <w:r w:rsidRPr="00EF2A33">
        <w:rPr>
          <w:lang w:val="en-GB"/>
        </w:rPr>
        <w:t>Fiordelisi</w:t>
      </w:r>
      <w:proofErr w:type="spellEnd"/>
      <w:r w:rsidRPr="00EF2A33">
        <w:rPr>
          <w:lang w:val="en-GB"/>
        </w:rPr>
        <w:t>, F., Harris, T., &amp; Philip, D. (2022). Institutional ownership and firms’ thrust to compete. </w:t>
      </w:r>
      <w:r w:rsidRPr="00EF2A33">
        <w:rPr>
          <w:i/>
          <w:iCs/>
          <w:lang w:val="en-GB"/>
        </w:rPr>
        <w:t>British Journal of Management</w:t>
      </w:r>
      <w:r w:rsidRPr="00EF2A33">
        <w:rPr>
          <w:lang w:val="en-GB"/>
        </w:rPr>
        <w:t>, </w:t>
      </w:r>
      <w:r w:rsidRPr="00EF2A33">
        <w:rPr>
          <w:i/>
          <w:iCs/>
          <w:lang w:val="en-GB"/>
        </w:rPr>
        <w:t>33</w:t>
      </w:r>
      <w:r w:rsidRPr="00EF2A33">
        <w:rPr>
          <w:lang w:val="en-GB"/>
        </w:rPr>
        <w:t>(3), 1346-1370.</w:t>
      </w:r>
    </w:p>
    <w:p w14:paraId="4AED3A90" w14:textId="77777777" w:rsidR="003E652E" w:rsidRPr="00EF2A33" w:rsidRDefault="003E652E" w:rsidP="009C16B5">
      <w:pPr>
        <w:spacing w:after="0"/>
        <w:ind w:left="720" w:hanging="720"/>
        <w:rPr>
          <w:u w:val="single"/>
          <w:lang w:val="en-GB"/>
        </w:rPr>
      </w:pPr>
      <w:r w:rsidRPr="00EF2A33">
        <w:rPr>
          <w:lang w:val="en-GB"/>
        </w:rPr>
        <w:t xml:space="preserve">Asian Development Bank. (2020, October). </w:t>
      </w:r>
      <w:r w:rsidRPr="00EF2A33">
        <w:rPr>
          <w:i/>
          <w:iCs/>
          <w:lang w:val="en-GB"/>
        </w:rPr>
        <w:t>Asian Development Bank and Bangladesh: Fact Sheet</w:t>
      </w:r>
      <w:r w:rsidRPr="00EF2A33">
        <w:rPr>
          <w:lang w:val="en-GB"/>
        </w:rPr>
        <w:t xml:space="preserve">. </w:t>
      </w:r>
      <w:hyperlink r:id="rId8" w:history="1">
        <w:r w:rsidRPr="00EF2A33">
          <w:rPr>
            <w:rStyle w:val="Hyperlink"/>
            <w:color w:val="auto"/>
            <w:lang w:val="en-GB"/>
          </w:rPr>
          <w:t>https://www.adb.org/publications/bangladesh-fact-sheet</w:t>
        </w:r>
      </w:hyperlink>
    </w:p>
    <w:p w14:paraId="53758D63" w14:textId="77777777" w:rsidR="003E652E" w:rsidRPr="00EF2A33" w:rsidRDefault="003E652E" w:rsidP="009C16B5">
      <w:pPr>
        <w:spacing w:after="0"/>
        <w:ind w:left="720" w:hanging="720"/>
        <w:rPr>
          <w:lang w:val="en-GB"/>
        </w:rPr>
      </w:pPr>
      <w:proofErr w:type="spellStart"/>
      <w:r w:rsidRPr="00EF2A33">
        <w:rPr>
          <w:lang w:val="en-GB"/>
        </w:rPr>
        <w:t>Baboukardos</w:t>
      </w:r>
      <w:proofErr w:type="spellEnd"/>
      <w:r w:rsidRPr="00EF2A33">
        <w:rPr>
          <w:lang w:val="en-GB"/>
        </w:rPr>
        <w:t>, D., Mangena, M., &amp; Ishola, A. (2021). Integrated thinking and sustainability reporting assurance: International evidence. </w:t>
      </w:r>
      <w:r w:rsidRPr="00EF2A33">
        <w:rPr>
          <w:i/>
          <w:iCs/>
          <w:lang w:val="en-GB"/>
        </w:rPr>
        <w:t>Business Strategy and the Environment</w:t>
      </w:r>
      <w:r w:rsidRPr="00EF2A33">
        <w:rPr>
          <w:lang w:val="en-GB"/>
        </w:rPr>
        <w:t>, </w:t>
      </w:r>
      <w:r w:rsidRPr="00EF2A33">
        <w:rPr>
          <w:i/>
          <w:iCs/>
          <w:lang w:val="en-GB"/>
        </w:rPr>
        <w:t>30</w:t>
      </w:r>
      <w:r w:rsidRPr="00EF2A33">
        <w:rPr>
          <w:lang w:val="en-GB"/>
        </w:rPr>
        <w:t>(4), 1580-1597.</w:t>
      </w:r>
    </w:p>
    <w:p w14:paraId="5FBDF670" w14:textId="77777777" w:rsidR="003E652E" w:rsidRPr="00EF2A33" w:rsidRDefault="003E652E" w:rsidP="009C16B5">
      <w:pPr>
        <w:spacing w:after="0"/>
        <w:ind w:left="720" w:hanging="720"/>
        <w:rPr>
          <w:lang w:val="en-GB"/>
        </w:rPr>
      </w:pPr>
      <w:r w:rsidRPr="00EF2A33">
        <w:rPr>
          <w:lang w:val="en-GB"/>
        </w:rPr>
        <w:t>Bachiller, P., Giorgino, M. C., &amp; Paternostro, S. (2015). Influence of board of directors on firm performance: Analysis of family and non-family firms. </w:t>
      </w:r>
      <w:r w:rsidRPr="00EF2A33">
        <w:rPr>
          <w:i/>
          <w:iCs/>
          <w:lang w:val="en-GB"/>
        </w:rPr>
        <w:t>International Journal of Disclosure and Governance</w:t>
      </w:r>
      <w:r w:rsidRPr="00EF2A33">
        <w:rPr>
          <w:lang w:val="en-GB"/>
        </w:rPr>
        <w:t>, </w:t>
      </w:r>
      <w:r w:rsidRPr="00EF2A33">
        <w:rPr>
          <w:i/>
          <w:iCs/>
          <w:lang w:val="en-GB"/>
        </w:rPr>
        <w:t>12</w:t>
      </w:r>
      <w:r w:rsidRPr="00EF2A33">
        <w:rPr>
          <w:lang w:val="en-GB"/>
        </w:rPr>
        <w:t>, 230-253.</w:t>
      </w:r>
    </w:p>
    <w:p w14:paraId="5491B4B7" w14:textId="77777777" w:rsidR="003E652E" w:rsidRPr="00EF2A33" w:rsidRDefault="003E652E" w:rsidP="009C16B5">
      <w:pPr>
        <w:spacing w:after="0"/>
        <w:ind w:left="720" w:hanging="720"/>
        <w:rPr>
          <w:lang w:val="en-GB"/>
        </w:rPr>
      </w:pPr>
      <w:r w:rsidRPr="00EF2A33">
        <w:rPr>
          <w:lang w:val="en-GB"/>
        </w:rPr>
        <w:t xml:space="preserve">Bantel, K. A., &amp; Jackson, S. E. (1989). Top management and innovations in banking: Does the composition of the top team make a </w:t>
      </w:r>
      <w:proofErr w:type="gramStart"/>
      <w:r w:rsidRPr="00EF2A33">
        <w:rPr>
          <w:lang w:val="en-GB"/>
        </w:rPr>
        <w:t>difference?.</w:t>
      </w:r>
      <w:proofErr w:type="gramEnd"/>
      <w:r w:rsidRPr="00EF2A33">
        <w:rPr>
          <w:lang w:val="en-GB"/>
        </w:rPr>
        <w:t> </w:t>
      </w:r>
      <w:r w:rsidRPr="00EF2A33">
        <w:rPr>
          <w:i/>
          <w:iCs/>
          <w:lang w:val="en-GB"/>
        </w:rPr>
        <w:t>Strategic management journal</w:t>
      </w:r>
      <w:r w:rsidRPr="00EF2A33">
        <w:rPr>
          <w:lang w:val="en-GB"/>
        </w:rPr>
        <w:t>, </w:t>
      </w:r>
      <w:r w:rsidRPr="00EF2A33">
        <w:rPr>
          <w:i/>
          <w:iCs/>
          <w:lang w:val="en-GB"/>
        </w:rPr>
        <w:t>10</w:t>
      </w:r>
      <w:r w:rsidRPr="00EF2A33">
        <w:rPr>
          <w:lang w:val="en-GB"/>
        </w:rPr>
        <w:t>(S1), 107-124.</w:t>
      </w:r>
    </w:p>
    <w:p w14:paraId="74CEBC86" w14:textId="77777777" w:rsidR="003E652E" w:rsidRPr="00EF2A33" w:rsidRDefault="003E652E" w:rsidP="009C16B5">
      <w:pPr>
        <w:spacing w:after="0"/>
        <w:ind w:left="720" w:hanging="720"/>
        <w:rPr>
          <w:lang w:val="en-GB"/>
        </w:rPr>
      </w:pPr>
      <w:r w:rsidRPr="00EF2A33">
        <w:t xml:space="preserve">Bartholomeusz, S., &amp; </w:t>
      </w:r>
      <w:proofErr w:type="spellStart"/>
      <w:r w:rsidRPr="00EF2A33">
        <w:t>Tanewski</w:t>
      </w:r>
      <w:proofErr w:type="spellEnd"/>
      <w:r w:rsidRPr="00EF2A33">
        <w:t>, G. A. (2006). The relationship between family firms and corporate governance. </w:t>
      </w:r>
      <w:r w:rsidRPr="00EF2A33">
        <w:rPr>
          <w:i/>
          <w:iCs/>
        </w:rPr>
        <w:t>Journal of small business management</w:t>
      </w:r>
      <w:r w:rsidRPr="00EF2A33">
        <w:t>, </w:t>
      </w:r>
      <w:r w:rsidRPr="00EF2A33">
        <w:rPr>
          <w:i/>
          <w:iCs/>
        </w:rPr>
        <w:t>44</w:t>
      </w:r>
      <w:r w:rsidRPr="00EF2A33">
        <w:t>(2), 245-267.</w:t>
      </w:r>
    </w:p>
    <w:p w14:paraId="3A235E09" w14:textId="77777777" w:rsidR="003E652E" w:rsidRPr="00EF2A33" w:rsidRDefault="003E652E" w:rsidP="009C16B5">
      <w:pPr>
        <w:spacing w:after="0"/>
        <w:ind w:left="720" w:hanging="720"/>
        <w:rPr>
          <w:lang w:val="en-GB"/>
        </w:rPr>
      </w:pPr>
      <w:r w:rsidRPr="00EF2A33">
        <w:rPr>
          <w:lang w:val="de-DE"/>
        </w:rPr>
        <w:t xml:space="preserve">Benjamin, S. J., &amp; Biswas, P. K. (2022). </w:t>
      </w:r>
      <w:r w:rsidRPr="00EF2A33">
        <w:rPr>
          <w:lang w:val="en-GB"/>
        </w:rPr>
        <w:t xml:space="preserve">Does winning a CSR Award increase firm </w:t>
      </w:r>
      <w:proofErr w:type="gramStart"/>
      <w:r w:rsidRPr="00EF2A33">
        <w:rPr>
          <w:lang w:val="en-GB"/>
        </w:rPr>
        <w:t>value?.</w:t>
      </w:r>
      <w:proofErr w:type="gramEnd"/>
      <w:r w:rsidRPr="00EF2A33">
        <w:rPr>
          <w:lang w:val="en-GB"/>
        </w:rPr>
        <w:t> </w:t>
      </w:r>
      <w:r w:rsidRPr="00EF2A33">
        <w:rPr>
          <w:i/>
          <w:iCs/>
          <w:lang w:val="en-GB"/>
        </w:rPr>
        <w:t>International Journal of Disclosure and Governance</w:t>
      </w:r>
      <w:r w:rsidRPr="00EF2A33">
        <w:rPr>
          <w:lang w:val="en-GB"/>
        </w:rPr>
        <w:t>, </w:t>
      </w:r>
      <w:r w:rsidRPr="00EF2A33">
        <w:rPr>
          <w:i/>
          <w:iCs/>
          <w:lang w:val="en-GB"/>
        </w:rPr>
        <w:t>19</w:t>
      </w:r>
      <w:r w:rsidRPr="00EF2A33">
        <w:rPr>
          <w:lang w:val="en-GB"/>
        </w:rPr>
        <w:t>(3), 313-329.</w:t>
      </w:r>
    </w:p>
    <w:p w14:paraId="79DB54C2" w14:textId="77777777" w:rsidR="003E652E" w:rsidRPr="00EF2A33" w:rsidRDefault="003E652E" w:rsidP="009C16B5">
      <w:pPr>
        <w:spacing w:after="0"/>
        <w:ind w:left="720" w:hanging="720"/>
        <w:rPr>
          <w:lang w:val="en-GB"/>
        </w:rPr>
      </w:pPr>
      <w:proofErr w:type="spellStart"/>
      <w:r w:rsidRPr="00EF2A33">
        <w:rPr>
          <w:lang w:val="en-GB"/>
        </w:rPr>
        <w:t>Bentivogli</w:t>
      </w:r>
      <w:proofErr w:type="spellEnd"/>
      <w:r w:rsidRPr="00EF2A33">
        <w:rPr>
          <w:lang w:val="en-GB"/>
        </w:rPr>
        <w:t xml:space="preserve">, C. and Mirenda, L. (2017). Foreign ownership and performance: evidence from Italian firms, </w:t>
      </w:r>
      <w:r w:rsidRPr="00EF2A33">
        <w:rPr>
          <w:i/>
          <w:lang w:val="en-GB"/>
        </w:rPr>
        <w:t>International Journal of the Economics of Business</w:t>
      </w:r>
      <w:r w:rsidRPr="00EF2A33">
        <w:rPr>
          <w:lang w:val="en-GB"/>
        </w:rPr>
        <w:t xml:space="preserve">, </w:t>
      </w:r>
      <w:r w:rsidRPr="00EF2A33">
        <w:rPr>
          <w:i/>
          <w:lang w:val="en-GB"/>
        </w:rPr>
        <w:t>24</w:t>
      </w:r>
      <w:r w:rsidRPr="00EF2A33">
        <w:rPr>
          <w:lang w:val="en-GB"/>
        </w:rPr>
        <w:t>(3), 251-273.</w:t>
      </w:r>
    </w:p>
    <w:p w14:paraId="6E4FA058" w14:textId="77777777" w:rsidR="003E652E" w:rsidRPr="00EF2A33" w:rsidRDefault="003E652E" w:rsidP="009C16B5">
      <w:pPr>
        <w:spacing w:after="0"/>
        <w:ind w:left="720" w:hanging="720"/>
        <w:rPr>
          <w:lang w:val="en-GB"/>
        </w:rPr>
      </w:pPr>
      <w:bookmarkStart w:id="19" w:name="_bookmark11"/>
      <w:bookmarkStart w:id="20" w:name="_bookmark12"/>
      <w:bookmarkStart w:id="21" w:name="_bookmark13"/>
      <w:bookmarkStart w:id="22" w:name="_bookmark14"/>
      <w:bookmarkStart w:id="23" w:name="_bookmark15"/>
      <w:bookmarkEnd w:id="19"/>
      <w:bookmarkEnd w:id="20"/>
      <w:bookmarkEnd w:id="21"/>
      <w:bookmarkEnd w:id="22"/>
      <w:bookmarkEnd w:id="23"/>
      <w:r w:rsidRPr="00EF2A33">
        <w:rPr>
          <w:lang w:val="en-GB"/>
        </w:rPr>
        <w:t xml:space="preserve">Bhagat, S. and Bolton, B. (2013). Director ownership, governance, and performance, </w:t>
      </w:r>
      <w:r w:rsidRPr="00EF2A33">
        <w:rPr>
          <w:i/>
          <w:lang w:val="en-GB"/>
        </w:rPr>
        <w:t>Journal of Financial and Quantitative Analysis</w:t>
      </w:r>
      <w:r w:rsidRPr="00EF2A33">
        <w:rPr>
          <w:lang w:val="en-GB"/>
        </w:rPr>
        <w:t xml:space="preserve">, </w:t>
      </w:r>
      <w:r w:rsidRPr="00EF2A33">
        <w:rPr>
          <w:i/>
          <w:lang w:val="en-GB"/>
        </w:rPr>
        <w:t>48(</w:t>
      </w:r>
      <w:r w:rsidRPr="00EF2A33">
        <w:rPr>
          <w:lang w:val="en-GB"/>
        </w:rPr>
        <w:t>1), 105-135.</w:t>
      </w:r>
    </w:p>
    <w:p w14:paraId="7FC73232" w14:textId="77777777" w:rsidR="003E652E" w:rsidRPr="00EF2A33" w:rsidRDefault="003E652E" w:rsidP="009C16B5">
      <w:pPr>
        <w:spacing w:after="0"/>
        <w:ind w:left="720" w:hanging="720"/>
        <w:rPr>
          <w:lang w:val="en-GB"/>
        </w:rPr>
      </w:pPr>
      <w:r w:rsidRPr="00EF2A33">
        <w:rPr>
          <w:lang w:val="en-GB"/>
        </w:rPr>
        <w:t>Bhatt, P. R. (2016). Performance of government linked companies and private owned companies in Malaysia. </w:t>
      </w:r>
      <w:r w:rsidRPr="00EF2A33">
        <w:rPr>
          <w:i/>
          <w:iCs/>
          <w:lang w:val="en-GB"/>
        </w:rPr>
        <w:t>International Journal of Law and Management</w:t>
      </w:r>
      <w:r w:rsidRPr="00EF2A33">
        <w:rPr>
          <w:lang w:val="en-GB"/>
        </w:rPr>
        <w:t>, </w:t>
      </w:r>
      <w:r w:rsidRPr="00EF2A33">
        <w:rPr>
          <w:i/>
          <w:iCs/>
          <w:lang w:val="en-GB"/>
        </w:rPr>
        <w:t>58</w:t>
      </w:r>
      <w:r w:rsidRPr="00EF2A33">
        <w:rPr>
          <w:lang w:val="en-GB"/>
        </w:rPr>
        <w:t>(2), 150-161.</w:t>
      </w:r>
    </w:p>
    <w:p w14:paraId="17DDAD77" w14:textId="77777777" w:rsidR="003E652E" w:rsidRPr="00EF2A33" w:rsidRDefault="003E652E" w:rsidP="009C16B5">
      <w:pPr>
        <w:spacing w:after="0"/>
        <w:ind w:left="720" w:hanging="720"/>
        <w:rPr>
          <w:lang w:val="en-GB"/>
        </w:rPr>
      </w:pPr>
      <w:r w:rsidRPr="00EF2A33">
        <w:rPr>
          <w:lang w:val="en-GB"/>
        </w:rPr>
        <w:t>Biswas, P. K. (2015). Corporate governance reforms in emerging countries: A case study of Bangladesh. </w:t>
      </w:r>
      <w:r w:rsidRPr="00EF2A33">
        <w:rPr>
          <w:i/>
          <w:iCs/>
          <w:lang w:val="en-GB"/>
        </w:rPr>
        <w:t>International Journal of Disclosure and Governance</w:t>
      </w:r>
      <w:r w:rsidRPr="00EF2A33">
        <w:rPr>
          <w:lang w:val="en-GB"/>
        </w:rPr>
        <w:t>, </w:t>
      </w:r>
      <w:r w:rsidRPr="00EF2A33">
        <w:rPr>
          <w:i/>
          <w:iCs/>
          <w:lang w:val="en-GB"/>
        </w:rPr>
        <w:t>12</w:t>
      </w:r>
      <w:r w:rsidRPr="00EF2A33">
        <w:rPr>
          <w:lang w:val="en-GB"/>
        </w:rPr>
        <w:t>, 1-28.</w:t>
      </w:r>
    </w:p>
    <w:p w14:paraId="2E54671A" w14:textId="77777777" w:rsidR="003E652E" w:rsidRPr="00EF2A33" w:rsidRDefault="003E652E" w:rsidP="009C16B5">
      <w:pPr>
        <w:spacing w:after="0"/>
        <w:ind w:left="720" w:hanging="720"/>
        <w:rPr>
          <w:lang w:val="en-GB"/>
        </w:rPr>
      </w:pPr>
      <w:bookmarkStart w:id="24" w:name="_bookmark16"/>
      <w:bookmarkStart w:id="25" w:name="_bookmark17"/>
      <w:bookmarkStart w:id="26" w:name="_bookmark18"/>
      <w:bookmarkEnd w:id="24"/>
      <w:bookmarkEnd w:id="25"/>
      <w:bookmarkEnd w:id="26"/>
      <w:r w:rsidRPr="00EF2A33">
        <w:rPr>
          <w:lang w:val="en-GB"/>
        </w:rPr>
        <w:t xml:space="preserve">Black, B.S., Kim, W., Jang, H. and Park, K.S. (2015). How corporate governance affect firm value? Evidence on a self-dealing channel from a natural experiment in Korea, </w:t>
      </w:r>
      <w:r w:rsidRPr="00EF2A33">
        <w:rPr>
          <w:i/>
          <w:lang w:val="en-GB"/>
        </w:rPr>
        <w:t>Journal of Banking &amp; Finance</w:t>
      </w:r>
      <w:r w:rsidRPr="00EF2A33">
        <w:rPr>
          <w:lang w:val="en-GB"/>
        </w:rPr>
        <w:t xml:space="preserve">, </w:t>
      </w:r>
      <w:r w:rsidRPr="00EF2A33">
        <w:rPr>
          <w:i/>
          <w:lang w:val="en-GB"/>
        </w:rPr>
        <w:t>51</w:t>
      </w:r>
      <w:r w:rsidRPr="00EF2A33">
        <w:rPr>
          <w:lang w:val="en-GB"/>
        </w:rPr>
        <w:t>, 131-150.</w:t>
      </w:r>
    </w:p>
    <w:p w14:paraId="7704251C" w14:textId="77777777" w:rsidR="003E652E" w:rsidRPr="00EF2A33" w:rsidRDefault="003E652E" w:rsidP="009C16B5">
      <w:pPr>
        <w:spacing w:after="0"/>
        <w:ind w:left="720" w:hanging="720"/>
        <w:rPr>
          <w:lang w:val="en-GB"/>
        </w:rPr>
      </w:pPr>
      <w:proofErr w:type="spellStart"/>
      <w:r w:rsidRPr="00EF2A33">
        <w:rPr>
          <w:lang w:val="en-GB"/>
        </w:rPr>
        <w:t>Boshnak</w:t>
      </w:r>
      <w:proofErr w:type="spellEnd"/>
      <w:r w:rsidRPr="00EF2A33">
        <w:rPr>
          <w:lang w:val="en-GB"/>
        </w:rPr>
        <w:t>, H. A. (2023). Ownership concentration, managerial ownership, and firm performance in Saudi listed firms. </w:t>
      </w:r>
      <w:r w:rsidRPr="00EF2A33">
        <w:rPr>
          <w:i/>
          <w:iCs/>
          <w:lang w:val="en-GB"/>
        </w:rPr>
        <w:t>International Journal of Disclosure and Governance</w:t>
      </w:r>
      <w:r w:rsidRPr="00EF2A33">
        <w:rPr>
          <w:lang w:val="en-GB"/>
        </w:rPr>
        <w:t>, 1-14.</w:t>
      </w:r>
    </w:p>
    <w:p w14:paraId="7510AD1D" w14:textId="77777777" w:rsidR="003E652E" w:rsidRPr="00EF2A33" w:rsidRDefault="003E652E" w:rsidP="009C16B5">
      <w:pPr>
        <w:spacing w:after="0"/>
        <w:ind w:left="720" w:hanging="720"/>
        <w:rPr>
          <w:lang w:val="en-GB"/>
        </w:rPr>
      </w:pPr>
      <w:bookmarkStart w:id="27" w:name="_bookmark19"/>
      <w:bookmarkStart w:id="28" w:name="_bookmark20"/>
      <w:bookmarkEnd w:id="27"/>
      <w:bookmarkEnd w:id="28"/>
      <w:r w:rsidRPr="00EF2A33">
        <w:rPr>
          <w:lang w:val="en-GB"/>
        </w:rPr>
        <w:lastRenderedPageBreak/>
        <w:t xml:space="preserve">Brennan, N. (2006), “Boards of directors and firm performance: is there an expectations gap?”, </w:t>
      </w:r>
      <w:r w:rsidRPr="00EF2A33">
        <w:rPr>
          <w:i/>
          <w:lang w:val="en-GB"/>
        </w:rPr>
        <w:t>Corporate Governance: An International Review</w:t>
      </w:r>
      <w:r w:rsidRPr="00EF2A33">
        <w:rPr>
          <w:lang w:val="en-GB"/>
        </w:rPr>
        <w:t>, 14(6), 577-593.</w:t>
      </w:r>
    </w:p>
    <w:p w14:paraId="1BCE1AD0" w14:textId="77777777" w:rsidR="003E652E" w:rsidRPr="00EF2A33" w:rsidRDefault="003E652E" w:rsidP="009C16B5">
      <w:pPr>
        <w:spacing w:after="0"/>
        <w:ind w:left="720" w:hanging="720"/>
        <w:rPr>
          <w:lang w:val="en-GB"/>
        </w:rPr>
      </w:pPr>
      <w:r w:rsidRPr="00EF2A33">
        <w:rPr>
          <w:lang w:val="de-DE"/>
        </w:rPr>
        <w:t xml:space="preserve">Brickley, J. A., &amp; Zimmerman, J. L. (2010). </w:t>
      </w:r>
      <w:r w:rsidRPr="00EF2A33">
        <w:t>Corporate governance myths: comments on Armstrong, Guay, and Weber. </w:t>
      </w:r>
      <w:r w:rsidRPr="00EF2A33">
        <w:rPr>
          <w:i/>
          <w:iCs/>
        </w:rPr>
        <w:t>Journal of Accounting and Economics</w:t>
      </w:r>
      <w:r w:rsidRPr="00EF2A33">
        <w:t>, </w:t>
      </w:r>
      <w:r w:rsidRPr="00EF2A33">
        <w:rPr>
          <w:i/>
          <w:iCs/>
        </w:rPr>
        <w:t>50</w:t>
      </w:r>
      <w:r w:rsidRPr="00EF2A33">
        <w:t>(2-3), 235-245.</w:t>
      </w:r>
    </w:p>
    <w:p w14:paraId="4CE758FB" w14:textId="55576B5B" w:rsidR="003E652E" w:rsidRPr="00EF2A33" w:rsidRDefault="003E652E" w:rsidP="009C16B5">
      <w:pPr>
        <w:spacing w:after="0"/>
        <w:ind w:left="720" w:hanging="720"/>
        <w:rPr>
          <w:lang w:val="en-GB"/>
        </w:rPr>
      </w:pPr>
      <w:r w:rsidRPr="00EF2A33">
        <w:rPr>
          <w:lang w:val="en-GB"/>
        </w:rPr>
        <w:t xml:space="preserve">BSEC (2018). Corporate governance code, available at: </w:t>
      </w:r>
      <w:hyperlink r:id="rId9">
        <w:r w:rsidRPr="00EF2A33">
          <w:rPr>
            <w:rStyle w:val="Hyperlink"/>
            <w:color w:val="auto"/>
            <w:lang w:val="en-GB"/>
          </w:rPr>
          <w:t>www.sec.gov.bd/slaws/Corporate_</w:t>
        </w:r>
      </w:hyperlink>
      <w:r w:rsidRPr="00EF2A33">
        <w:rPr>
          <w:lang w:val="en-GB"/>
        </w:rPr>
        <w:t xml:space="preserve"> </w:t>
      </w:r>
      <w:hyperlink r:id="rId10">
        <w:r w:rsidRPr="00EF2A33">
          <w:rPr>
            <w:rStyle w:val="Hyperlink"/>
            <w:color w:val="auto"/>
            <w:lang w:val="en-GB"/>
          </w:rPr>
          <w:t xml:space="preserve">Governance_Code_10.06.2018.pdf </w:t>
        </w:r>
      </w:hyperlink>
      <w:r w:rsidRPr="00EF2A33">
        <w:rPr>
          <w:lang w:val="en-GB"/>
        </w:rPr>
        <w:t xml:space="preserve">(accessed </w:t>
      </w:r>
      <w:r w:rsidR="004322AB" w:rsidRPr="00EF2A33">
        <w:rPr>
          <w:lang w:val="en-GB"/>
        </w:rPr>
        <w:t>May</w:t>
      </w:r>
      <w:r w:rsidRPr="00EF2A33">
        <w:rPr>
          <w:lang w:val="en-GB"/>
        </w:rPr>
        <w:t xml:space="preserve"> 2</w:t>
      </w:r>
      <w:r w:rsidR="004322AB" w:rsidRPr="00EF2A33">
        <w:rPr>
          <w:lang w:val="en-GB"/>
        </w:rPr>
        <w:t>4,</w:t>
      </w:r>
      <w:r w:rsidRPr="00EF2A33">
        <w:rPr>
          <w:lang w:val="en-GB"/>
        </w:rPr>
        <w:t xml:space="preserve"> 202</w:t>
      </w:r>
      <w:r w:rsidR="004322AB" w:rsidRPr="00EF2A33">
        <w:rPr>
          <w:lang w:val="en-GB"/>
        </w:rPr>
        <w:t>4</w:t>
      </w:r>
      <w:r w:rsidRPr="00EF2A33">
        <w:rPr>
          <w:lang w:val="en-GB"/>
        </w:rPr>
        <w:t>).</w:t>
      </w:r>
    </w:p>
    <w:p w14:paraId="624D7098" w14:textId="77777777" w:rsidR="003E652E" w:rsidRPr="00EF2A33" w:rsidRDefault="003E652E" w:rsidP="009C16B5">
      <w:pPr>
        <w:spacing w:after="0"/>
        <w:ind w:left="720" w:hanging="720"/>
        <w:rPr>
          <w:lang w:val="en-GB"/>
        </w:rPr>
      </w:pPr>
      <w:proofErr w:type="spellStart"/>
      <w:r w:rsidRPr="00EF2A33">
        <w:rPr>
          <w:lang w:val="en-GB"/>
        </w:rPr>
        <w:t>Buchdadi</w:t>
      </w:r>
      <w:proofErr w:type="spellEnd"/>
      <w:r w:rsidRPr="00EF2A33">
        <w:rPr>
          <w:lang w:val="en-GB"/>
        </w:rPr>
        <w:t xml:space="preserve">, A. D., </w:t>
      </w:r>
      <w:proofErr w:type="spellStart"/>
      <w:r w:rsidRPr="00EF2A33">
        <w:rPr>
          <w:lang w:val="en-GB"/>
        </w:rPr>
        <w:t>Ulupui</w:t>
      </w:r>
      <w:proofErr w:type="spellEnd"/>
      <w:r w:rsidRPr="00EF2A33">
        <w:rPr>
          <w:lang w:val="en-GB"/>
        </w:rPr>
        <w:t xml:space="preserve">, I. G. K. A., Dalimunthe, S., </w:t>
      </w:r>
      <w:proofErr w:type="spellStart"/>
      <w:r w:rsidRPr="00EF2A33">
        <w:rPr>
          <w:lang w:val="en-GB"/>
        </w:rPr>
        <w:t>Pamungkas</w:t>
      </w:r>
      <w:proofErr w:type="spellEnd"/>
      <w:r w:rsidRPr="00EF2A33">
        <w:rPr>
          <w:lang w:val="en-GB"/>
        </w:rPr>
        <w:t xml:space="preserve">, B. G., &amp; </w:t>
      </w:r>
      <w:proofErr w:type="spellStart"/>
      <w:r w:rsidRPr="00EF2A33">
        <w:rPr>
          <w:lang w:val="en-GB"/>
        </w:rPr>
        <w:t>Fauziyyah</w:t>
      </w:r>
      <w:proofErr w:type="spellEnd"/>
      <w:r w:rsidRPr="00EF2A33">
        <w:rPr>
          <w:lang w:val="en-GB"/>
        </w:rPr>
        <w:t>, Y. (2019). Board of director meeting and firm performance. </w:t>
      </w:r>
      <w:r w:rsidRPr="00EF2A33">
        <w:rPr>
          <w:i/>
          <w:iCs/>
          <w:lang w:val="en-GB"/>
        </w:rPr>
        <w:t>Academy of Accounting and Financial Studies Journal</w:t>
      </w:r>
      <w:r w:rsidRPr="00EF2A33">
        <w:rPr>
          <w:lang w:val="en-GB"/>
        </w:rPr>
        <w:t>, </w:t>
      </w:r>
      <w:r w:rsidRPr="00EF2A33">
        <w:rPr>
          <w:i/>
          <w:iCs/>
          <w:lang w:val="en-GB"/>
        </w:rPr>
        <w:t>23</w:t>
      </w:r>
      <w:r w:rsidRPr="00EF2A33">
        <w:rPr>
          <w:lang w:val="en-GB"/>
        </w:rPr>
        <w:t>(2), 1-7.</w:t>
      </w:r>
    </w:p>
    <w:p w14:paraId="4FE56823" w14:textId="77777777" w:rsidR="003E652E" w:rsidRPr="00EF2A33" w:rsidRDefault="003E652E" w:rsidP="009C16B5">
      <w:pPr>
        <w:spacing w:after="0"/>
        <w:ind w:left="720" w:hanging="720"/>
        <w:rPr>
          <w:lang w:val="en-GB"/>
        </w:rPr>
      </w:pPr>
      <w:bookmarkStart w:id="29" w:name="_bookmark21"/>
      <w:bookmarkEnd w:id="29"/>
      <w:r w:rsidRPr="00EF2A33">
        <w:rPr>
          <w:lang w:val="en-GB"/>
        </w:rPr>
        <w:t xml:space="preserve">Carter, D. A., Simkins, B. J., &amp; Simpson, W. G. (2003). Corporate governance, board diversity, and firm value. </w:t>
      </w:r>
      <w:r w:rsidRPr="00EF2A33">
        <w:rPr>
          <w:i/>
          <w:lang w:val="en-GB"/>
        </w:rPr>
        <w:t>Financial Review, 38</w:t>
      </w:r>
      <w:r w:rsidRPr="00EF2A33">
        <w:rPr>
          <w:lang w:val="en-GB"/>
        </w:rPr>
        <w:t>, 33–53.</w:t>
      </w:r>
    </w:p>
    <w:p w14:paraId="2ED8D64A" w14:textId="77777777" w:rsidR="003E652E" w:rsidRPr="00EF2A33" w:rsidRDefault="003E652E" w:rsidP="009C16B5">
      <w:pPr>
        <w:spacing w:after="0"/>
        <w:ind w:left="720" w:hanging="720"/>
        <w:rPr>
          <w:lang w:val="en-GB"/>
        </w:rPr>
      </w:pPr>
      <w:bookmarkStart w:id="30" w:name="_bookmark22"/>
      <w:bookmarkEnd w:id="30"/>
      <w:r w:rsidRPr="00EF2A33">
        <w:rPr>
          <w:lang w:val="en-GB"/>
        </w:rPr>
        <w:t xml:space="preserve">Chen, Y., Chiou, J., Chou, T. and </w:t>
      </w:r>
      <w:proofErr w:type="spellStart"/>
      <w:r w:rsidRPr="00EF2A33">
        <w:rPr>
          <w:lang w:val="en-GB"/>
        </w:rPr>
        <w:t>Syue</w:t>
      </w:r>
      <w:proofErr w:type="spellEnd"/>
      <w:r w:rsidRPr="00EF2A33">
        <w:rPr>
          <w:lang w:val="en-GB"/>
        </w:rPr>
        <w:t xml:space="preserve">, M. (2009). Corporate governance and long-run performance of equity issues: the role of foreign ownership in Taiwan, </w:t>
      </w:r>
      <w:r w:rsidRPr="00EF2A33">
        <w:rPr>
          <w:i/>
          <w:lang w:val="en-GB"/>
        </w:rPr>
        <w:t>Asia Pacific Management Review</w:t>
      </w:r>
      <w:r w:rsidRPr="00EF2A33">
        <w:rPr>
          <w:lang w:val="en-GB"/>
        </w:rPr>
        <w:t xml:space="preserve">, </w:t>
      </w:r>
      <w:r w:rsidRPr="00EF2A33">
        <w:rPr>
          <w:i/>
          <w:lang w:val="en-GB"/>
        </w:rPr>
        <w:t>14</w:t>
      </w:r>
      <w:r w:rsidRPr="00EF2A33">
        <w:rPr>
          <w:lang w:val="en-GB"/>
        </w:rPr>
        <w:t>(1), 27-46.</w:t>
      </w:r>
      <w:bookmarkStart w:id="31" w:name="_bookmark25"/>
      <w:bookmarkEnd w:id="31"/>
    </w:p>
    <w:p w14:paraId="4FA1AAFA" w14:textId="77777777" w:rsidR="003E652E" w:rsidRPr="00EF2A33" w:rsidRDefault="003E652E" w:rsidP="009C16B5">
      <w:pPr>
        <w:spacing w:after="0"/>
        <w:ind w:left="720" w:hanging="720"/>
        <w:rPr>
          <w:lang w:val="en-GB"/>
        </w:rPr>
      </w:pPr>
      <w:r w:rsidRPr="00EF2A33">
        <w:rPr>
          <w:lang w:val="en-GB"/>
        </w:rPr>
        <w:t>Cheng, L. T., Chan, R. Y., &amp; Leung, T. Y. (2010). Management demography and corporate performance: Evidence from China. </w:t>
      </w:r>
      <w:r w:rsidRPr="00EF2A33">
        <w:rPr>
          <w:i/>
          <w:iCs/>
          <w:lang w:val="en-GB"/>
        </w:rPr>
        <w:t>International Business Review</w:t>
      </w:r>
      <w:r w:rsidRPr="00EF2A33">
        <w:rPr>
          <w:lang w:val="en-GB"/>
        </w:rPr>
        <w:t>, </w:t>
      </w:r>
      <w:r w:rsidRPr="00EF2A33">
        <w:rPr>
          <w:i/>
          <w:iCs/>
          <w:lang w:val="en-GB"/>
        </w:rPr>
        <w:t>19</w:t>
      </w:r>
      <w:r w:rsidRPr="00EF2A33">
        <w:rPr>
          <w:lang w:val="en-GB"/>
        </w:rPr>
        <w:t>(3), 261-275.</w:t>
      </w:r>
    </w:p>
    <w:p w14:paraId="08290759" w14:textId="77777777" w:rsidR="003E652E" w:rsidRPr="00EF2A33" w:rsidRDefault="003E652E" w:rsidP="009C16B5">
      <w:pPr>
        <w:spacing w:after="0"/>
        <w:ind w:left="720" w:hanging="720"/>
        <w:rPr>
          <w:lang w:val="en-GB"/>
        </w:rPr>
      </w:pPr>
      <w:bookmarkStart w:id="32" w:name="_Hlk53515103"/>
      <w:r w:rsidRPr="00EF2A33">
        <w:rPr>
          <w:lang w:val="en-GB"/>
        </w:rPr>
        <w:t xml:space="preserve">Cho, D. S., &amp; Kim, J. (2003). Determinants in introduction of outside directors in Korean companies. </w:t>
      </w:r>
      <w:r w:rsidRPr="00EF2A33">
        <w:rPr>
          <w:i/>
          <w:iCs/>
          <w:lang w:val="en-GB"/>
        </w:rPr>
        <w:t>Journal of International and Area Studies</w:t>
      </w:r>
      <w:r w:rsidRPr="00EF2A33">
        <w:rPr>
          <w:lang w:val="en-GB"/>
        </w:rPr>
        <w:t xml:space="preserve">, </w:t>
      </w:r>
      <w:r w:rsidRPr="00EF2A33">
        <w:rPr>
          <w:i/>
          <w:iCs/>
          <w:lang w:val="en-GB"/>
        </w:rPr>
        <w:t>10</w:t>
      </w:r>
      <w:r w:rsidRPr="00EF2A33">
        <w:rPr>
          <w:lang w:val="en-GB"/>
        </w:rPr>
        <w:t>(1), 1-20.</w:t>
      </w:r>
    </w:p>
    <w:p w14:paraId="290BA299" w14:textId="77777777" w:rsidR="003E652E" w:rsidRPr="00EF2A33" w:rsidRDefault="003E652E" w:rsidP="009C16B5">
      <w:pPr>
        <w:spacing w:after="0"/>
        <w:ind w:left="720" w:hanging="720"/>
        <w:rPr>
          <w:lang w:val="en-GB"/>
        </w:rPr>
      </w:pPr>
      <w:r w:rsidRPr="00EF2A33">
        <w:rPr>
          <w:lang w:val="en-GB"/>
        </w:rPr>
        <w:t xml:space="preserve">Choi, J.J., Park, S.W. and Yoo, S.S. (2007). The value of outside directors: evidence from corporate governance reform in Korea, </w:t>
      </w:r>
      <w:r w:rsidRPr="00EF2A33">
        <w:rPr>
          <w:i/>
          <w:lang w:val="en-GB"/>
        </w:rPr>
        <w:t>Journal of Financial and Quantitative Analysis</w:t>
      </w:r>
      <w:r w:rsidRPr="00EF2A33">
        <w:rPr>
          <w:lang w:val="en-GB"/>
        </w:rPr>
        <w:t xml:space="preserve">, </w:t>
      </w:r>
      <w:r w:rsidRPr="00EF2A33">
        <w:rPr>
          <w:i/>
          <w:lang w:val="en-GB"/>
        </w:rPr>
        <w:t>42</w:t>
      </w:r>
      <w:r w:rsidRPr="00EF2A33">
        <w:rPr>
          <w:lang w:val="en-GB"/>
        </w:rPr>
        <w:t>(4), 941-962</w:t>
      </w:r>
    </w:p>
    <w:p w14:paraId="3E698313" w14:textId="77777777" w:rsidR="003E652E" w:rsidRPr="00EF2A33" w:rsidRDefault="003E652E" w:rsidP="009C16B5">
      <w:pPr>
        <w:spacing w:after="0"/>
        <w:ind w:left="720" w:hanging="720"/>
        <w:rPr>
          <w:lang w:val="en-GB"/>
        </w:rPr>
      </w:pPr>
      <w:r w:rsidRPr="00EF2A33">
        <w:rPr>
          <w:lang w:val="en-GB"/>
        </w:rPr>
        <w:t xml:space="preserve">Christensen, J., Kent, P., and Stewart, J. (2010). Corporate governance and company performance in Australia, </w:t>
      </w:r>
      <w:r w:rsidRPr="00EF2A33">
        <w:rPr>
          <w:i/>
          <w:iCs/>
          <w:lang w:val="en-GB"/>
        </w:rPr>
        <w:t>Australian Accounting Review</w:t>
      </w:r>
      <w:r w:rsidRPr="00EF2A33">
        <w:rPr>
          <w:lang w:val="en-GB"/>
        </w:rPr>
        <w:t xml:space="preserve">, </w:t>
      </w:r>
      <w:r w:rsidRPr="00EF2A33">
        <w:rPr>
          <w:i/>
          <w:lang w:val="en-GB"/>
        </w:rPr>
        <w:t>20</w:t>
      </w:r>
      <w:r w:rsidRPr="00EF2A33">
        <w:rPr>
          <w:lang w:val="en-GB"/>
        </w:rPr>
        <w:t>(4), 372-386.</w:t>
      </w:r>
    </w:p>
    <w:p w14:paraId="70D65248" w14:textId="77777777" w:rsidR="003E652E" w:rsidRPr="00EF2A33" w:rsidRDefault="003E652E" w:rsidP="009C16B5">
      <w:pPr>
        <w:spacing w:after="0"/>
        <w:ind w:left="720" w:hanging="720"/>
        <w:rPr>
          <w:lang w:val="en-GB"/>
        </w:rPr>
      </w:pPr>
      <w:r w:rsidRPr="00EF2A33">
        <w:rPr>
          <w:lang w:val="en-GB"/>
        </w:rPr>
        <w:t xml:space="preserve">Claessens, S., </w:t>
      </w:r>
      <w:proofErr w:type="spellStart"/>
      <w:r w:rsidRPr="00EF2A33">
        <w:rPr>
          <w:lang w:val="en-GB"/>
        </w:rPr>
        <w:t>Djankov</w:t>
      </w:r>
      <w:proofErr w:type="spellEnd"/>
      <w:r w:rsidRPr="00EF2A33">
        <w:rPr>
          <w:lang w:val="en-GB"/>
        </w:rPr>
        <w:t xml:space="preserve">, S. and Lang, L.H. (2000), “The separation of ownership and control in East Asian corporations”, </w:t>
      </w:r>
      <w:r w:rsidRPr="00EF2A33">
        <w:rPr>
          <w:i/>
          <w:lang w:val="en-GB"/>
        </w:rPr>
        <w:t>Journal of Financial Economics</w:t>
      </w:r>
      <w:r w:rsidRPr="00EF2A33">
        <w:rPr>
          <w:lang w:val="en-GB"/>
        </w:rPr>
        <w:t xml:space="preserve">, </w:t>
      </w:r>
      <w:r w:rsidRPr="00EF2A33">
        <w:rPr>
          <w:i/>
          <w:lang w:val="en-GB"/>
        </w:rPr>
        <w:t>58</w:t>
      </w:r>
      <w:r w:rsidRPr="00EF2A33">
        <w:rPr>
          <w:lang w:val="en-GB"/>
        </w:rPr>
        <w:t>, 81-112.</w:t>
      </w:r>
    </w:p>
    <w:p w14:paraId="691F80F3" w14:textId="77777777" w:rsidR="003E652E" w:rsidRPr="00EF2A33" w:rsidRDefault="003E652E" w:rsidP="009C16B5">
      <w:pPr>
        <w:spacing w:after="0"/>
        <w:ind w:left="720" w:hanging="720"/>
        <w:rPr>
          <w:lang w:val="en-GB"/>
        </w:rPr>
      </w:pPr>
      <w:bookmarkStart w:id="33" w:name="_bookmark26"/>
      <w:bookmarkEnd w:id="33"/>
      <w:r w:rsidRPr="00EF2A33">
        <w:rPr>
          <w:lang w:val="en-GB"/>
        </w:rPr>
        <w:t xml:space="preserve">Coles, J.L., Daniel, N.D. and Naveen, L. (2008). Boards: does one size fit </w:t>
      </w:r>
      <w:proofErr w:type="gramStart"/>
      <w:r w:rsidRPr="00EF2A33">
        <w:rPr>
          <w:lang w:val="en-GB"/>
        </w:rPr>
        <w:t>all?,</w:t>
      </w:r>
      <w:proofErr w:type="gramEnd"/>
      <w:r w:rsidRPr="00EF2A33">
        <w:rPr>
          <w:lang w:val="en-GB"/>
        </w:rPr>
        <w:t xml:space="preserve"> </w:t>
      </w:r>
      <w:r w:rsidRPr="00EF2A33">
        <w:rPr>
          <w:i/>
          <w:lang w:val="en-GB"/>
        </w:rPr>
        <w:t>Journal of Financial Economics</w:t>
      </w:r>
      <w:r w:rsidRPr="00EF2A33">
        <w:rPr>
          <w:lang w:val="en-GB"/>
        </w:rPr>
        <w:t xml:space="preserve">, </w:t>
      </w:r>
      <w:r w:rsidRPr="00EF2A33">
        <w:rPr>
          <w:i/>
          <w:lang w:val="en-GB"/>
        </w:rPr>
        <w:t>87</w:t>
      </w:r>
      <w:r w:rsidRPr="00EF2A33">
        <w:rPr>
          <w:lang w:val="en-GB"/>
        </w:rPr>
        <w:t>(2), 329-356.</w:t>
      </w:r>
    </w:p>
    <w:p w14:paraId="78A2E096" w14:textId="77777777" w:rsidR="003E652E" w:rsidRPr="00EF2A33" w:rsidRDefault="003E652E" w:rsidP="009C16B5">
      <w:pPr>
        <w:spacing w:after="0"/>
        <w:ind w:left="720" w:hanging="720"/>
        <w:rPr>
          <w:lang w:val="en-GB"/>
        </w:rPr>
      </w:pPr>
      <w:proofErr w:type="spellStart"/>
      <w:r w:rsidRPr="00EF2A33">
        <w:rPr>
          <w:lang w:val="en-GB"/>
        </w:rPr>
        <w:t>Colpan</w:t>
      </w:r>
      <w:proofErr w:type="spellEnd"/>
      <w:r w:rsidRPr="00EF2A33">
        <w:rPr>
          <w:lang w:val="en-GB"/>
        </w:rPr>
        <w:t xml:space="preserve">, A.M. and Yoshikawa, T. (2012). Performance sensitivity of executive pay: the role of foreign investors and affiliated directors in Japan, </w:t>
      </w:r>
      <w:r w:rsidRPr="00EF2A33">
        <w:rPr>
          <w:i/>
          <w:lang w:val="en-GB"/>
        </w:rPr>
        <w:t>Corporate Governance: An International Review</w:t>
      </w:r>
      <w:r w:rsidRPr="00EF2A33">
        <w:rPr>
          <w:lang w:val="en-GB"/>
        </w:rPr>
        <w:t xml:space="preserve">, </w:t>
      </w:r>
      <w:r w:rsidRPr="00EF2A33">
        <w:rPr>
          <w:i/>
          <w:lang w:val="en-GB"/>
        </w:rPr>
        <w:t>20</w:t>
      </w:r>
      <w:r w:rsidRPr="00EF2A33">
        <w:rPr>
          <w:lang w:val="en-GB"/>
        </w:rPr>
        <w:t>(6), 547-561.</w:t>
      </w:r>
    </w:p>
    <w:p w14:paraId="1B8ED36E" w14:textId="77777777" w:rsidR="003E652E" w:rsidRPr="00EF2A33" w:rsidRDefault="003E652E" w:rsidP="009C16B5">
      <w:pPr>
        <w:spacing w:after="0"/>
        <w:ind w:left="720" w:hanging="720"/>
        <w:rPr>
          <w:lang w:val="en-GB"/>
        </w:rPr>
      </w:pPr>
      <w:r w:rsidRPr="00EF2A33">
        <w:rPr>
          <w:lang w:val="de-DE"/>
        </w:rPr>
        <w:t xml:space="preserve">Da Silveira, A. D. M., &amp; Dias, A. L. (2010). </w:t>
      </w:r>
      <w:r w:rsidRPr="00EF2A33">
        <w:rPr>
          <w:lang w:val="en-GB"/>
        </w:rPr>
        <w:t xml:space="preserve">What is the impact of bad governance practices in a concentrated ownership </w:t>
      </w:r>
      <w:proofErr w:type="gramStart"/>
      <w:r w:rsidRPr="00EF2A33">
        <w:rPr>
          <w:lang w:val="en-GB"/>
        </w:rPr>
        <w:t>environment?.</w:t>
      </w:r>
      <w:proofErr w:type="gramEnd"/>
      <w:r w:rsidRPr="00EF2A33">
        <w:rPr>
          <w:lang w:val="en-GB"/>
        </w:rPr>
        <w:t> </w:t>
      </w:r>
      <w:r w:rsidRPr="00EF2A33">
        <w:rPr>
          <w:i/>
          <w:iCs/>
          <w:lang w:val="en-GB"/>
        </w:rPr>
        <w:t>International Journal of disclosure and Governance</w:t>
      </w:r>
      <w:r w:rsidRPr="00EF2A33">
        <w:rPr>
          <w:lang w:val="en-GB"/>
        </w:rPr>
        <w:t>, </w:t>
      </w:r>
      <w:r w:rsidRPr="00EF2A33">
        <w:rPr>
          <w:i/>
          <w:iCs/>
          <w:lang w:val="en-GB"/>
        </w:rPr>
        <w:t>7</w:t>
      </w:r>
      <w:r w:rsidRPr="00EF2A33">
        <w:rPr>
          <w:lang w:val="en-GB"/>
        </w:rPr>
        <w:t>, 70-91.</w:t>
      </w:r>
    </w:p>
    <w:p w14:paraId="2FDE8833" w14:textId="77777777" w:rsidR="00FD1CEA" w:rsidRPr="00EF2A33" w:rsidRDefault="00FD1CEA" w:rsidP="009C16B5">
      <w:pPr>
        <w:spacing w:after="0"/>
        <w:ind w:left="720" w:hanging="720"/>
        <w:rPr>
          <w:lang w:val="en-GB"/>
        </w:rPr>
      </w:pPr>
      <w:bookmarkStart w:id="34" w:name="_bookmark27"/>
      <w:bookmarkEnd w:id="34"/>
      <w:r w:rsidRPr="00EF2A33">
        <w:rPr>
          <w:lang w:val="en-GB"/>
        </w:rPr>
        <w:lastRenderedPageBreak/>
        <w:t>Das, S. K., Alam, S., Islam, M. J., Boby, F., &amp; Begum, R. (2023). Does ownership pattern affect firm performance? Empirical evidence from an emerging market. </w:t>
      </w:r>
      <w:r w:rsidRPr="00EF2A33">
        <w:rPr>
          <w:i/>
          <w:iCs/>
          <w:lang w:val="en-GB"/>
        </w:rPr>
        <w:t>International Journal of Disclosure and Governance</w:t>
      </w:r>
      <w:r w:rsidRPr="00EF2A33">
        <w:rPr>
          <w:lang w:val="en-GB"/>
        </w:rPr>
        <w:t>, 1-15.</w:t>
      </w:r>
    </w:p>
    <w:p w14:paraId="5151DCE1" w14:textId="77777777" w:rsidR="003E652E" w:rsidRPr="00EF2A33" w:rsidRDefault="003E652E" w:rsidP="009C16B5">
      <w:pPr>
        <w:spacing w:after="0"/>
        <w:ind w:left="720" w:hanging="720"/>
        <w:rPr>
          <w:lang w:val="en-GB"/>
        </w:rPr>
      </w:pPr>
      <w:proofErr w:type="spellStart"/>
      <w:r w:rsidRPr="00EF2A33">
        <w:rPr>
          <w:lang w:val="en-GB"/>
        </w:rPr>
        <w:t>Demsetz</w:t>
      </w:r>
      <w:proofErr w:type="spellEnd"/>
      <w:r w:rsidRPr="00EF2A33">
        <w:rPr>
          <w:lang w:val="en-GB"/>
        </w:rPr>
        <w:t xml:space="preserve">, H. and Villalonga, B. (2001). Ownership structure and corporate performance, </w:t>
      </w:r>
      <w:r w:rsidRPr="00EF2A33">
        <w:rPr>
          <w:i/>
          <w:lang w:val="en-GB"/>
        </w:rPr>
        <w:t>Journal of Corporate Finance</w:t>
      </w:r>
      <w:r w:rsidRPr="00EF2A33">
        <w:rPr>
          <w:lang w:val="en-GB"/>
        </w:rPr>
        <w:t xml:space="preserve">, </w:t>
      </w:r>
      <w:r w:rsidRPr="00EF2A33">
        <w:rPr>
          <w:i/>
          <w:lang w:val="en-GB"/>
        </w:rPr>
        <w:t>7</w:t>
      </w:r>
      <w:r w:rsidRPr="00EF2A33">
        <w:rPr>
          <w:lang w:val="en-GB"/>
        </w:rPr>
        <w:t>(3), 209-233.</w:t>
      </w:r>
    </w:p>
    <w:p w14:paraId="4C938D3D" w14:textId="77777777" w:rsidR="003E652E" w:rsidRPr="00EF2A33" w:rsidRDefault="003E652E" w:rsidP="009C16B5">
      <w:pPr>
        <w:spacing w:after="0"/>
        <w:ind w:left="720" w:hanging="720"/>
        <w:rPr>
          <w:lang w:val="en-GB"/>
        </w:rPr>
      </w:pPr>
      <w:bookmarkStart w:id="35" w:name="_bookmark28"/>
      <w:bookmarkEnd w:id="35"/>
      <w:r w:rsidRPr="00EF2A33">
        <w:rPr>
          <w:lang w:val="de-DE"/>
        </w:rPr>
        <w:t xml:space="preserve">Demsetz, H., and Lehn, K. (1985). </w:t>
      </w:r>
      <w:r w:rsidRPr="00EF2A33">
        <w:t>The structure of corporate ownership: Causes and consequences</w:t>
      </w:r>
      <w:r w:rsidRPr="00EF2A33">
        <w:rPr>
          <w:lang w:val="en-GB"/>
        </w:rPr>
        <w:t>,</w:t>
      </w:r>
      <w:r w:rsidRPr="00EF2A33">
        <w:t> </w:t>
      </w:r>
      <w:r w:rsidRPr="00EF2A33">
        <w:rPr>
          <w:i/>
          <w:iCs/>
        </w:rPr>
        <w:t>Journal of political economy</w:t>
      </w:r>
      <w:r w:rsidRPr="00EF2A33">
        <w:t>, </w:t>
      </w:r>
      <w:r w:rsidRPr="00EF2A33">
        <w:rPr>
          <w:i/>
          <w:iCs/>
        </w:rPr>
        <w:t>93</w:t>
      </w:r>
      <w:r w:rsidRPr="00EF2A33">
        <w:t>(6), 1155-1177.</w:t>
      </w:r>
    </w:p>
    <w:p w14:paraId="539E2D68" w14:textId="77777777" w:rsidR="003E652E" w:rsidRPr="00EF2A33" w:rsidRDefault="003E652E" w:rsidP="009C16B5">
      <w:pPr>
        <w:spacing w:after="0"/>
        <w:ind w:left="720" w:hanging="720"/>
        <w:rPr>
          <w:lang w:val="en-GB"/>
        </w:rPr>
      </w:pPr>
      <w:proofErr w:type="spellStart"/>
      <w:r w:rsidRPr="00EF2A33">
        <w:t>Desender</w:t>
      </w:r>
      <w:proofErr w:type="spellEnd"/>
      <w:r w:rsidRPr="00EF2A33">
        <w:t>, K. A. (2009). The relationship between the ownership structure and board effectiveness. </w:t>
      </w:r>
      <w:r w:rsidRPr="00EF2A33">
        <w:rPr>
          <w:i/>
          <w:iCs/>
        </w:rPr>
        <w:t>University of Illinois at Urbana-Champaign, College of Business Working Papers</w:t>
      </w:r>
      <w:r w:rsidRPr="00EF2A33">
        <w:t>, 09-0105.</w:t>
      </w:r>
      <w:r w:rsidRPr="00EF2A33">
        <w:rPr>
          <w:lang w:val="en-GB"/>
        </w:rPr>
        <w:t xml:space="preserve"> </w:t>
      </w:r>
    </w:p>
    <w:p w14:paraId="7640DD39" w14:textId="77777777" w:rsidR="003E652E" w:rsidRPr="00EF2A33" w:rsidRDefault="003E652E" w:rsidP="009C16B5">
      <w:pPr>
        <w:spacing w:after="0"/>
        <w:ind w:left="720" w:hanging="720"/>
        <w:rPr>
          <w:lang w:val="en-GB"/>
        </w:rPr>
      </w:pPr>
      <w:bookmarkStart w:id="36" w:name="_bookmark29"/>
      <w:bookmarkStart w:id="37" w:name="_bookmark30"/>
      <w:bookmarkStart w:id="38" w:name="_bookmark32"/>
      <w:bookmarkStart w:id="39" w:name="_bookmark33"/>
      <w:bookmarkEnd w:id="36"/>
      <w:bookmarkEnd w:id="37"/>
      <w:bookmarkEnd w:id="38"/>
      <w:bookmarkEnd w:id="39"/>
      <w:r w:rsidRPr="00EF2A33">
        <w:rPr>
          <w:lang w:val="en-GB"/>
        </w:rPr>
        <w:t xml:space="preserve">Dhaka Stock Exchange (2020). DSE 30 Share </w:t>
      </w:r>
      <w:proofErr w:type="gramStart"/>
      <w:r w:rsidRPr="00EF2A33">
        <w:rPr>
          <w:lang w:val="en-GB"/>
        </w:rPr>
        <w:t>By</w:t>
      </w:r>
      <w:proofErr w:type="gramEnd"/>
      <w:r w:rsidRPr="00EF2A33">
        <w:rPr>
          <w:lang w:val="en-GB"/>
        </w:rPr>
        <w:t xml:space="preserve"> Company Name, available at: </w:t>
      </w:r>
      <w:hyperlink r:id="rId11" w:history="1">
        <w:r w:rsidRPr="00EF2A33">
          <w:rPr>
            <w:rStyle w:val="Hyperlink"/>
            <w:color w:val="auto"/>
            <w:lang w:val="en-GB"/>
          </w:rPr>
          <w:t>https://www.dsebd.org/dse30_share.php</w:t>
        </w:r>
      </w:hyperlink>
      <w:r w:rsidRPr="00EF2A33">
        <w:rPr>
          <w:lang w:val="en-GB"/>
        </w:rPr>
        <w:t xml:space="preserve"> (accessed November 1 2020).</w:t>
      </w:r>
    </w:p>
    <w:p w14:paraId="3173C9DF" w14:textId="09D676CE" w:rsidR="003E652E" w:rsidRPr="00EF2A33" w:rsidRDefault="003E652E" w:rsidP="009C16B5">
      <w:pPr>
        <w:spacing w:after="0"/>
        <w:ind w:left="720" w:hanging="720"/>
        <w:rPr>
          <w:lang w:val="en-GB"/>
        </w:rPr>
      </w:pPr>
      <w:r w:rsidRPr="00EF2A33">
        <w:rPr>
          <w:lang w:val="en-GB"/>
        </w:rPr>
        <w:t xml:space="preserve">Din, S. U., Arshad Khan, M., Khan, M. J., &amp; Khan, M. Y. (2022). Ownership structure and corporate financial performance in an emerging market: a dynamic panel data analysis. International Journal of Emerging Markets, 17(8), 1973–1997. </w:t>
      </w:r>
    </w:p>
    <w:p w14:paraId="421434B9" w14:textId="77777777" w:rsidR="003E652E" w:rsidRPr="00EF2A33" w:rsidRDefault="003E652E" w:rsidP="009C16B5">
      <w:pPr>
        <w:spacing w:after="0"/>
        <w:ind w:left="720" w:hanging="720"/>
        <w:rPr>
          <w:lang w:val="en-GB"/>
        </w:rPr>
      </w:pPr>
      <w:bookmarkStart w:id="40" w:name="_bookmark34"/>
      <w:bookmarkStart w:id="41" w:name="_bookmark35"/>
      <w:bookmarkEnd w:id="40"/>
      <w:bookmarkEnd w:id="41"/>
      <w:r w:rsidRPr="00EF2A33">
        <w:rPr>
          <w:lang w:val="en-GB"/>
        </w:rPr>
        <w:t xml:space="preserve">Douma, S., George, R. and Kabir, R. (2006). Foreign and domestic ownership, business groups, and firm performance: evidence from a large emerging market, </w:t>
      </w:r>
      <w:r w:rsidRPr="00EF2A33">
        <w:rPr>
          <w:i/>
          <w:lang w:val="en-GB"/>
        </w:rPr>
        <w:t>Strategic Management Journal</w:t>
      </w:r>
      <w:r w:rsidRPr="00EF2A33">
        <w:rPr>
          <w:lang w:val="en-GB"/>
        </w:rPr>
        <w:t xml:space="preserve">, </w:t>
      </w:r>
      <w:r w:rsidRPr="00EF2A33">
        <w:rPr>
          <w:i/>
          <w:lang w:val="en-GB"/>
        </w:rPr>
        <w:t>27</w:t>
      </w:r>
      <w:r w:rsidRPr="00EF2A33">
        <w:rPr>
          <w:lang w:val="en-GB"/>
        </w:rPr>
        <w:t>(7), 637-657.</w:t>
      </w:r>
    </w:p>
    <w:p w14:paraId="1C376657" w14:textId="77777777" w:rsidR="003E652E" w:rsidRPr="00EF2A33" w:rsidRDefault="003E652E" w:rsidP="009C16B5">
      <w:pPr>
        <w:spacing w:after="0"/>
        <w:ind w:left="720" w:hanging="720"/>
        <w:rPr>
          <w:i/>
          <w:iCs/>
          <w:lang w:val="en-GB"/>
        </w:rPr>
      </w:pPr>
      <w:bookmarkStart w:id="42" w:name="_bookmark36"/>
      <w:bookmarkStart w:id="43" w:name="_bookmark37"/>
      <w:bookmarkStart w:id="44" w:name="_Hlk88420520"/>
      <w:bookmarkEnd w:id="42"/>
      <w:bookmarkEnd w:id="43"/>
      <w:r w:rsidRPr="00EF2A33">
        <w:rPr>
          <w:lang w:val="de-DE"/>
        </w:rPr>
        <w:t xml:space="preserve">Erena, O. T., Kalko, M. M., &amp; Debele, S. A. (2021). </w:t>
      </w:r>
      <w:bookmarkEnd w:id="44"/>
      <w:r w:rsidRPr="00EF2A33">
        <w:rPr>
          <w:lang w:val="en-GB"/>
        </w:rPr>
        <w:t xml:space="preserve">Corporate governance mechanisms and firm performance: empirical evidence from medium and large-scale manufacturing firms in Ethiopia. </w:t>
      </w:r>
      <w:r w:rsidRPr="00EF2A33">
        <w:rPr>
          <w:i/>
          <w:iCs/>
          <w:lang w:val="en-GB"/>
        </w:rPr>
        <w:t>Corporate Governance: The International Journal of Business in Society</w:t>
      </w:r>
      <w:r w:rsidRPr="00EF2A33">
        <w:rPr>
          <w:lang w:val="en-GB"/>
        </w:rPr>
        <w:t xml:space="preserve">, </w:t>
      </w:r>
      <w:r w:rsidRPr="00EF2A33">
        <w:rPr>
          <w:i/>
          <w:lang w:val="en-GB"/>
        </w:rPr>
        <w:t>22</w:t>
      </w:r>
      <w:r w:rsidRPr="00EF2A33">
        <w:rPr>
          <w:lang w:val="en-GB"/>
        </w:rPr>
        <w:t>(2), 213-242.</w:t>
      </w:r>
    </w:p>
    <w:p w14:paraId="145DD5E0" w14:textId="77777777" w:rsidR="003E652E" w:rsidRPr="00EF2A33" w:rsidRDefault="003E652E" w:rsidP="009C16B5">
      <w:pPr>
        <w:spacing w:after="0"/>
        <w:ind w:left="720" w:hanging="720"/>
        <w:rPr>
          <w:lang w:val="en-GB"/>
        </w:rPr>
      </w:pPr>
      <w:bookmarkStart w:id="45" w:name="_bookmark39"/>
      <w:bookmarkEnd w:id="45"/>
      <w:r w:rsidRPr="00EF2A33">
        <w:rPr>
          <w:lang w:val="en-GB"/>
        </w:rPr>
        <w:t xml:space="preserve">Fama, E. F., &amp; Jensen, M. C. (1983). </w:t>
      </w:r>
      <w:r w:rsidRPr="00EF2A33">
        <w:t>Agency problems and residual claims. </w:t>
      </w:r>
      <w:r w:rsidRPr="00EF2A33">
        <w:rPr>
          <w:i/>
          <w:iCs/>
        </w:rPr>
        <w:t>The journal of law and Economics</w:t>
      </w:r>
      <w:r w:rsidRPr="00EF2A33">
        <w:t>, </w:t>
      </w:r>
      <w:r w:rsidRPr="00EF2A33">
        <w:rPr>
          <w:i/>
          <w:iCs/>
        </w:rPr>
        <w:t>26</w:t>
      </w:r>
      <w:r w:rsidRPr="00EF2A33">
        <w:t>(2), 327-349.</w:t>
      </w:r>
      <w:r w:rsidRPr="00EF2A33">
        <w:rPr>
          <w:lang w:val="en-GB"/>
        </w:rPr>
        <w:t xml:space="preserve"> </w:t>
      </w:r>
    </w:p>
    <w:p w14:paraId="6EE2A3AD" w14:textId="77777777" w:rsidR="003E652E" w:rsidRPr="00EF2A33" w:rsidRDefault="003E652E" w:rsidP="009C16B5">
      <w:pPr>
        <w:spacing w:after="0"/>
        <w:ind w:left="720" w:hanging="720"/>
        <w:rPr>
          <w:lang w:val="en-GB"/>
        </w:rPr>
      </w:pPr>
      <w:bookmarkStart w:id="46" w:name="_bookmark40"/>
      <w:bookmarkEnd w:id="46"/>
      <w:r w:rsidRPr="00EF2A33">
        <w:rPr>
          <w:lang w:val="en-GB"/>
        </w:rPr>
        <w:t xml:space="preserve">Farooque, O. A., Van Zijl, T., Dunstan, K. and Karim, A.W. (2007). Corporate governance in Bangladesh: link between ownership and financial performance, </w:t>
      </w:r>
      <w:r w:rsidRPr="00EF2A33">
        <w:rPr>
          <w:i/>
          <w:lang w:val="en-GB"/>
        </w:rPr>
        <w:t>Corporate Governance: An International Review</w:t>
      </w:r>
      <w:r w:rsidRPr="00EF2A33">
        <w:rPr>
          <w:lang w:val="en-GB"/>
        </w:rPr>
        <w:t>, 15(6), 1453-1468.</w:t>
      </w:r>
    </w:p>
    <w:p w14:paraId="07AE119F" w14:textId="77777777" w:rsidR="003E652E" w:rsidRPr="00EF2A33" w:rsidRDefault="003E652E" w:rsidP="009C16B5">
      <w:pPr>
        <w:spacing w:after="0"/>
        <w:ind w:left="720" w:hanging="720"/>
        <w:rPr>
          <w:lang w:val="en-GB"/>
        </w:rPr>
      </w:pPr>
      <w:bookmarkStart w:id="47" w:name="_bookmark41"/>
      <w:bookmarkStart w:id="48" w:name="_bookmark42"/>
      <w:bookmarkEnd w:id="47"/>
      <w:bookmarkEnd w:id="48"/>
      <w:r w:rsidRPr="00EF2A33">
        <w:rPr>
          <w:lang w:val="en-GB"/>
        </w:rPr>
        <w:t xml:space="preserve">Farrer, J. and Ramsay, I. (1998), “Director share ownership and corporate performance–evidence from Australia”, </w:t>
      </w:r>
      <w:r w:rsidRPr="00EF2A33">
        <w:rPr>
          <w:i/>
          <w:lang w:val="en-GB"/>
        </w:rPr>
        <w:t>Corporate Governance: An International Review</w:t>
      </w:r>
      <w:r w:rsidRPr="00EF2A33">
        <w:rPr>
          <w:lang w:val="en-GB"/>
        </w:rPr>
        <w:t xml:space="preserve">, </w:t>
      </w:r>
      <w:r w:rsidRPr="00EF2A33">
        <w:rPr>
          <w:i/>
          <w:lang w:val="en-GB"/>
        </w:rPr>
        <w:t>6</w:t>
      </w:r>
      <w:r w:rsidRPr="00EF2A33">
        <w:rPr>
          <w:lang w:val="en-GB"/>
        </w:rPr>
        <w:t>(4), 233-248.</w:t>
      </w:r>
    </w:p>
    <w:p w14:paraId="3BE6B849" w14:textId="77777777" w:rsidR="003E652E" w:rsidRPr="00EF2A33" w:rsidRDefault="003E652E" w:rsidP="009C16B5">
      <w:pPr>
        <w:spacing w:after="0"/>
        <w:ind w:left="720" w:hanging="720"/>
        <w:rPr>
          <w:lang w:val="en-GB"/>
        </w:rPr>
      </w:pPr>
      <w:r w:rsidRPr="00EF2A33">
        <w:rPr>
          <w:lang w:val="en-GB"/>
        </w:rPr>
        <w:t>Fernández-Temprano, M. A., &amp; Tejerina-</w:t>
      </w:r>
      <w:proofErr w:type="spellStart"/>
      <w:r w:rsidRPr="00EF2A33">
        <w:rPr>
          <w:lang w:val="en-GB"/>
        </w:rPr>
        <w:t>Gaite</w:t>
      </w:r>
      <w:proofErr w:type="spellEnd"/>
      <w:r w:rsidRPr="00EF2A33">
        <w:rPr>
          <w:lang w:val="en-GB"/>
        </w:rPr>
        <w:t xml:space="preserve">, F. (2020). Types of </w:t>
      </w:r>
      <w:proofErr w:type="gramStart"/>
      <w:r w:rsidRPr="00EF2A33">
        <w:rPr>
          <w:lang w:val="en-GB"/>
        </w:rPr>
        <w:t>director</w:t>
      </w:r>
      <w:proofErr w:type="gramEnd"/>
      <w:r w:rsidRPr="00EF2A33">
        <w:rPr>
          <w:lang w:val="en-GB"/>
        </w:rPr>
        <w:t>, board diversity and firm performance. </w:t>
      </w:r>
      <w:r w:rsidRPr="00EF2A33">
        <w:rPr>
          <w:i/>
          <w:iCs/>
          <w:lang w:val="en-GB"/>
        </w:rPr>
        <w:t>Corporate Governance: The International Journal of Business in Society</w:t>
      </w:r>
      <w:r w:rsidRPr="00EF2A33">
        <w:rPr>
          <w:lang w:val="en-GB"/>
        </w:rPr>
        <w:t>, </w:t>
      </w:r>
      <w:r w:rsidRPr="00EF2A33">
        <w:rPr>
          <w:i/>
          <w:iCs/>
          <w:lang w:val="en-GB"/>
        </w:rPr>
        <w:t>20</w:t>
      </w:r>
      <w:r w:rsidRPr="00EF2A33">
        <w:rPr>
          <w:lang w:val="en-GB"/>
        </w:rPr>
        <w:t>(2), 324-342.</w:t>
      </w:r>
    </w:p>
    <w:p w14:paraId="1D3892DA" w14:textId="77777777" w:rsidR="003E652E" w:rsidRPr="00EF2A33" w:rsidRDefault="003E652E" w:rsidP="009C16B5">
      <w:pPr>
        <w:spacing w:after="0"/>
        <w:ind w:left="720" w:hanging="720"/>
        <w:rPr>
          <w:lang w:val="en-GB"/>
        </w:rPr>
      </w:pPr>
      <w:bookmarkStart w:id="49" w:name="_bookmark43"/>
      <w:bookmarkEnd w:id="49"/>
      <w:r w:rsidRPr="00EF2A33">
        <w:rPr>
          <w:lang w:val="en-GB"/>
        </w:rPr>
        <w:lastRenderedPageBreak/>
        <w:t xml:space="preserve">Finance Acts (2015), available at: </w:t>
      </w:r>
      <w:hyperlink r:id="rId12">
        <w:r w:rsidRPr="00EF2A33">
          <w:rPr>
            <w:rStyle w:val="Hyperlink"/>
            <w:color w:val="auto"/>
            <w:lang w:val="en-GB"/>
          </w:rPr>
          <w:t xml:space="preserve">http://nbr.gov.bd/uploads/acts/24.pdf </w:t>
        </w:r>
      </w:hyperlink>
      <w:r w:rsidRPr="00EF2A33">
        <w:rPr>
          <w:lang w:val="en-GB"/>
        </w:rPr>
        <w:t>(accessed November 1</w:t>
      </w:r>
      <w:proofErr w:type="gramStart"/>
      <w:r w:rsidRPr="00EF2A33">
        <w:rPr>
          <w:lang w:val="en-GB"/>
        </w:rPr>
        <w:t xml:space="preserve"> 2020</w:t>
      </w:r>
      <w:proofErr w:type="gramEnd"/>
      <w:r w:rsidRPr="00EF2A33">
        <w:rPr>
          <w:lang w:val="en-GB"/>
        </w:rPr>
        <w:t>).</w:t>
      </w:r>
    </w:p>
    <w:p w14:paraId="1E666FDE" w14:textId="77777777" w:rsidR="003E652E" w:rsidRPr="00EF2A33" w:rsidRDefault="003E652E" w:rsidP="009C16B5">
      <w:pPr>
        <w:spacing w:after="0"/>
        <w:ind w:left="720" w:hanging="720"/>
        <w:rPr>
          <w:lang w:val="en-GB"/>
        </w:rPr>
      </w:pPr>
      <w:r w:rsidRPr="00EF2A33">
        <w:rPr>
          <w:lang w:val="en-GB"/>
        </w:rPr>
        <w:t xml:space="preserve">Gerged, A. M., Yao, S., &amp; </w:t>
      </w:r>
      <w:proofErr w:type="spellStart"/>
      <w:r w:rsidRPr="00EF2A33">
        <w:rPr>
          <w:lang w:val="en-GB"/>
        </w:rPr>
        <w:t>Albitar</w:t>
      </w:r>
      <w:proofErr w:type="spellEnd"/>
      <w:r w:rsidRPr="00EF2A33">
        <w:rPr>
          <w:lang w:val="en-GB"/>
        </w:rPr>
        <w:t>, K. (2022). Board composition, ownership structure and financial distress: insights from UK FTSE 350. </w:t>
      </w:r>
      <w:r w:rsidRPr="00EF2A33">
        <w:rPr>
          <w:i/>
          <w:iCs/>
          <w:lang w:val="en-GB"/>
        </w:rPr>
        <w:t>Corporate Governance: The International Journal of Business in Society</w:t>
      </w:r>
      <w:r w:rsidRPr="00EF2A33">
        <w:rPr>
          <w:lang w:val="en-GB"/>
        </w:rPr>
        <w:t>, </w:t>
      </w:r>
      <w:r w:rsidRPr="00EF2A33">
        <w:rPr>
          <w:i/>
          <w:iCs/>
          <w:lang w:val="en-GB"/>
        </w:rPr>
        <w:t>23</w:t>
      </w:r>
      <w:r w:rsidRPr="00EF2A33">
        <w:rPr>
          <w:lang w:val="en-GB"/>
        </w:rPr>
        <w:t>(3), 628-649.</w:t>
      </w:r>
    </w:p>
    <w:p w14:paraId="5ADE53BD" w14:textId="77777777" w:rsidR="003E652E" w:rsidRPr="00EF2A33" w:rsidRDefault="003E652E" w:rsidP="009C16B5">
      <w:pPr>
        <w:spacing w:after="0"/>
        <w:ind w:left="720" w:hanging="720"/>
      </w:pPr>
      <w:r w:rsidRPr="00EF2A33">
        <w:t xml:space="preserve">Gottardo, P., &amp; </w:t>
      </w:r>
      <w:proofErr w:type="spellStart"/>
      <w:r w:rsidRPr="00EF2A33">
        <w:t>Moisello</w:t>
      </w:r>
      <w:proofErr w:type="spellEnd"/>
      <w:r w:rsidRPr="00EF2A33">
        <w:t>, A. M. (2017). Family firms, risk-taking and financial distress. Problems and Perspectives in Management, 15(2), 168–177. https://doi.org/10.21511/ppm.15(2- 1).2017.01</w:t>
      </w:r>
    </w:p>
    <w:p w14:paraId="1E3F6D6D" w14:textId="77777777" w:rsidR="003E652E" w:rsidRPr="00EF2A33" w:rsidRDefault="003E652E" w:rsidP="009C16B5">
      <w:pPr>
        <w:spacing w:after="0"/>
        <w:ind w:left="720" w:hanging="720"/>
      </w:pPr>
      <w:r w:rsidRPr="00EF2A33">
        <w:t>Guest, P. M. (2009). The impact of board size on firm performance: evidence from the UK. </w:t>
      </w:r>
      <w:r w:rsidRPr="00EF2A33">
        <w:rPr>
          <w:i/>
          <w:iCs/>
        </w:rPr>
        <w:t>The European Journal of Finance</w:t>
      </w:r>
      <w:r w:rsidRPr="00EF2A33">
        <w:t>, </w:t>
      </w:r>
      <w:r w:rsidRPr="00EF2A33">
        <w:rPr>
          <w:i/>
          <w:iCs/>
        </w:rPr>
        <w:t>15</w:t>
      </w:r>
      <w:r w:rsidRPr="00EF2A33">
        <w:t>(4), 385-404.</w:t>
      </w:r>
    </w:p>
    <w:p w14:paraId="0255BA6E" w14:textId="77777777" w:rsidR="003E652E" w:rsidRPr="00EF2A33" w:rsidRDefault="003E652E" w:rsidP="009C16B5">
      <w:pPr>
        <w:spacing w:after="0"/>
        <w:ind w:left="720" w:hanging="720"/>
        <w:rPr>
          <w:lang w:val="en-GB"/>
        </w:rPr>
      </w:pPr>
      <w:bookmarkStart w:id="50" w:name="_bookmark44"/>
      <w:bookmarkStart w:id="51" w:name="_bookmark45"/>
      <w:bookmarkStart w:id="52" w:name="_bookmark46"/>
      <w:bookmarkEnd w:id="50"/>
      <w:bookmarkEnd w:id="51"/>
      <w:bookmarkEnd w:id="52"/>
      <w:r w:rsidRPr="00EF2A33">
        <w:rPr>
          <w:lang w:val="en-GB"/>
        </w:rPr>
        <w:t xml:space="preserve">Haddad, A. E., </w:t>
      </w:r>
      <w:proofErr w:type="spellStart"/>
      <w:r w:rsidRPr="00EF2A33">
        <w:rPr>
          <w:lang w:val="en-GB"/>
        </w:rPr>
        <w:t>AlShattarat</w:t>
      </w:r>
      <w:proofErr w:type="spellEnd"/>
      <w:r w:rsidRPr="00EF2A33">
        <w:rPr>
          <w:lang w:val="en-GB"/>
        </w:rPr>
        <w:t xml:space="preserve">, W. K., AbuGhazaleh, N. M., &amp; </w:t>
      </w:r>
      <w:proofErr w:type="spellStart"/>
      <w:r w:rsidRPr="00EF2A33">
        <w:rPr>
          <w:lang w:val="en-GB"/>
        </w:rPr>
        <w:t>Nobanee</w:t>
      </w:r>
      <w:proofErr w:type="spellEnd"/>
      <w:r w:rsidRPr="00EF2A33">
        <w:rPr>
          <w:lang w:val="en-GB"/>
        </w:rPr>
        <w:t>, H. (2015). The impact of ownership structure and family board domination on voluntary disclosure for Jordanian listed companies. </w:t>
      </w:r>
      <w:r w:rsidRPr="00EF2A33">
        <w:rPr>
          <w:i/>
          <w:iCs/>
          <w:lang w:val="en-GB"/>
        </w:rPr>
        <w:t>Eurasian Business Review</w:t>
      </w:r>
      <w:r w:rsidRPr="00EF2A33">
        <w:rPr>
          <w:lang w:val="en-GB"/>
        </w:rPr>
        <w:t>, </w:t>
      </w:r>
      <w:r w:rsidRPr="00EF2A33">
        <w:rPr>
          <w:i/>
          <w:iCs/>
          <w:lang w:val="en-GB"/>
        </w:rPr>
        <w:t>5</w:t>
      </w:r>
      <w:r w:rsidRPr="00EF2A33">
        <w:rPr>
          <w:lang w:val="en-GB"/>
        </w:rPr>
        <w:t>, 203-234.</w:t>
      </w:r>
    </w:p>
    <w:p w14:paraId="2DDDBA8B" w14:textId="77777777" w:rsidR="003E652E" w:rsidRPr="00EF2A33" w:rsidRDefault="003E652E" w:rsidP="009C16B5">
      <w:pPr>
        <w:spacing w:after="0"/>
        <w:ind w:left="720" w:hanging="720"/>
        <w:rPr>
          <w:lang w:val="en-GB"/>
        </w:rPr>
      </w:pPr>
      <w:bookmarkStart w:id="53" w:name="_bookmark47"/>
      <w:bookmarkStart w:id="54" w:name="_bookmark48"/>
      <w:bookmarkEnd w:id="53"/>
      <w:bookmarkEnd w:id="54"/>
      <w:r w:rsidRPr="00EF2A33">
        <w:rPr>
          <w:lang w:val="en-GB"/>
        </w:rPr>
        <w:t>Hafsi, T., &amp; Turgut, G. (2013). Boardroom diversity and its effect on social performance: Conceptualization and empirical evidence. </w:t>
      </w:r>
      <w:r w:rsidRPr="00EF2A33">
        <w:rPr>
          <w:i/>
          <w:iCs/>
          <w:lang w:val="en-GB"/>
        </w:rPr>
        <w:t>Journal of business ethics</w:t>
      </w:r>
      <w:r w:rsidRPr="00EF2A33">
        <w:rPr>
          <w:lang w:val="en-GB"/>
        </w:rPr>
        <w:t>, </w:t>
      </w:r>
      <w:r w:rsidRPr="00EF2A33">
        <w:rPr>
          <w:i/>
          <w:iCs/>
          <w:lang w:val="en-GB"/>
        </w:rPr>
        <w:t>112</w:t>
      </w:r>
      <w:r w:rsidRPr="00EF2A33">
        <w:rPr>
          <w:lang w:val="en-GB"/>
        </w:rPr>
        <w:t>, 463-479.</w:t>
      </w:r>
    </w:p>
    <w:p w14:paraId="2E4A4343" w14:textId="77777777" w:rsidR="003E652E" w:rsidRPr="00EF2A33" w:rsidRDefault="003E652E" w:rsidP="009C16B5">
      <w:pPr>
        <w:spacing w:after="0"/>
        <w:ind w:left="720" w:hanging="720"/>
      </w:pPr>
      <w:bookmarkStart w:id="55" w:name="_bookmark49"/>
      <w:bookmarkStart w:id="56" w:name="_bookmark50"/>
      <w:bookmarkStart w:id="57" w:name="_bookmark51"/>
      <w:bookmarkStart w:id="58" w:name="_bookmark52"/>
      <w:bookmarkStart w:id="59" w:name="_Hlk53515117"/>
      <w:bookmarkEnd w:id="32"/>
      <w:bookmarkEnd w:id="55"/>
      <w:bookmarkEnd w:id="56"/>
      <w:bookmarkEnd w:id="57"/>
      <w:bookmarkEnd w:id="58"/>
      <w:r w:rsidRPr="00EF2A33">
        <w:t>Hambrick, D. C., &amp; Mason, P. A. (1984). Upper echelons: The organization as a reflection of its top managers. </w:t>
      </w:r>
      <w:r w:rsidRPr="00EF2A33">
        <w:rPr>
          <w:i/>
          <w:iCs/>
        </w:rPr>
        <w:t>Academy of management review</w:t>
      </w:r>
      <w:r w:rsidRPr="00EF2A33">
        <w:t>, </w:t>
      </w:r>
      <w:r w:rsidRPr="00EF2A33">
        <w:rPr>
          <w:i/>
          <w:iCs/>
        </w:rPr>
        <w:t>9</w:t>
      </w:r>
      <w:r w:rsidRPr="00EF2A33">
        <w:t>(2), 193-206.</w:t>
      </w:r>
    </w:p>
    <w:p w14:paraId="720326DF" w14:textId="77777777" w:rsidR="003E652E" w:rsidRPr="00EF2A33" w:rsidRDefault="003E652E" w:rsidP="009C16B5">
      <w:pPr>
        <w:spacing w:after="0"/>
        <w:ind w:left="720" w:hanging="720"/>
        <w:rPr>
          <w:lang w:val="en-GB"/>
        </w:rPr>
      </w:pPr>
      <w:r w:rsidRPr="00EF2A33">
        <w:rPr>
          <w:lang w:val="en-GB"/>
        </w:rPr>
        <w:t xml:space="preserve">Hanafi, M.M., </w:t>
      </w:r>
      <w:proofErr w:type="spellStart"/>
      <w:r w:rsidRPr="00EF2A33">
        <w:rPr>
          <w:lang w:val="en-GB"/>
        </w:rPr>
        <w:t>Setiyono</w:t>
      </w:r>
      <w:proofErr w:type="spellEnd"/>
      <w:r w:rsidRPr="00EF2A33">
        <w:rPr>
          <w:lang w:val="en-GB"/>
        </w:rPr>
        <w:t xml:space="preserve">, B. and Sanjaya, IPS (2018). Ownership structure and firm performance: evidence from the subprime crisis period, </w:t>
      </w:r>
      <w:r w:rsidRPr="00EF2A33">
        <w:rPr>
          <w:i/>
          <w:lang w:val="en-GB"/>
        </w:rPr>
        <w:t>Corporate Governance: The International Journal of Business in Society</w:t>
      </w:r>
      <w:r w:rsidRPr="00EF2A33">
        <w:rPr>
          <w:lang w:val="en-GB"/>
        </w:rPr>
        <w:t xml:space="preserve">, </w:t>
      </w:r>
      <w:r w:rsidRPr="00EF2A33">
        <w:rPr>
          <w:i/>
          <w:lang w:val="en-GB"/>
        </w:rPr>
        <w:t>18</w:t>
      </w:r>
      <w:r w:rsidRPr="00EF2A33">
        <w:rPr>
          <w:lang w:val="en-GB"/>
        </w:rPr>
        <w:t>(2), pp. 206-219.</w:t>
      </w:r>
    </w:p>
    <w:p w14:paraId="7DF7286D" w14:textId="77777777" w:rsidR="003E652E" w:rsidRPr="00EF2A33" w:rsidRDefault="003E652E" w:rsidP="009C16B5">
      <w:pPr>
        <w:spacing w:after="0"/>
        <w:ind w:left="720" w:hanging="720"/>
        <w:rPr>
          <w:lang w:val="en-GB"/>
        </w:rPr>
      </w:pPr>
      <w:r w:rsidRPr="00EF2A33">
        <w:rPr>
          <w:lang w:val="en-GB"/>
        </w:rPr>
        <w:t>Haque, F. (2017). The effects of board characteristics and sustainable compensation policy on carbon performance of UK firms.</w:t>
      </w:r>
      <w:r w:rsidRPr="00EF2A33">
        <w:rPr>
          <w:i/>
          <w:iCs/>
          <w:lang w:val="en-GB"/>
        </w:rPr>
        <w:t xml:space="preserve"> The British Accounting Review</w:t>
      </w:r>
      <w:r w:rsidRPr="00EF2A33">
        <w:rPr>
          <w:lang w:val="en-GB"/>
        </w:rPr>
        <w:t xml:space="preserve">, </w:t>
      </w:r>
      <w:r w:rsidRPr="00EF2A33">
        <w:rPr>
          <w:i/>
          <w:iCs/>
          <w:lang w:val="en-GB"/>
        </w:rPr>
        <w:t>49</w:t>
      </w:r>
      <w:r w:rsidRPr="00EF2A33">
        <w:rPr>
          <w:lang w:val="en-GB"/>
        </w:rPr>
        <w:t>(3), 347–364.</w:t>
      </w:r>
    </w:p>
    <w:p w14:paraId="2ECA7073" w14:textId="77777777" w:rsidR="00190A95" w:rsidRPr="00EF2A33" w:rsidRDefault="00190A95" w:rsidP="009C16B5">
      <w:pPr>
        <w:spacing w:after="0"/>
        <w:ind w:left="720" w:hanging="720"/>
        <w:rPr>
          <w:lang w:val="en-GB"/>
        </w:rPr>
      </w:pPr>
      <w:bookmarkStart w:id="60" w:name="_bookmark53"/>
      <w:bookmarkEnd w:id="60"/>
      <w:r w:rsidRPr="00EF2A33">
        <w:rPr>
          <w:lang w:val="en-GB"/>
        </w:rPr>
        <w:t>Hassan, Y. (2024). Board gender diversity and ownership structure: Are they substitutes or complementary? Evidence from Palestine. </w:t>
      </w:r>
      <w:r w:rsidRPr="00EF2A33">
        <w:rPr>
          <w:i/>
          <w:iCs/>
          <w:lang w:val="en-GB"/>
        </w:rPr>
        <w:t>International Journal of Disclosure and Governance</w:t>
      </w:r>
      <w:r w:rsidRPr="00EF2A33">
        <w:rPr>
          <w:lang w:val="en-GB"/>
        </w:rPr>
        <w:t>, 1-16.</w:t>
      </w:r>
    </w:p>
    <w:p w14:paraId="0DD6E1B3" w14:textId="77777777" w:rsidR="003E652E" w:rsidRPr="00EF2A33" w:rsidRDefault="003E652E" w:rsidP="009C16B5">
      <w:pPr>
        <w:spacing w:after="0"/>
        <w:ind w:left="720" w:hanging="720"/>
        <w:rPr>
          <w:lang w:val="en-GB"/>
        </w:rPr>
      </w:pPr>
      <w:r w:rsidRPr="00EF2A33">
        <w:rPr>
          <w:lang w:val="en-GB"/>
        </w:rPr>
        <w:t xml:space="preserve">Hutchinson, M., Seamer, M. and Chapple, L. (2015). Institutional investors, risk/performance and corporate governance, </w:t>
      </w:r>
      <w:r w:rsidRPr="00EF2A33">
        <w:rPr>
          <w:i/>
          <w:lang w:val="en-GB"/>
        </w:rPr>
        <w:t>The International Journal of Accounting</w:t>
      </w:r>
      <w:r w:rsidRPr="00EF2A33">
        <w:rPr>
          <w:lang w:val="en-GB"/>
        </w:rPr>
        <w:t xml:space="preserve">, </w:t>
      </w:r>
      <w:r w:rsidRPr="00EF2A33">
        <w:rPr>
          <w:i/>
          <w:lang w:val="en-GB"/>
        </w:rPr>
        <w:t>50</w:t>
      </w:r>
      <w:r w:rsidRPr="00EF2A33">
        <w:rPr>
          <w:lang w:val="en-GB"/>
        </w:rPr>
        <w:t>(1), 31-52.</w:t>
      </w:r>
      <w:bookmarkStart w:id="61" w:name="_bookmark54"/>
      <w:bookmarkEnd w:id="61"/>
    </w:p>
    <w:p w14:paraId="079D4C80" w14:textId="77777777" w:rsidR="003E652E" w:rsidRPr="00EF2A33" w:rsidRDefault="003E652E" w:rsidP="009C16B5">
      <w:pPr>
        <w:spacing w:after="0"/>
        <w:ind w:left="720" w:hanging="720"/>
        <w:rPr>
          <w:lang w:val="en-GB"/>
        </w:rPr>
      </w:pPr>
      <w:r w:rsidRPr="00EF2A33">
        <w:rPr>
          <w:lang w:val="en-GB"/>
        </w:rPr>
        <w:t xml:space="preserve">Islam, M.S. (2021), “Investigating the relationship between integrated reporting and firm performance in a voluntary disclosure regime: insights from Bangladesh”, </w:t>
      </w:r>
      <w:r w:rsidRPr="00EF2A33">
        <w:rPr>
          <w:i/>
          <w:iCs/>
          <w:lang w:val="en-GB"/>
        </w:rPr>
        <w:t>Asian Journal of Accounting Research</w:t>
      </w:r>
      <w:r w:rsidRPr="00EF2A33">
        <w:rPr>
          <w:lang w:val="en-GB"/>
        </w:rPr>
        <w:t xml:space="preserve">, </w:t>
      </w:r>
      <w:r w:rsidRPr="00EF2A33">
        <w:rPr>
          <w:i/>
          <w:lang w:val="en-GB"/>
        </w:rPr>
        <w:t>6</w:t>
      </w:r>
      <w:r w:rsidRPr="00EF2A33">
        <w:rPr>
          <w:lang w:val="en-GB"/>
        </w:rPr>
        <w:t>(2), 228-245.</w:t>
      </w:r>
      <w:r w:rsidRPr="00EF2A33" w:rsidDel="002C2B1E">
        <w:rPr>
          <w:lang w:val="en-GB"/>
        </w:rPr>
        <w:t xml:space="preserve"> </w:t>
      </w:r>
    </w:p>
    <w:p w14:paraId="388C6E04" w14:textId="77777777" w:rsidR="003E652E" w:rsidRPr="00EF2A33" w:rsidRDefault="003E652E" w:rsidP="009C16B5">
      <w:pPr>
        <w:spacing w:after="0"/>
        <w:ind w:left="810" w:hanging="810"/>
        <w:rPr>
          <w:lang w:val="en-GB"/>
        </w:rPr>
      </w:pPr>
      <w:r w:rsidRPr="00EF2A33">
        <w:t>Jaffar, R., &amp; Abdul-Shukor, Z. (2016). The role of monitoring mechanisms towards company’s performance: Evidence from politically connected companies in Malaysia. </w:t>
      </w:r>
      <w:r w:rsidRPr="00EF2A33">
        <w:rPr>
          <w:i/>
          <w:iCs/>
        </w:rPr>
        <w:t>Journal of Accounting in Emerging Economies</w:t>
      </w:r>
      <w:r w:rsidRPr="00EF2A33">
        <w:t>, </w:t>
      </w:r>
      <w:r w:rsidRPr="00EF2A33">
        <w:rPr>
          <w:i/>
          <w:iCs/>
        </w:rPr>
        <w:t>6</w:t>
      </w:r>
      <w:r w:rsidRPr="00EF2A33">
        <w:t>(4), 408-428.</w:t>
      </w:r>
    </w:p>
    <w:p w14:paraId="7E656D09" w14:textId="77777777" w:rsidR="003E652E" w:rsidRPr="00EF2A33" w:rsidRDefault="003E652E" w:rsidP="009C16B5">
      <w:pPr>
        <w:spacing w:after="0"/>
        <w:ind w:left="810" w:hanging="810"/>
        <w:rPr>
          <w:lang w:val="en-GB"/>
        </w:rPr>
      </w:pPr>
      <w:r w:rsidRPr="00EF2A33">
        <w:rPr>
          <w:lang w:val="en-GB"/>
        </w:rPr>
        <w:lastRenderedPageBreak/>
        <w:t xml:space="preserve">Jensen, M. C., &amp; Meckling, W. H. (2019). Theory of the firm: Managerial </w:t>
      </w:r>
      <w:proofErr w:type="spellStart"/>
      <w:r w:rsidRPr="00EF2A33">
        <w:rPr>
          <w:lang w:val="en-GB"/>
        </w:rPr>
        <w:t>behavior</w:t>
      </w:r>
      <w:proofErr w:type="spellEnd"/>
      <w:r w:rsidRPr="00EF2A33">
        <w:rPr>
          <w:lang w:val="en-GB"/>
        </w:rPr>
        <w:t>, agency costs and ownership structure. In </w:t>
      </w:r>
      <w:r w:rsidRPr="00EF2A33">
        <w:rPr>
          <w:i/>
          <w:iCs/>
          <w:lang w:val="en-GB"/>
        </w:rPr>
        <w:t>Corporate governance</w:t>
      </w:r>
      <w:r w:rsidRPr="00EF2A33">
        <w:rPr>
          <w:lang w:val="en-GB"/>
        </w:rPr>
        <w:t> (pp. 77-132). Gower.</w:t>
      </w:r>
    </w:p>
    <w:p w14:paraId="1414ED74" w14:textId="77777777" w:rsidR="003E652E" w:rsidRPr="00EF2A33" w:rsidRDefault="003E652E" w:rsidP="009C16B5">
      <w:pPr>
        <w:spacing w:after="0"/>
        <w:ind w:left="810" w:hanging="810"/>
        <w:rPr>
          <w:lang w:val="en-GB"/>
        </w:rPr>
      </w:pPr>
      <w:bookmarkStart w:id="62" w:name="_bookmark55"/>
      <w:bookmarkEnd w:id="62"/>
      <w:r w:rsidRPr="00EF2A33">
        <w:rPr>
          <w:lang w:val="en-GB"/>
        </w:rPr>
        <w:t xml:space="preserve">Jensen, M.C. and Meckling, WH (1976). Theory of the firm: managerial </w:t>
      </w:r>
      <w:proofErr w:type="spellStart"/>
      <w:r w:rsidRPr="00EF2A33">
        <w:rPr>
          <w:lang w:val="en-GB"/>
        </w:rPr>
        <w:t>behavior</w:t>
      </w:r>
      <w:proofErr w:type="spellEnd"/>
      <w:r w:rsidRPr="00EF2A33">
        <w:rPr>
          <w:lang w:val="en-GB"/>
        </w:rPr>
        <w:t xml:space="preserve">, agency costs and ownership structure, </w:t>
      </w:r>
      <w:r w:rsidRPr="00EF2A33">
        <w:rPr>
          <w:i/>
          <w:lang w:val="en-GB"/>
        </w:rPr>
        <w:t>Journal of Financial Economics</w:t>
      </w:r>
      <w:r w:rsidRPr="00EF2A33">
        <w:rPr>
          <w:lang w:val="en-GB"/>
        </w:rPr>
        <w:t xml:space="preserve">, </w:t>
      </w:r>
      <w:r w:rsidRPr="00EF2A33">
        <w:rPr>
          <w:i/>
          <w:lang w:val="en-GB"/>
        </w:rPr>
        <w:t>3</w:t>
      </w:r>
      <w:r w:rsidRPr="00EF2A33">
        <w:rPr>
          <w:lang w:val="en-GB"/>
        </w:rPr>
        <w:t>(4), 305-360.</w:t>
      </w:r>
    </w:p>
    <w:p w14:paraId="01E6464C" w14:textId="77777777" w:rsidR="003E652E" w:rsidRPr="00EF2A33" w:rsidRDefault="003E652E" w:rsidP="009C16B5">
      <w:pPr>
        <w:spacing w:after="0"/>
        <w:ind w:left="810" w:hanging="810"/>
      </w:pPr>
      <w:proofErr w:type="spellStart"/>
      <w:r w:rsidRPr="00EF2A33">
        <w:t>Jodjana</w:t>
      </w:r>
      <w:proofErr w:type="spellEnd"/>
      <w:r w:rsidRPr="00EF2A33">
        <w:t xml:space="preserve">, J. J., Nathaniel, S., </w:t>
      </w:r>
      <w:proofErr w:type="spellStart"/>
      <w:r w:rsidRPr="00EF2A33">
        <w:t>Rinaningsih</w:t>
      </w:r>
      <w:proofErr w:type="spellEnd"/>
      <w:r w:rsidRPr="00EF2A33">
        <w:t xml:space="preserve">, R., &amp; </w:t>
      </w:r>
      <w:proofErr w:type="spellStart"/>
      <w:r w:rsidRPr="00EF2A33">
        <w:t>Pranoto</w:t>
      </w:r>
      <w:proofErr w:type="spellEnd"/>
      <w:r w:rsidRPr="00EF2A33">
        <w:t>, T. (2021). The effect of board and ownership structure on the possibility of financial distress. </w:t>
      </w:r>
      <w:r w:rsidRPr="00EF2A33">
        <w:rPr>
          <w:i/>
          <w:iCs/>
        </w:rPr>
        <w:t>Journal of Accounting and Investment</w:t>
      </w:r>
      <w:r w:rsidRPr="00EF2A33">
        <w:t>, </w:t>
      </w:r>
      <w:r w:rsidRPr="00EF2A33">
        <w:rPr>
          <w:i/>
          <w:iCs/>
        </w:rPr>
        <w:t>22</w:t>
      </w:r>
      <w:r w:rsidRPr="00EF2A33">
        <w:t>(3), 602-624.</w:t>
      </w:r>
    </w:p>
    <w:p w14:paraId="7A238C33" w14:textId="77777777" w:rsidR="003E652E" w:rsidRPr="00EF2A33" w:rsidRDefault="003E652E" w:rsidP="009C16B5">
      <w:pPr>
        <w:spacing w:after="0"/>
        <w:ind w:left="810" w:hanging="810"/>
        <w:rPr>
          <w:lang w:val="en-GB"/>
        </w:rPr>
      </w:pPr>
      <w:bookmarkStart w:id="63" w:name="_bookmark56"/>
      <w:bookmarkEnd w:id="63"/>
      <w:r w:rsidRPr="00EF2A33">
        <w:rPr>
          <w:lang w:val="en-GB"/>
        </w:rPr>
        <w:t xml:space="preserve">Jonsson, E.I. (2005), “The role model of the board: a preliminary study of the roles of Icelandic boards”, </w:t>
      </w:r>
      <w:r w:rsidRPr="00EF2A33">
        <w:rPr>
          <w:i/>
          <w:lang w:val="en-GB"/>
        </w:rPr>
        <w:t>Corporate Governance: An International Review</w:t>
      </w:r>
      <w:r w:rsidRPr="00EF2A33">
        <w:rPr>
          <w:lang w:val="en-GB"/>
        </w:rPr>
        <w:t xml:space="preserve">, </w:t>
      </w:r>
      <w:r w:rsidRPr="00EF2A33">
        <w:rPr>
          <w:i/>
          <w:lang w:val="en-GB"/>
        </w:rPr>
        <w:t>13</w:t>
      </w:r>
      <w:r w:rsidRPr="00EF2A33">
        <w:rPr>
          <w:lang w:val="en-GB"/>
        </w:rPr>
        <w:t>(5), 710-717.</w:t>
      </w:r>
    </w:p>
    <w:p w14:paraId="40C68261" w14:textId="77777777" w:rsidR="003E652E" w:rsidRPr="00EF2A33" w:rsidRDefault="003E652E" w:rsidP="009C16B5">
      <w:pPr>
        <w:spacing w:after="0"/>
        <w:ind w:left="720" w:hanging="720"/>
        <w:rPr>
          <w:lang w:val="en-GB"/>
        </w:rPr>
      </w:pPr>
      <w:r w:rsidRPr="00EF2A33">
        <w:t>Jusoh, M. A. (2015). Foreign ownership and firm performance: evidence from Malaysia. </w:t>
      </w:r>
      <w:r w:rsidRPr="00EF2A33">
        <w:rPr>
          <w:i/>
          <w:iCs/>
        </w:rPr>
        <w:t>Asian Journal of Accounting &amp; Governance</w:t>
      </w:r>
      <w:r w:rsidRPr="00EF2A33">
        <w:t>, </w:t>
      </w:r>
      <w:r w:rsidRPr="00EF2A33">
        <w:rPr>
          <w:i/>
          <w:iCs/>
        </w:rPr>
        <w:t>6</w:t>
      </w:r>
      <w:r w:rsidRPr="00EF2A33">
        <w:t>.</w:t>
      </w:r>
      <w:r w:rsidRPr="00EF2A33">
        <w:rPr>
          <w:lang w:val="en-GB"/>
        </w:rPr>
        <w:t xml:space="preserve"> </w:t>
      </w:r>
    </w:p>
    <w:p w14:paraId="1A84ABC4" w14:textId="77777777" w:rsidR="003E652E" w:rsidRPr="00EF2A33" w:rsidRDefault="003E652E" w:rsidP="009C16B5">
      <w:pPr>
        <w:spacing w:after="0"/>
        <w:ind w:left="720" w:hanging="720"/>
        <w:rPr>
          <w:lang w:val="en-GB"/>
        </w:rPr>
      </w:pPr>
      <w:proofErr w:type="spellStart"/>
      <w:r w:rsidRPr="00EF2A33">
        <w:rPr>
          <w:lang w:val="en-GB"/>
        </w:rPr>
        <w:t>Kagzi</w:t>
      </w:r>
      <w:proofErr w:type="spellEnd"/>
      <w:r w:rsidRPr="00EF2A33">
        <w:rPr>
          <w:lang w:val="en-GB"/>
        </w:rPr>
        <w:t>, M., &amp; Guha, M. (2018). Does board demographic diversity influence firm performance? Evidence from Indian-knowledge intensive firms. </w:t>
      </w:r>
      <w:r w:rsidRPr="00EF2A33">
        <w:rPr>
          <w:i/>
          <w:iCs/>
          <w:lang w:val="en-GB"/>
        </w:rPr>
        <w:t>Benchmarking: An International Journal</w:t>
      </w:r>
      <w:r w:rsidRPr="00EF2A33">
        <w:rPr>
          <w:lang w:val="en-GB"/>
        </w:rPr>
        <w:t>, </w:t>
      </w:r>
      <w:r w:rsidRPr="00EF2A33">
        <w:rPr>
          <w:i/>
          <w:iCs/>
          <w:lang w:val="en-GB"/>
        </w:rPr>
        <w:t>25</w:t>
      </w:r>
      <w:r w:rsidRPr="00EF2A33">
        <w:rPr>
          <w:lang w:val="en-GB"/>
        </w:rPr>
        <w:t>(3), 1028-1058.</w:t>
      </w:r>
    </w:p>
    <w:p w14:paraId="13C0B826" w14:textId="77777777" w:rsidR="003E652E" w:rsidRPr="00EF2A33" w:rsidRDefault="003E652E" w:rsidP="009C16B5">
      <w:pPr>
        <w:spacing w:after="0"/>
        <w:ind w:left="720" w:hanging="720"/>
        <w:rPr>
          <w:lang w:val="en-GB"/>
        </w:rPr>
      </w:pPr>
      <w:bookmarkStart w:id="64" w:name="_bookmark57"/>
      <w:bookmarkStart w:id="65" w:name="_bookmark58"/>
      <w:bookmarkEnd w:id="64"/>
      <w:bookmarkEnd w:id="65"/>
      <w:r w:rsidRPr="00EF2A33">
        <w:rPr>
          <w:lang w:val="en-GB"/>
        </w:rPr>
        <w:t>Kaimal, A., &amp; Uzma, S. H. (2024) CSR and ownership structure: Moderating role of board characteristics in an emerging country context. </w:t>
      </w:r>
      <w:r w:rsidRPr="00EF2A33">
        <w:rPr>
          <w:i/>
          <w:iCs/>
          <w:lang w:val="en-GB"/>
        </w:rPr>
        <w:t>Corporate Social Responsibility and Environmental Management</w:t>
      </w:r>
      <w:r w:rsidRPr="00EF2A33">
        <w:rPr>
          <w:lang w:val="en-GB"/>
        </w:rPr>
        <w:t>.</w:t>
      </w:r>
      <w:r w:rsidRPr="00EF2A33">
        <w:rPr>
          <w:i/>
          <w:lang w:val="en-GB"/>
        </w:rPr>
        <w:t xml:space="preserve"> 00</w:t>
      </w:r>
      <w:r w:rsidRPr="00EF2A33">
        <w:rPr>
          <w:lang w:val="en-GB"/>
        </w:rPr>
        <w:t>(0), 00-00.</w:t>
      </w:r>
    </w:p>
    <w:p w14:paraId="636554CE" w14:textId="77777777" w:rsidR="003E652E" w:rsidRPr="00EF2A33" w:rsidRDefault="003E652E" w:rsidP="009C16B5">
      <w:pPr>
        <w:spacing w:after="0"/>
        <w:ind w:left="720" w:hanging="720"/>
        <w:rPr>
          <w:lang w:val="en-GB"/>
        </w:rPr>
      </w:pPr>
      <w:r w:rsidRPr="00EF2A33">
        <w:t>Kang, H., Cheng, M., &amp; Gray, S. J. (2007). Corporate governance and board composition: Diversity and independence of Australian boards. </w:t>
      </w:r>
      <w:r w:rsidRPr="00EF2A33">
        <w:rPr>
          <w:i/>
          <w:iCs/>
        </w:rPr>
        <w:t>Corporate governance: an international review</w:t>
      </w:r>
      <w:r w:rsidRPr="00EF2A33">
        <w:t>, </w:t>
      </w:r>
      <w:r w:rsidRPr="00EF2A33">
        <w:rPr>
          <w:i/>
          <w:iCs/>
        </w:rPr>
        <w:t>15</w:t>
      </w:r>
      <w:r w:rsidRPr="00EF2A33">
        <w:t>(2), 194-207.</w:t>
      </w:r>
      <w:r w:rsidRPr="00EF2A33">
        <w:rPr>
          <w:lang w:val="en-GB"/>
        </w:rPr>
        <w:t xml:space="preserve"> </w:t>
      </w:r>
    </w:p>
    <w:p w14:paraId="41735C38" w14:textId="77777777" w:rsidR="003E652E" w:rsidRPr="00EF2A33" w:rsidRDefault="003E652E" w:rsidP="009C16B5">
      <w:pPr>
        <w:spacing w:after="0"/>
        <w:ind w:left="720" w:hanging="720"/>
        <w:rPr>
          <w:lang w:val="en-GB"/>
        </w:rPr>
      </w:pPr>
      <w:bookmarkStart w:id="66" w:name="_bookmark59"/>
      <w:bookmarkEnd w:id="66"/>
      <w:proofErr w:type="spellStart"/>
      <w:r w:rsidRPr="00EF2A33">
        <w:t>Kansil</w:t>
      </w:r>
      <w:proofErr w:type="spellEnd"/>
      <w:r w:rsidRPr="00EF2A33">
        <w:t>, R., &amp; Singh, A. (2018). Institutional ownership and firm performance: evidence from Indian panel data. </w:t>
      </w:r>
      <w:r w:rsidRPr="00EF2A33">
        <w:rPr>
          <w:i/>
          <w:iCs/>
        </w:rPr>
        <w:t>International Journal of Business and Emerging Markets</w:t>
      </w:r>
      <w:r w:rsidRPr="00EF2A33">
        <w:t>, </w:t>
      </w:r>
      <w:r w:rsidRPr="00EF2A33">
        <w:rPr>
          <w:i/>
          <w:iCs/>
        </w:rPr>
        <w:t>10</w:t>
      </w:r>
      <w:r w:rsidRPr="00EF2A33">
        <w:t>(3), 250-269.</w:t>
      </w:r>
      <w:r w:rsidRPr="00EF2A33">
        <w:rPr>
          <w:lang w:val="en-GB"/>
        </w:rPr>
        <w:t xml:space="preserve"> </w:t>
      </w:r>
    </w:p>
    <w:p w14:paraId="01A5B414" w14:textId="77777777" w:rsidR="003E652E" w:rsidRPr="00EF2A33" w:rsidRDefault="003E652E" w:rsidP="009C16B5">
      <w:pPr>
        <w:spacing w:after="0"/>
        <w:ind w:left="720" w:hanging="720"/>
        <w:rPr>
          <w:lang w:val="en-GB"/>
        </w:rPr>
      </w:pPr>
      <w:bookmarkStart w:id="67" w:name="_bookmark60"/>
      <w:bookmarkEnd w:id="67"/>
      <w:r w:rsidRPr="00EF2A33">
        <w:t>Kao, M. F., Hodgkinson, L., &amp; Jaafar, A. (2018). Ownership structure, board of directors and firm performance: evidence from Taiwan. </w:t>
      </w:r>
      <w:r w:rsidRPr="00EF2A33">
        <w:rPr>
          <w:i/>
          <w:iCs/>
        </w:rPr>
        <w:t>Corporate Governance: The international journal of business in society</w:t>
      </w:r>
      <w:r w:rsidRPr="00EF2A33">
        <w:t>, </w:t>
      </w:r>
      <w:r w:rsidRPr="00EF2A33">
        <w:rPr>
          <w:i/>
          <w:iCs/>
        </w:rPr>
        <w:t>19</w:t>
      </w:r>
      <w:r w:rsidRPr="00EF2A33">
        <w:t>(1), 189-216.</w:t>
      </w:r>
      <w:r w:rsidRPr="00EF2A33">
        <w:rPr>
          <w:lang w:val="en-GB"/>
        </w:rPr>
        <w:t xml:space="preserve"> </w:t>
      </w:r>
    </w:p>
    <w:p w14:paraId="4CFA0DAD" w14:textId="77777777" w:rsidR="003E652E" w:rsidRPr="00EF2A33" w:rsidRDefault="003E652E" w:rsidP="009C16B5">
      <w:pPr>
        <w:spacing w:after="0"/>
        <w:ind w:left="720" w:hanging="720"/>
        <w:rPr>
          <w:lang w:val="en-GB"/>
        </w:rPr>
      </w:pPr>
      <w:proofErr w:type="spellStart"/>
      <w:r w:rsidRPr="00EF2A33">
        <w:t>Kapopoulos</w:t>
      </w:r>
      <w:proofErr w:type="spellEnd"/>
      <w:r w:rsidRPr="00EF2A33">
        <w:t xml:space="preserve">, P., &amp; </w:t>
      </w:r>
      <w:proofErr w:type="spellStart"/>
      <w:r w:rsidRPr="00EF2A33">
        <w:t>Lazaretou</w:t>
      </w:r>
      <w:proofErr w:type="spellEnd"/>
      <w:r w:rsidRPr="00EF2A33">
        <w:t>, S. (2007). Corporate ownership structure and firm performance: evidence from Greek firms. </w:t>
      </w:r>
      <w:r w:rsidRPr="00EF2A33">
        <w:rPr>
          <w:i/>
          <w:iCs/>
        </w:rPr>
        <w:t>Corporate Governance: An International Review</w:t>
      </w:r>
      <w:r w:rsidRPr="00EF2A33">
        <w:t>, </w:t>
      </w:r>
      <w:r w:rsidRPr="00EF2A33">
        <w:rPr>
          <w:i/>
          <w:iCs/>
        </w:rPr>
        <w:t>15</w:t>
      </w:r>
      <w:r w:rsidRPr="00EF2A33">
        <w:t>(2), 144-158.</w:t>
      </w:r>
      <w:r w:rsidRPr="00EF2A33">
        <w:rPr>
          <w:lang w:val="en-GB"/>
        </w:rPr>
        <w:t xml:space="preserve"> </w:t>
      </w:r>
    </w:p>
    <w:p w14:paraId="2FEB7859" w14:textId="77777777" w:rsidR="003E652E" w:rsidRPr="00EF2A33" w:rsidRDefault="003E652E" w:rsidP="009C16B5">
      <w:pPr>
        <w:spacing w:after="0"/>
        <w:ind w:left="720" w:hanging="720"/>
        <w:rPr>
          <w:lang w:val="en-GB"/>
        </w:rPr>
      </w:pPr>
      <w:r w:rsidRPr="00EF2A33">
        <w:rPr>
          <w:lang w:val="en-GB"/>
        </w:rPr>
        <w:t xml:space="preserve">Karim, A. E., </w:t>
      </w:r>
      <w:proofErr w:type="spellStart"/>
      <w:r w:rsidRPr="00EF2A33">
        <w:rPr>
          <w:lang w:val="en-GB"/>
        </w:rPr>
        <w:t>Albitar</w:t>
      </w:r>
      <w:proofErr w:type="spellEnd"/>
      <w:r w:rsidRPr="00EF2A33">
        <w:rPr>
          <w:lang w:val="en-GB"/>
        </w:rPr>
        <w:t xml:space="preserve">, K., &amp; </w:t>
      </w:r>
      <w:proofErr w:type="spellStart"/>
      <w:r w:rsidRPr="00EF2A33">
        <w:rPr>
          <w:lang w:val="en-GB"/>
        </w:rPr>
        <w:t>Elmarzouky</w:t>
      </w:r>
      <w:proofErr w:type="spellEnd"/>
      <w:r w:rsidRPr="00EF2A33">
        <w:rPr>
          <w:lang w:val="en-GB"/>
        </w:rPr>
        <w:t>, M. (2021). A novel measure of corporate carbon emission disclosure, the effect of capital expenditures and corporate governance. </w:t>
      </w:r>
      <w:r w:rsidRPr="00EF2A33">
        <w:rPr>
          <w:i/>
          <w:iCs/>
          <w:lang w:val="en-GB"/>
        </w:rPr>
        <w:t>Journal of Environmental Management</w:t>
      </w:r>
      <w:r w:rsidRPr="00EF2A33">
        <w:rPr>
          <w:lang w:val="en-GB"/>
        </w:rPr>
        <w:t>, </w:t>
      </w:r>
      <w:r w:rsidRPr="00EF2A33">
        <w:rPr>
          <w:i/>
          <w:iCs/>
          <w:lang w:val="en-GB"/>
        </w:rPr>
        <w:t>290</w:t>
      </w:r>
      <w:r w:rsidRPr="00EF2A33">
        <w:rPr>
          <w:lang w:val="en-GB"/>
        </w:rPr>
        <w:t>, 112581.</w:t>
      </w:r>
    </w:p>
    <w:p w14:paraId="7774ACBF" w14:textId="77777777" w:rsidR="003E652E" w:rsidRPr="00EF2A33" w:rsidRDefault="003E652E" w:rsidP="009C16B5">
      <w:pPr>
        <w:spacing w:after="0"/>
        <w:ind w:left="720" w:hanging="720"/>
        <w:rPr>
          <w:lang w:val="en-GB"/>
        </w:rPr>
      </w:pPr>
      <w:bookmarkStart w:id="68" w:name="_bookmark61"/>
      <w:bookmarkStart w:id="69" w:name="_bookmark62"/>
      <w:bookmarkStart w:id="70" w:name="_bookmark63"/>
      <w:bookmarkEnd w:id="68"/>
      <w:bookmarkEnd w:id="69"/>
      <w:bookmarkEnd w:id="70"/>
      <w:r w:rsidRPr="00EF2A33">
        <w:lastRenderedPageBreak/>
        <w:t>Khanna, T., &amp; Palepu, K. (2000). Emerging market business groups, foreign intermediaries, and corporate governance. In </w:t>
      </w:r>
      <w:r w:rsidRPr="00EF2A33">
        <w:rPr>
          <w:i/>
          <w:iCs/>
        </w:rPr>
        <w:t>Concentrated corporate ownership</w:t>
      </w:r>
      <w:r w:rsidRPr="00EF2A33">
        <w:t> (pp. 265-294). University of Chicago Press.</w:t>
      </w:r>
    </w:p>
    <w:p w14:paraId="521400FD" w14:textId="77777777" w:rsidR="003E652E" w:rsidRPr="00EF2A33" w:rsidRDefault="003E652E" w:rsidP="009C16B5">
      <w:pPr>
        <w:spacing w:after="0"/>
        <w:ind w:left="720" w:hanging="720"/>
        <w:rPr>
          <w:lang w:val="en-GB"/>
        </w:rPr>
      </w:pPr>
      <w:bookmarkStart w:id="71" w:name="_bookmark64"/>
      <w:bookmarkStart w:id="72" w:name="_bookmark65"/>
      <w:bookmarkEnd w:id="71"/>
      <w:bookmarkEnd w:id="72"/>
      <w:r w:rsidRPr="00EF2A33">
        <w:rPr>
          <w:lang w:val="en-GB"/>
        </w:rPr>
        <w:t xml:space="preserve">Kumar, P. and </w:t>
      </w:r>
      <w:proofErr w:type="spellStart"/>
      <w:r w:rsidRPr="00EF2A33">
        <w:rPr>
          <w:lang w:val="en-GB"/>
        </w:rPr>
        <w:t>Zattoni</w:t>
      </w:r>
      <w:proofErr w:type="spellEnd"/>
      <w:r w:rsidRPr="00EF2A33">
        <w:rPr>
          <w:lang w:val="en-GB"/>
        </w:rPr>
        <w:t xml:space="preserve">, A. (2015). Ownership structure, corporate governance and firm performance, </w:t>
      </w:r>
      <w:r w:rsidRPr="00EF2A33">
        <w:rPr>
          <w:i/>
          <w:lang w:val="en-GB"/>
        </w:rPr>
        <w:t>Corporate Governance: An International Review</w:t>
      </w:r>
      <w:r w:rsidRPr="00EF2A33">
        <w:rPr>
          <w:lang w:val="en-GB"/>
        </w:rPr>
        <w:t xml:space="preserve">, </w:t>
      </w:r>
      <w:r w:rsidRPr="00EF2A33">
        <w:rPr>
          <w:i/>
          <w:lang w:val="en-GB"/>
        </w:rPr>
        <w:t>23</w:t>
      </w:r>
      <w:r w:rsidRPr="00EF2A33">
        <w:rPr>
          <w:lang w:val="en-GB"/>
        </w:rPr>
        <w:t>(6</w:t>
      </w:r>
      <w:proofErr w:type="gramStart"/>
      <w:r w:rsidRPr="00EF2A33">
        <w:rPr>
          <w:lang w:val="en-GB"/>
        </w:rPr>
        <w:t>),  469</w:t>
      </w:r>
      <w:proofErr w:type="gramEnd"/>
      <w:r w:rsidRPr="00EF2A33">
        <w:rPr>
          <w:lang w:val="en-GB"/>
        </w:rPr>
        <w:t>-471.</w:t>
      </w:r>
    </w:p>
    <w:p w14:paraId="6476CF70" w14:textId="77777777" w:rsidR="003E652E" w:rsidRPr="00EF2A33" w:rsidRDefault="003E652E" w:rsidP="009C16B5">
      <w:pPr>
        <w:spacing w:after="0"/>
        <w:ind w:left="720" w:hanging="720"/>
        <w:rPr>
          <w:lang w:val="en-GB"/>
        </w:rPr>
      </w:pPr>
      <w:bookmarkStart w:id="73" w:name="LankaBangla"/>
      <w:r w:rsidRPr="00EF2A33">
        <w:t xml:space="preserve">Kyere, M., &amp; Ausloos, M. (2021). Corporate governance and </w:t>
      </w:r>
      <w:proofErr w:type="gramStart"/>
      <w:r w:rsidRPr="00EF2A33">
        <w:t>firms</w:t>
      </w:r>
      <w:proofErr w:type="gramEnd"/>
      <w:r w:rsidRPr="00EF2A33">
        <w:t xml:space="preserve"> financial performance in the United Kingdom. </w:t>
      </w:r>
      <w:r w:rsidRPr="00EF2A33">
        <w:rPr>
          <w:i/>
          <w:iCs/>
        </w:rPr>
        <w:t>International Journal of Finance &amp; Economics</w:t>
      </w:r>
      <w:r w:rsidRPr="00EF2A33">
        <w:t>, </w:t>
      </w:r>
      <w:r w:rsidRPr="00EF2A33">
        <w:rPr>
          <w:i/>
          <w:iCs/>
        </w:rPr>
        <w:t>26</w:t>
      </w:r>
      <w:r w:rsidRPr="00EF2A33">
        <w:t>(2), 1871-1885.</w:t>
      </w:r>
      <w:r w:rsidRPr="00EF2A33">
        <w:rPr>
          <w:lang w:val="en-GB"/>
        </w:rPr>
        <w:t xml:space="preserve"> </w:t>
      </w:r>
    </w:p>
    <w:p w14:paraId="3D00DA3F" w14:textId="77777777" w:rsidR="003E652E" w:rsidRPr="00EF2A33" w:rsidRDefault="003E652E" w:rsidP="009C16B5">
      <w:pPr>
        <w:spacing w:after="0"/>
        <w:ind w:left="720" w:hanging="720"/>
        <w:rPr>
          <w:lang w:val="en-GB"/>
        </w:rPr>
      </w:pPr>
      <w:r w:rsidRPr="00EF2A33">
        <w:t>La Porta, R., Lopez‐de‐Silanes, F., &amp; Shleifer, A. (1999). Corporate ownership around the world. </w:t>
      </w:r>
      <w:r w:rsidRPr="00EF2A33">
        <w:rPr>
          <w:i/>
          <w:iCs/>
        </w:rPr>
        <w:t>The journal of finance</w:t>
      </w:r>
      <w:r w:rsidRPr="00EF2A33">
        <w:t>, </w:t>
      </w:r>
      <w:r w:rsidRPr="00EF2A33">
        <w:rPr>
          <w:i/>
          <w:iCs/>
        </w:rPr>
        <w:t>54</w:t>
      </w:r>
      <w:r w:rsidRPr="00EF2A33">
        <w:t>(2), 471-517.</w:t>
      </w:r>
      <w:r w:rsidRPr="00EF2A33">
        <w:rPr>
          <w:lang w:val="en-GB"/>
        </w:rPr>
        <w:t xml:space="preserve"> </w:t>
      </w:r>
    </w:p>
    <w:p w14:paraId="2DC6BC3A" w14:textId="77777777" w:rsidR="003F5737" w:rsidRPr="00EF2A33" w:rsidRDefault="003F5737" w:rsidP="009C16B5">
      <w:pPr>
        <w:spacing w:after="0"/>
        <w:ind w:left="720" w:hanging="720"/>
        <w:rPr>
          <w:lang w:val="en-GB"/>
        </w:rPr>
      </w:pPr>
      <w:proofErr w:type="spellStart"/>
      <w:r w:rsidRPr="00EF2A33">
        <w:rPr>
          <w:lang w:val="en-GB"/>
        </w:rPr>
        <w:t>Lahyani</w:t>
      </w:r>
      <w:proofErr w:type="spellEnd"/>
      <w:r w:rsidRPr="00EF2A33">
        <w:rPr>
          <w:lang w:val="en-GB"/>
        </w:rPr>
        <w:t>, F. E., &amp; Ayadi, S. D. (2024). Innovation capital disclosure and independent directors: evidence from France. </w:t>
      </w:r>
      <w:r w:rsidRPr="00EF2A33">
        <w:rPr>
          <w:i/>
          <w:iCs/>
          <w:lang w:val="en-GB"/>
        </w:rPr>
        <w:t>International Journal of Disclosure and Governance</w:t>
      </w:r>
      <w:r w:rsidRPr="00EF2A33">
        <w:rPr>
          <w:lang w:val="en-GB"/>
        </w:rPr>
        <w:t>, 1-15.</w:t>
      </w:r>
    </w:p>
    <w:p w14:paraId="64C18591" w14:textId="77777777" w:rsidR="003E652E" w:rsidRPr="00EF2A33" w:rsidRDefault="003E652E" w:rsidP="009C16B5">
      <w:pPr>
        <w:spacing w:after="0"/>
        <w:ind w:left="720" w:hanging="720"/>
        <w:rPr>
          <w:lang w:val="en-GB"/>
        </w:rPr>
      </w:pPr>
      <w:proofErr w:type="spellStart"/>
      <w:r w:rsidRPr="00EF2A33">
        <w:rPr>
          <w:lang w:val="en-GB"/>
        </w:rPr>
        <w:t>LankaBangla</w:t>
      </w:r>
      <w:proofErr w:type="spellEnd"/>
      <w:r w:rsidRPr="00EF2A33">
        <w:rPr>
          <w:lang w:val="en-GB"/>
        </w:rPr>
        <w:t xml:space="preserve"> (2020). Livestock data of Dhaka Stock Exchange (DSE), available at: </w:t>
      </w:r>
      <w:hyperlink r:id="rId13" w:history="1">
        <w:r w:rsidRPr="00EF2A33">
          <w:rPr>
            <w:rStyle w:val="Hyperlink"/>
            <w:color w:val="auto"/>
            <w:lang w:val="en-GB"/>
          </w:rPr>
          <w:t>https://lankabd.com</w:t>
        </w:r>
      </w:hyperlink>
      <w:r w:rsidRPr="00EF2A33">
        <w:rPr>
          <w:lang w:val="en-GB"/>
        </w:rPr>
        <w:t xml:space="preserve"> (accessed November 1</w:t>
      </w:r>
      <w:proofErr w:type="gramStart"/>
      <w:r w:rsidRPr="00EF2A33">
        <w:rPr>
          <w:lang w:val="en-GB"/>
        </w:rPr>
        <w:t xml:space="preserve"> 2020</w:t>
      </w:r>
      <w:proofErr w:type="gramEnd"/>
      <w:r w:rsidRPr="00EF2A33">
        <w:rPr>
          <w:lang w:val="en-GB"/>
        </w:rPr>
        <w:t>)</w:t>
      </w:r>
    </w:p>
    <w:p w14:paraId="6F2DEDFB" w14:textId="77777777" w:rsidR="003E652E" w:rsidRPr="00EF2A33" w:rsidRDefault="003E652E" w:rsidP="009C16B5">
      <w:pPr>
        <w:spacing w:after="0"/>
        <w:ind w:left="720" w:hanging="720"/>
        <w:rPr>
          <w:lang w:val="en-GB"/>
        </w:rPr>
      </w:pPr>
      <w:r w:rsidRPr="00EF2A33">
        <w:rPr>
          <w:lang w:val="en-GB"/>
        </w:rPr>
        <w:t>Larcker, D. F., &amp; Rusticus, T. O. (2010). On the use of instrumental variables in accounting research. </w:t>
      </w:r>
      <w:r w:rsidRPr="00EF2A33">
        <w:rPr>
          <w:i/>
          <w:iCs/>
          <w:lang w:val="en-GB"/>
        </w:rPr>
        <w:t>Journal of accounting and economics</w:t>
      </w:r>
      <w:r w:rsidRPr="00EF2A33">
        <w:rPr>
          <w:lang w:val="en-GB"/>
        </w:rPr>
        <w:t>, </w:t>
      </w:r>
      <w:r w:rsidRPr="00EF2A33">
        <w:rPr>
          <w:i/>
          <w:iCs/>
          <w:lang w:val="en-GB"/>
        </w:rPr>
        <w:t>49</w:t>
      </w:r>
      <w:r w:rsidRPr="00EF2A33">
        <w:rPr>
          <w:lang w:val="en-GB"/>
        </w:rPr>
        <w:t>(3), 186-205.</w:t>
      </w:r>
    </w:p>
    <w:p w14:paraId="500F9C03" w14:textId="77777777" w:rsidR="003E652E" w:rsidRPr="00EF2A33" w:rsidRDefault="003E652E" w:rsidP="009C16B5">
      <w:pPr>
        <w:spacing w:after="0"/>
        <w:ind w:left="720" w:hanging="720"/>
        <w:rPr>
          <w:lang w:val="en-GB"/>
        </w:rPr>
      </w:pPr>
      <w:bookmarkStart w:id="74" w:name="_bookmark66"/>
      <w:bookmarkEnd w:id="73"/>
      <w:bookmarkEnd w:id="74"/>
      <w:r w:rsidRPr="00EF2A33">
        <w:rPr>
          <w:lang w:val="en-GB"/>
        </w:rPr>
        <w:t>Lau, Y. W., &amp; Tong, C. Q. (2008). Are Malaysian government-linked companies (GLCs) creating value. </w:t>
      </w:r>
      <w:r w:rsidRPr="00EF2A33">
        <w:rPr>
          <w:i/>
          <w:iCs/>
          <w:lang w:val="en-GB"/>
        </w:rPr>
        <w:t>International Applied Economics and Management Letters</w:t>
      </w:r>
      <w:r w:rsidRPr="00EF2A33">
        <w:rPr>
          <w:lang w:val="en-GB"/>
        </w:rPr>
        <w:t>, </w:t>
      </w:r>
      <w:r w:rsidRPr="00EF2A33">
        <w:rPr>
          <w:i/>
          <w:iCs/>
          <w:lang w:val="en-GB"/>
        </w:rPr>
        <w:t>1</w:t>
      </w:r>
      <w:r w:rsidRPr="00EF2A33">
        <w:rPr>
          <w:lang w:val="en-GB"/>
        </w:rPr>
        <w:t>(1), 9-12.</w:t>
      </w:r>
    </w:p>
    <w:p w14:paraId="01E0F33D" w14:textId="77777777" w:rsidR="003E652E" w:rsidRPr="00EF2A33" w:rsidRDefault="003E652E" w:rsidP="009C16B5">
      <w:pPr>
        <w:spacing w:after="0"/>
        <w:ind w:left="720" w:hanging="720"/>
        <w:rPr>
          <w:lang w:val="en-GB"/>
        </w:rPr>
      </w:pPr>
      <w:r w:rsidRPr="00EF2A33">
        <w:rPr>
          <w:lang w:val="en-GB"/>
        </w:rPr>
        <w:t xml:space="preserve">Liew, C.Y., Samad, M.F., &amp; </w:t>
      </w:r>
      <w:proofErr w:type="spellStart"/>
      <w:r w:rsidRPr="00EF2A33">
        <w:rPr>
          <w:lang w:val="en-GB"/>
        </w:rPr>
        <w:t>Alfan</w:t>
      </w:r>
      <w:proofErr w:type="spellEnd"/>
      <w:r w:rsidRPr="00EF2A33">
        <w:rPr>
          <w:lang w:val="en-GB"/>
        </w:rPr>
        <w:t>, E. (2011). Expropriation-related variables &amp; firm performance: Evidence from Malaysian family firms. Social Science Research Network, 1-66.</w:t>
      </w:r>
    </w:p>
    <w:p w14:paraId="2DE01DF7" w14:textId="77777777" w:rsidR="003E652E" w:rsidRPr="00EF2A33" w:rsidRDefault="003E652E" w:rsidP="009C16B5">
      <w:pPr>
        <w:spacing w:after="0"/>
        <w:ind w:left="720" w:hanging="720"/>
        <w:rPr>
          <w:lang w:val="en-GB"/>
        </w:rPr>
      </w:pPr>
      <w:r w:rsidRPr="00EF2A33">
        <w:rPr>
          <w:lang w:val="de-DE"/>
        </w:rPr>
        <w:t xml:space="preserve">Liu, Y., Wei, Z., &amp; Xie, F. (2014). </w:t>
      </w:r>
      <w:r w:rsidRPr="00EF2A33">
        <w:t xml:space="preserve">Do women directors improve firm performance in </w:t>
      </w:r>
      <w:proofErr w:type="gramStart"/>
      <w:r w:rsidRPr="00EF2A33">
        <w:t>China?.</w:t>
      </w:r>
      <w:proofErr w:type="gramEnd"/>
      <w:r w:rsidRPr="00EF2A33">
        <w:t> </w:t>
      </w:r>
      <w:r w:rsidRPr="00EF2A33">
        <w:rPr>
          <w:i/>
          <w:iCs/>
        </w:rPr>
        <w:t>Journal of corporate finance</w:t>
      </w:r>
      <w:r w:rsidRPr="00EF2A33">
        <w:t>, </w:t>
      </w:r>
      <w:r w:rsidRPr="00EF2A33">
        <w:rPr>
          <w:i/>
          <w:iCs/>
        </w:rPr>
        <w:t>28</w:t>
      </w:r>
      <w:r w:rsidRPr="00EF2A33">
        <w:t>, 169-184.</w:t>
      </w:r>
    </w:p>
    <w:p w14:paraId="39BBC86F" w14:textId="77777777" w:rsidR="007F53CA" w:rsidRPr="00EF2A33" w:rsidRDefault="007F53CA" w:rsidP="009C16B5">
      <w:pPr>
        <w:spacing w:after="0"/>
        <w:ind w:left="720" w:hanging="720"/>
        <w:rPr>
          <w:lang w:val="en-GB"/>
        </w:rPr>
      </w:pPr>
      <w:r w:rsidRPr="00EF2A33">
        <w:rPr>
          <w:lang w:val="en-GB"/>
        </w:rPr>
        <w:t>Loulou-</w:t>
      </w:r>
      <w:proofErr w:type="spellStart"/>
      <w:r w:rsidRPr="00EF2A33">
        <w:rPr>
          <w:lang w:val="en-GB"/>
        </w:rPr>
        <w:t>Baklouti</w:t>
      </w:r>
      <w:proofErr w:type="spellEnd"/>
      <w:r w:rsidRPr="00EF2A33">
        <w:rPr>
          <w:lang w:val="en-GB"/>
        </w:rPr>
        <w:t>, S. (2023). Does board gender diversity affect intellectual capital voluntary disclosure? Evidence from Tunisia. </w:t>
      </w:r>
      <w:r w:rsidRPr="00EF2A33">
        <w:rPr>
          <w:i/>
          <w:iCs/>
          <w:lang w:val="en-GB"/>
        </w:rPr>
        <w:t>International Journal of Disclosure and Governance</w:t>
      </w:r>
      <w:r w:rsidRPr="00EF2A33">
        <w:rPr>
          <w:lang w:val="en-GB"/>
        </w:rPr>
        <w:t>, 1-18.</w:t>
      </w:r>
    </w:p>
    <w:p w14:paraId="09EA460E" w14:textId="77777777" w:rsidR="003E652E" w:rsidRPr="00EF2A33" w:rsidRDefault="003E652E" w:rsidP="009C16B5">
      <w:pPr>
        <w:spacing w:after="0"/>
        <w:ind w:left="720" w:hanging="720"/>
        <w:rPr>
          <w:lang w:val="en-GB"/>
        </w:rPr>
      </w:pPr>
      <w:r w:rsidRPr="00EF2A33">
        <w:rPr>
          <w:lang w:val="en-GB"/>
        </w:rPr>
        <w:t>Makhlouf, M. H., Laili, N. H., Ramli, N. A., Al-</w:t>
      </w:r>
      <w:proofErr w:type="spellStart"/>
      <w:r w:rsidRPr="00EF2A33">
        <w:rPr>
          <w:lang w:val="en-GB"/>
        </w:rPr>
        <w:t>Sufy</w:t>
      </w:r>
      <w:proofErr w:type="spellEnd"/>
      <w:r w:rsidRPr="00EF2A33">
        <w:rPr>
          <w:lang w:val="en-GB"/>
        </w:rPr>
        <w:t xml:space="preserve">, F., &amp; </w:t>
      </w:r>
      <w:proofErr w:type="spellStart"/>
      <w:r w:rsidRPr="00EF2A33">
        <w:rPr>
          <w:lang w:val="en-GB"/>
        </w:rPr>
        <w:t>Basah</w:t>
      </w:r>
      <w:proofErr w:type="spellEnd"/>
      <w:r w:rsidRPr="00EF2A33">
        <w:rPr>
          <w:lang w:val="en-GB"/>
        </w:rPr>
        <w:t>, M. Y. (2018). Board of directors, firm performance and the moderating role of family control in Jordan. </w:t>
      </w:r>
      <w:r w:rsidRPr="00EF2A33">
        <w:rPr>
          <w:i/>
          <w:iCs/>
          <w:lang w:val="en-GB"/>
        </w:rPr>
        <w:t>Academy of Accounting and Financial Studies Journal</w:t>
      </w:r>
      <w:r w:rsidRPr="00EF2A33">
        <w:rPr>
          <w:lang w:val="en-GB"/>
        </w:rPr>
        <w:t>, </w:t>
      </w:r>
      <w:r w:rsidRPr="00EF2A33">
        <w:rPr>
          <w:i/>
          <w:iCs/>
          <w:lang w:val="en-GB"/>
        </w:rPr>
        <w:t>22</w:t>
      </w:r>
      <w:r w:rsidRPr="00EF2A33">
        <w:rPr>
          <w:lang w:val="en-GB"/>
        </w:rPr>
        <w:t>(5), 1-15.</w:t>
      </w:r>
    </w:p>
    <w:p w14:paraId="7B8E4FD7" w14:textId="77777777" w:rsidR="003E652E" w:rsidRPr="00EF2A33" w:rsidRDefault="003E652E" w:rsidP="009C16B5">
      <w:pPr>
        <w:spacing w:after="0"/>
        <w:ind w:left="720" w:hanging="720"/>
        <w:rPr>
          <w:lang w:val="en-GB"/>
        </w:rPr>
      </w:pPr>
      <w:r w:rsidRPr="00EF2A33">
        <w:t xml:space="preserve">Mangena, M., </w:t>
      </w:r>
      <w:proofErr w:type="spellStart"/>
      <w:r w:rsidRPr="00EF2A33">
        <w:t>Tauringana</w:t>
      </w:r>
      <w:proofErr w:type="spellEnd"/>
      <w:r w:rsidRPr="00EF2A33">
        <w:t>, V., &amp; Chamisa, E. (2012). Corporate boards, ownership structure and firm performance in an environment of severe political and economic crisis. </w:t>
      </w:r>
      <w:r w:rsidRPr="00EF2A33">
        <w:rPr>
          <w:i/>
          <w:iCs/>
        </w:rPr>
        <w:t>British Journal of Management</w:t>
      </w:r>
      <w:r w:rsidRPr="00EF2A33">
        <w:t>, </w:t>
      </w:r>
      <w:r w:rsidRPr="00EF2A33">
        <w:rPr>
          <w:i/>
          <w:iCs/>
        </w:rPr>
        <w:t>23</w:t>
      </w:r>
      <w:r w:rsidRPr="00EF2A33">
        <w:t>, S23-S41.</w:t>
      </w:r>
      <w:r w:rsidRPr="00EF2A33">
        <w:rPr>
          <w:lang w:val="en-GB"/>
        </w:rPr>
        <w:t xml:space="preserve"> </w:t>
      </w:r>
    </w:p>
    <w:p w14:paraId="1D99D342" w14:textId="77777777" w:rsidR="003E652E" w:rsidRPr="00EF2A33" w:rsidRDefault="003E652E" w:rsidP="009C16B5">
      <w:pPr>
        <w:spacing w:after="0"/>
        <w:ind w:left="720" w:hanging="720"/>
        <w:rPr>
          <w:lang w:val="en-GB"/>
        </w:rPr>
      </w:pPr>
      <w:r w:rsidRPr="00EF2A33">
        <w:lastRenderedPageBreak/>
        <w:t>Masum, M. H., &amp; Khan, M. M. (2019). Impacts of board characteristics on corporate performance: Evidence from Bangladeshi listed companies. </w:t>
      </w:r>
      <w:r w:rsidRPr="00EF2A33">
        <w:rPr>
          <w:i/>
          <w:iCs/>
        </w:rPr>
        <w:t>International Business and Accounting Research Journal</w:t>
      </w:r>
      <w:r w:rsidRPr="00EF2A33">
        <w:t>, </w:t>
      </w:r>
      <w:r w:rsidRPr="00EF2A33">
        <w:rPr>
          <w:i/>
          <w:iCs/>
        </w:rPr>
        <w:t>3</w:t>
      </w:r>
      <w:r w:rsidRPr="00EF2A33">
        <w:t>(1), 47-57.</w:t>
      </w:r>
      <w:r w:rsidRPr="00EF2A33">
        <w:rPr>
          <w:lang w:val="en-GB"/>
        </w:rPr>
        <w:t xml:space="preserve"> </w:t>
      </w:r>
    </w:p>
    <w:p w14:paraId="314A50E3" w14:textId="77777777" w:rsidR="003E652E" w:rsidRPr="00EF2A33" w:rsidRDefault="003E652E" w:rsidP="009C16B5">
      <w:pPr>
        <w:spacing w:after="0"/>
        <w:ind w:left="720" w:hanging="720"/>
        <w:rPr>
          <w:lang w:val="en-GB"/>
        </w:rPr>
      </w:pPr>
      <w:r w:rsidRPr="00EF2A33">
        <w:rPr>
          <w:lang w:val="en-GB"/>
        </w:rPr>
        <w:t>Mazumder, M. M. M. (2024). An empirical analysis of SDG disclosure (SDGD) and board gender diversity: insights from the banking sector in an emerging economy. </w:t>
      </w:r>
      <w:r w:rsidRPr="00EF2A33">
        <w:rPr>
          <w:i/>
          <w:iCs/>
          <w:lang w:val="en-GB"/>
        </w:rPr>
        <w:t>International Journal of Disclosure and Governance</w:t>
      </w:r>
      <w:r w:rsidRPr="00EF2A33">
        <w:rPr>
          <w:lang w:val="en-GB"/>
        </w:rPr>
        <w:t>, 1-17.</w:t>
      </w:r>
    </w:p>
    <w:p w14:paraId="2D70FB0E" w14:textId="77777777" w:rsidR="003E652E" w:rsidRPr="00EF2A33" w:rsidRDefault="003E652E" w:rsidP="009C16B5">
      <w:pPr>
        <w:spacing w:after="0"/>
        <w:ind w:left="720" w:hanging="720"/>
        <w:rPr>
          <w:lang w:val="en-GB"/>
        </w:rPr>
      </w:pPr>
      <w:bookmarkStart w:id="75" w:name="_bookmark67"/>
      <w:bookmarkStart w:id="76" w:name="_bookmark68"/>
      <w:bookmarkStart w:id="77" w:name="_bookmark69"/>
      <w:bookmarkStart w:id="78" w:name="_bookmark70"/>
      <w:bookmarkEnd w:id="75"/>
      <w:bookmarkEnd w:id="76"/>
      <w:bookmarkEnd w:id="77"/>
      <w:bookmarkEnd w:id="78"/>
      <w:r w:rsidRPr="00EF2A33">
        <w:rPr>
          <w:lang w:val="en-GB"/>
        </w:rPr>
        <w:t>Mollah, S., Al Farooque, O., &amp; Karim, W. (2012). Ownership structure, corporate governance and firm performance: Evidence from an African emerging market. </w:t>
      </w:r>
      <w:r w:rsidRPr="00EF2A33">
        <w:rPr>
          <w:i/>
          <w:iCs/>
          <w:lang w:val="en-GB"/>
        </w:rPr>
        <w:t>Studies in Economics and finance</w:t>
      </w:r>
      <w:r w:rsidRPr="00EF2A33">
        <w:rPr>
          <w:lang w:val="en-GB"/>
        </w:rPr>
        <w:t>, </w:t>
      </w:r>
      <w:r w:rsidRPr="00EF2A33">
        <w:rPr>
          <w:i/>
          <w:iCs/>
          <w:lang w:val="en-GB"/>
        </w:rPr>
        <w:t>29</w:t>
      </w:r>
      <w:r w:rsidRPr="00EF2A33">
        <w:rPr>
          <w:lang w:val="en-GB"/>
        </w:rPr>
        <w:t>(4), 301-319.</w:t>
      </w:r>
    </w:p>
    <w:p w14:paraId="625C25BF" w14:textId="77777777" w:rsidR="003E652E" w:rsidRPr="00EF2A33" w:rsidRDefault="003E652E" w:rsidP="009C16B5">
      <w:pPr>
        <w:spacing w:after="0"/>
        <w:ind w:left="720" w:hanging="720"/>
        <w:rPr>
          <w:lang w:val="en-GB"/>
        </w:rPr>
      </w:pPr>
      <w:proofErr w:type="spellStart"/>
      <w:r w:rsidRPr="00EF2A33">
        <w:t>Muttakin</w:t>
      </w:r>
      <w:proofErr w:type="spellEnd"/>
      <w:r w:rsidRPr="00EF2A33">
        <w:t>, M. B., Khan, A., &amp; Subramaniam, N. (2012). Board structure and firm performance: Evidence from an emerging economy. </w:t>
      </w:r>
      <w:r w:rsidRPr="00EF2A33">
        <w:rPr>
          <w:i/>
          <w:iCs/>
        </w:rPr>
        <w:t>Academy of Taiwan Business Management Review</w:t>
      </w:r>
      <w:r w:rsidRPr="00EF2A33">
        <w:t>, </w:t>
      </w:r>
      <w:r w:rsidRPr="00EF2A33">
        <w:rPr>
          <w:i/>
          <w:iCs/>
        </w:rPr>
        <w:t>8</w:t>
      </w:r>
      <w:r w:rsidRPr="00EF2A33">
        <w:t>(2).</w:t>
      </w:r>
      <w:r w:rsidRPr="00EF2A33">
        <w:rPr>
          <w:lang w:val="en-GB"/>
        </w:rPr>
        <w:t xml:space="preserve"> </w:t>
      </w:r>
    </w:p>
    <w:p w14:paraId="0420EC2E" w14:textId="77777777" w:rsidR="003E652E" w:rsidRPr="00EF2A33" w:rsidRDefault="003E652E" w:rsidP="009C16B5">
      <w:pPr>
        <w:spacing w:after="0"/>
        <w:ind w:left="720" w:hanging="720"/>
        <w:rPr>
          <w:lang w:val="en-GB"/>
        </w:rPr>
      </w:pPr>
      <w:proofErr w:type="spellStart"/>
      <w:r w:rsidRPr="00EF2A33">
        <w:t>Muttakin</w:t>
      </w:r>
      <w:proofErr w:type="spellEnd"/>
      <w:r w:rsidRPr="00EF2A33">
        <w:t>, M. B., Monem, R. M., Khan, A., &amp; Subramaniam, N. (2015). Family firms, firm performance and political connections: Evidence from Bangladesh. </w:t>
      </w:r>
      <w:r w:rsidRPr="00EF2A33">
        <w:rPr>
          <w:i/>
          <w:iCs/>
        </w:rPr>
        <w:t>Journal of Contemporary Accounting &amp; Economics</w:t>
      </w:r>
      <w:r w:rsidRPr="00EF2A33">
        <w:t>, </w:t>
      </w:r>
      <w:r w:rsidRPr="00EF2A33">
        <w:rPr>
          <w:i/>
          <w:iCs/>
        </w:rPr>
        <w:t>11</w:t>
      </w:r>
      <w:r w:rsidRPr="00EF2A33">
        <w:t>(3), 215-230.</w:t>
      </w:r>
      <w:r w:rsidRPr="00EF2A33">
        <w:rPr>
          <w:lang w:val="en-GB"/>
        </w:rPr>
        <w:t xml:space="preserve"> </w:t>
      </w:r>
    </w:p>
    <w:p w14:paraId="7E114160" w14:textId="77777777" w:rsidR="003E652E" w:rsidRPr="00EF2A33" w:rsidRDefault="003E652E" w:rsidP="009C16B5">
      <w:pPr>
        <w:spacing w:after="0"/>
        <w:ind w:left="720" w:hanging="720"/>
      </w:pPr>
      <w:r w:rsidRPr="00EF2A33">
        <w:rPr>
          <w:lang w:val="en-GB"/>
        </w:rPr>
        <w:t xml:space="preserve">Nguyen, B. D., &amp; Nielsen, K. M. (2010). </w:t>
      </w:r>
      <w:r w:rsidRPr="00EF2A33">
        <w:t>The value of independent directors: Evidence from sudden deaths. </w:t>
      </w:r>
      <w:r w:rsidRPr="00EF2A33">
        <w:rPr>
          <w:i/>
          <w:iCs/>
        </w:rPr>
        <w:t>Journal of financial economics</w:t>
      </w:r>
      <w:r w:rsidRPr="00EF2A33">
        <w:t>, </w:t>
      </w:r>
      <w:r w:rsidRPr="00EF2A33">
        <w:rPr>
          <w:i/>
          <w:iCs/>
        </w:rPr>
        <w:t>98</w:t>
      </w:r>
      <w:r w:rsidRPr="00EF2A33">
        <w:t xml:space="preserve">(3), 550-567. </w:t>
      </w:r>
    </w:p>
    <w:p w14:paraId="77060791" w14:textId="77777777" w:rsidR="003E652E" w:rsidRPr="00EF2A33" w:rsidRDefault="003E652E" w:rsidP="009C16B5">
      <w:pPr>
        <w:spacing w:after="0"/>
        <w:ind w:left="720" w:hanging="720"/>
        <w:rPr>
          <w:lang w:val="en-GB"/>
        </w:rPr>
      </w:pPr>
      <w:bookmarkStart w:id="79" w:name="_bookmark71"/>
      <w:bookmarkStart w:id="80" w:name="_Hlk53515129"/>
      <w:bookmarkEnd w:id="59"/>
      <w:bookmarkEnd w:id="79"/>
      <w:r w:rsidRPr="00EF2A33">
        <w:rPr>
          <w:lang w:val="en-GB"/>
        </w:rPr>
        <w:t>Nguyen, T. X. H., Pham, T. H., Dao, T. N., Nguyen, T. N., &amp; Tran, T. K. N. (2020). The impact of foreign ownership and management on firm performance in Vietnam. </w:t>
      </w:r>
      <w:r w:rsidRPr="00EF2A33">
        <w:rPr>
          <w:i/>
          <w:iCs/>
          <w:lang w:val="en-GB"/>
        </w:rPr>
        <w:t>The Journal of Asian Finance, Economics and Business</w:t>
      </w:r>
      <w:r w:rsidRPr="00EF2A33">
        <w:rPr>
          <w:lang w:val="en-GB"/>
        </w:rPr>
        <w:t>, </w:t>
      </w:r>
      <w:r w:rsidRPr="00EF2A33">
        <w:rPr>
          <w:i/>
          <w:iCs/>
          <w:lang w:val="en-GB"/>
        </w:rPr>
        <w:t>7</w:t>
      </w:r>
      <w:r w:rsidRPr="00EF2A33">
        <w:rPr>
          <w:lang w:val="en-GB"/>
        </w:rPr>
        <w:t>(9), 409-418.</w:t>
      </w:r>
    </w:p>
    <w:p w14:paraId="3D5D4415" w14:textId="77777777" w:rsidR="003E652E" w:rsidRPr="00EF2A33" w:rsidRDefault="003E652E" w:rsidP="009C16B5">
      <w:pPr>
        <w:spacing w:after="0"/>
        <w:ind w:left="720" w:hanging="720"/>
        <w:rPr>
          <w:lang w:val="en-GB"/>
        </w:rPr>
      </w:pPr>
      <w:r w:rsidRPr="00EF2A33">
        <w:t xml:space="preserve">Nugroho, A. C., </w:t>
      </w:r>
      <w:proofErr w:type="spellStart"/>
      <w:r w:rsidRPr="00EF2A33">
        <w:t>Febrianto</w:t>
      </w:r>
      <w:proofErr w:type="spellEnd"/>
      <w:r w:rsidRPr="00EF2A33">
        <w:t xml:space="preserve">, D., </w:t>
      </w:r>
      <w:proofErr w:type="spellStart"/>
      <w:r w:rsidRPr="00EF2A33">
        <w:t>Tyasti</w:t>
      </w:r>
      <w:proofErr w:type="spellEnd"/>
      <w:r w:rsidRPr="00EF2A33">
        <w:t xml:space="preserve">, A. E., &amp; </w:t>
      </w:r>
      <w:proofErr w:type="spellStart"/>
      <w:r w:rsidRPr="00EF2A33">
        <w:t>Kuswibowo</w:t>
      </w:r>
      <w:proofErr w:type="spellEnd"/>
      <w:r w:rsidRPr="00EF2A33">
        <w:t>, C. (2020). The Impact of Foreign Investor Ownership Level on Agency Problems of Manufacturing Companies in Indonesia. </w:t>
      </w:r>
      <w:r w:rsidRPr="00EF2A33">
        <w:rPr>
          <w:i/>
          <w:iCs/>
        </w:rPr>
        <w:t>Journal of Accounting and Investment</w:t>
      </w:r>
      <w:r w:rsidRPr="00EF2A33">
        <w:t>, </w:t>
      </w:r>
      <w:r w:rsidRPr="00EF2A33">
        <w:rPr>
          <w:i/>
          <w:iCs/>
        </w:rPr>
        <w:t>21</w:t>
      </w:r>
      <w:r w:rsidRPr="00EF2A33">
        <w:t>(1), 61-73.</w:t>
      </w:r>
      <w:r w:rsidRPr="00EF2A33">
        <w:rPr>
          <w:lang w:val="en-GB"/>
        </w:rPr>
        <w:t xml:space="preserve"> </w:t>
      </w:r>
    </w:p>
    <w:p w14:paraId="3E099D97" w14:textId="77777777" w:rsidR="003E652E" w:rsidRPr="00EF2A33" w:rsidRDefault="003E652E" w:rsidP="009C16B5">
      <w:pPr>
        <w:spacing w:after="0"/>
        <w:ind w:left="720" w:hanging="720"/>
        <w:rPr>
          <w:lang w:val="en-GB"/>
        </w:rPr>
      </w:pPr>
      <w:proofErr w:type="spellStart"/>
      <w:r w:rsidRPr="00EF2A33">
        <w:rPr>
          <w:lang w:val="en-GB"/>
        </w:rPr>
        <w:t>Nuzul</w:t>
      </w:r>
      <w:proofErr w:type="spellEnd"/>
      <w:r w:rsidRPr="00EF2A33">
        <w:rPr>
          <w:lang w:val="en-GB"/>
        </w:rPr>
        <w:t xml:space="preserve">, A. I., &amp; </w:t>
      </w:r>
      <w:proofErr w:type="spellStart"/>
      <w:r w:rsidRPr="00EF2A33">
        <w:rPr>
          <w:lang w:val="en-GB"/>
        </w:rPr>
        <w:t>Diyanty</w:t>
      </w:r>
      <w:proofErr w:type="spellEnd"/>
      <w:r w:rsidRPr="00EF2A33">
        <w:rPr>
          <w:lang w:val="en-GB"/>
        </w:rPr>
        <w:t>, V. (2024). Does the gender diversity of the Board of Commissioners, Family Ownership, and Institutional Ownership Reduce the Likelihood of Financial Distress During COvid-</w:t>
      </w:r>
      <w:proofErr w:type="gramStart"/>
      <w:r w:rsidRPr="00EF2A33">
        <w:rPr>
          <w:lang w:val="en-GB"/>
        </w:rPr>
        <w:t>19?.</w:t>
      </w:r>
      <w:proofErr w:type="gramEnd"/>
      <w:r w:rsidRPr="00EF2A33">
        <w:rPr>
          <w:lang w:val="en-GB"/>
        </w:rPr>
        <w:t> </w:t>
      </w:r>
      <w:r w:rsidRPr="00EF2A33">
        <w:rPr>
          <w:i/>
          <w:iCs/>
          <w:lang w:val="en-GB"/>
        </w:rPr>
        <w:t xml:space="preserve">EKOMBIS REVIEW: </w:t>
      </w:r>
      <w:proofErr w:type="spellStart"/>
      <w:r w:rsidRPr="00EF2A33">
        <w:rPr>
          <w:i/>
          <w:iCs/>
          <w:lang w:val="en-GB"/>
        </w:rPr>
        <w:t>Jurnal</w:t>
      </w:r>
      <w:proofErr w:type="spellEnd"/>
      <w:r w:rsidRPr="00EF2A33">
        <w:rPr>
          <w:i/>
          <w:iCs/>
          <w:lang w:val="en-GB"/>
        </w:rPr>
        <w:t xml:space="preserve"> </w:t>
      </w:r>
      <w:proofErr w:type="spellStart"/>
      <w:r w:rsidRPr="00EF2A33">
        <w:rPr>
          <w:i/>
          <w:iCs/>
          <w:lang w:val="en-GB"/>
        </w:rPr>
        <w:t>Ilmiah</w:t>
      </w:r>
      <w:proofErr w:type="spellEnd"/>
      <w:r w:rsidRPr="00EF2A33">
        <w:rPr>
          <w:i/>
          <w:iCs/>
          <w:lang w:val="en-GB"/>
        </w:rPr>
        <w:t xml:space="preserve"> Ekonomi dan </w:t>
      </w:r>
      <w:proofErr w:type="spellStart"/>
      <w:r w:rsidRPr="00EF2A33">
        <w:rPr>
          <w:i/>
          <w:iCs/>
          <w:lang w:val="en-GB"/>
        </w:rPr>
        <w:t>Bisnis</w:t>
      </w:r>
      <w:proofErr w:type="spellEnd"/>
      <w:r w:rsidRPr="00EF2A33">
        <w:rPr>
          <w:lang w:val="en-GB"/>
        </w:rPr>
        <w:t>, </w:t>
      </w:r>
      <w:r w:rsidRPr="00EF2A33">
        <w:rPr>
          <w:i/>
          <w:iCs/>
          <w:lang w:val="en-GB"/>
        </w:rPr>
        <w:t>12</w:t>
      </w:r>
      <w:r w:rsidRPr="00EF2A33">
        <w:rPr>
          <w:lang w:val="en-GB"/>
        </w:rPr>
        <w:t>(2), 2159-2172.</w:t>
      </w:r>
    </w:p>
    <w:p w14:paraId="11EF7A08" w14:textId="77777777" w:rsidR="003E652E" w:rsidRPr="00EF2A33" w:rsidRDefault="003E652E" w:rsidP="009C16B5">
      <w:pPr>
        <w:spacing w:after="0"/>
        <w:ind w:left="720" w:hanging="720"/>
      </w:pPr>
      <w:bookmarkStart w:id="81" w:name="_bookmark72"/>
      <w:bookmarkStart w:id="82" w:name="_bookmark73"/>
      <w:bookmarkStart w:id="83" w:name="_bookmark74"/>
      <w:bookmarkEnd w:id="81"/>
      <w:bookmarkEnd w:id="82"/>
      <w:bookmarkEnd w:id="83"/>
      <w:r w:rsidRPr="00EF2A33">
        <w:t xml:space="preserve">Omran, M. M., </w:t>
      </w:r>
      <w:proofErr w:type="spellStart"/>
      <w:r w:rsidRPr="00EF2A33">
        <w:t>Bolbol</w:t>
      </w:r>
      <w:proofErr w:type="spellEnd"/>
      <w:r w:rsidRPr="00EF2A33">
        <w:t xml:space="preserve">, A., &amp; </w:t>
      </w:r>
      <w:proofErr w:type="spellStart"/>
      <w:r w:rsidRPr="00EF2A33">
        <w:t>Fatheldin</w:t>
      </w:r>
      <w:proofErr w:type="spellEnd"/>
      <w:r w:rsidRPr="00EF2A33">
        <w:t xml:space="preserve">, A. (2008). Corporate governance and firm performance in Arab equity markets: Does ownership concentration </w:t>
      </w:r>
      <w:proofErr w:type="gramStart"/>
      <w:r w:rsidRPr="00EF2A33">
        <w:t>matter?.</w:t>
      </w:r>
      <w:proofErr w:type="gramEnd"/>
      <w:r w:rsidRPr="00EF2A33">
        <w:t> </w:t>
      </w:r>
      <w:r w:rsidRPr="00EF2A33">
        <w:rPr>
          <w:i/>
          <w:iCs/>
        </w:rPr>
        <w:t>International review of law and economics</w:t>
      </w:r>
      <w:r w:rsidRPr="00EF2A33">
        <w:t>, </w:t>
      </w:r>
      <w:r w:rsidRPr="00EF2A33">
        <w:rPr>
          <w:i/>
          <w:iCs/>
        </w:rPr>
        <w:t>28</w:t>
      </w:r>
      <w:r w:rsidRPr="00EF2A33">
        <w:t>(1), 32-45.</w:t>
      </w:r>
    </w:p>
    <w:p w14:paraId="2B294605" w14:textId="77777777" w:rsidR="003E652E" w:rsidRPr="00EF2A33" w:rsidRDefault="003E652E" w:rsidP="009C16B5">
      <w:pPr>
        <w:spacing w:after="0"/>
        <w:ind w:left="720" w:hanging="720"/>
      </w:pPr>
      <w:r w:rsidRPr="00EF2A33">
        <w:t>Park, S. H., Zhang, Y., &amp; Keister, L. A. (2020). Governance innovations in emerging markets. </w:t>
      </w:r>
      <w:r w:rsidRPr="00EF2A33">
        <w:rPr>
          <w:i/>
          <w:iCs/>
        </w:rPr>
        <w:t>Academy of Management Perspectives</w:t>
      </w:r>
      <w:r w:rsidRPr="00EF2A33">
        <w:t>, </w:t>
      </w:r>
      <w:r w:rsidRPr="00EF2A33">
        <w:rPr>
          <w:i/>
          <w:iCs/>
        </w:rPr>
        <w:t>34</w:t>
      </w:r>
      <w:r w:rsidRPr="00EF2A33">
        <w:t>(2), 226-239.</w:t>
      </w:r>
    </w:p>
    <w:p w14:paraId="4D2E08B8" w14:textId="77777777" w:rsidR="005537D3" w:rsidRPr="00EF2A33" w:rsidRDefault="005537D3" w:rsidP="009C16B5">
      <w:pPr>
        <w:spacing w:after="0"/>
        <w:ind w:left="720" w:hanging="720"/>
        <w:rPr>
          <w:lang w:val="en-GB"/>
        </w:rPr>
      </w:pPr>
      <w:r w:rsidRPr="00EF2A33">
        <w:rPr>
          <w:lang w:val="en-GB"/>
        </w:rPr>
        <w:lastRenderedPageBreak/>
        <w:t>Pathak, M., &amp; Chandani, A. (2023). Board composition, executive compensation, and financial performance: panel evidence from India. </w:t>
      </w:r>
      <w:r w:rsidRPr="00EF2A33">
        <w:rPr>
          <w:i/>
          <w:iCs/>
          <w:lang w:val="en-GB"/>
        </w:rPr>
        <w:t>International Journal of Disclosure and Governance</w:t>
      </w:r>
      <w:r w:rsidRPr="00EF2A33">
        <w:rPr>
          <w:lang w:val="en-GB"/>
        </w:rPr>
        <w:t>, </w:t>
      </w:r>
      <w:r w:rsidRPr="00EF2A33">
        <w:rPr>
          <w:i/>
          <w:iCs/>
          <w:lang w:val="en-GB"/>
        </w:rPr>
        <w:t>20</w:t>
      </w:r>
      <w:r w:rsidRPr="00EF2A33">
        <w:rPr>
          <w:lang w:val="en-GB"/>
        </w:rPr>
        <w:t>(4), 359-373.</w:t>
      </w:r>
    </w:p>
    <w:p w14:paraId="697001BC" w14:textId="77777777" w:rsidR="003E652E" w:rsidRPr="00EF2A33" w:rsidRDefault="003E652E" w:rsidP="009C16B5">
      <w:pPr>
        <w:spacing w:after="0"/>
        <w:ind w:left="720" w:hanging="720"/>
        <w:rPr>
          <w:lang w:val="en-GB"/>
        </w:rPr>
      </w:pPr>
      <w:r w:rsidRPr="00EF2A33">
        <w:rPr>
          <w:lang w:val="en-GB"/>
        </w:rPr>
        <w:t xml:space="preserve">Pintea, M. O., and M.T. Fulop, (2015). Literature review on corporate governance-firm performance relationship. </w:t>
      </w:r>
      <w:r w:rsidRPr="00EF2A33">
        <w:rPr>
          <w:i/>
          <w:iCs/>
          <w:lang w:val="en-GB"/>
        </w:rPr>
        <w:t>Annals of Faculty of Economics</w:t>
      </w:r>
      <w:r w:rsidRPr="00EF2A33">
        <w:rPr>
          <w:lang w:val="en-GB"/>
        </w:rPr>
        <w:t xml:space="preserve"> 1 (1): 846-54.</w:t>
      </w:r>
    </w:p>
    <w:p w14:paraId="08FF73EC" w14:textId="77777777" w:rsidR="003E652E" w:rsidRPr="00EF2A33" w:rsidRDefault="003E652E" w:rsidP="009C16B5">
      <w:pPr>
        <w:spacing w:after="0"/>
        <w:ind w:left="720" w:hanging="720"/>
      </w:pPr>
      <w:r w:rsidRPr="00EF2A33">
        <w:rPr>
          <w:lang w:val="en-GB"/>
        </w:rPr>
        <w:t xml:space="preserve">Rahman, M. M., &amp; Saima, F. N. (2018). </w:t>
      </w:r>
      <w:r w:rsidRPr="00EF2A33">
        <w:t>Efficiency of board composition on firm performance: Empirical evidence from listed manufacturing firms of Bangladesh. </w:t>
      </w:r>
      <w:r w:rsidRPr="00EF2A33">
        <w:rPr>
          <w:i/>
          <w:iCs/>
        </w:rPr>
        <w:t>The Journal of Asian Finance, Economics and Business</w:t>
      </w:r>
      <w:r w:rsidRPr="00EF2A33">
        <w:t>, </w:t>
      </w:r>
      <w:r w:rsidRPr="00EF2A33">
        <w:rPr>
          <w:i/>
          <w:iCs/>
        </w:rPr>
        <w:t>5</w:t>
      </w:r>
      <w:r w:rsidRPr="00EF2A33">
        <w:t xml:space="preserve">(2), 53-61. </w:t>
      </w:r>
    </w:p>
    <w:p w14:paraId="4B0EEA6B" w14:textId="77777777" w:rsidR="003E652E" w:rsidRPr="00EF2A33" w:rsidRDefault="003E652E" w:rsidP="009C16B5">
      <w:pPr>
        <w:spacing w:after="0"/>
        <w:ind w:left="720" w:hanging="720"/>
        <w:rPr>
          <w:lang w:val="en-GB"/>
        </w:rPr>
      </w:pPr>
      <w:bookmarkStart w:id="84" w:name="_bookmark75"/>
      <w:bookmarkStart w:id="85" w:name="_bookmark76"/>
      <w:bookmarkStart w:id="86" w:name="_bookmark77"/>
      <w:bookmarkEnd w:id="84"/>
      <w:bookmarkEnd w:id="85"/>
      <w:bookmarkEnd w:id="86"/>
      <w:r w:rsidRPr="00EF2A33">
        <w:t>Rashid, A. (2018). Board independence and firm performance: Evidence from Bangladesh. </w:t>
      </w:r>
      <w:r w:rsidRPr="00EF2A33">
        <w:rPr>
          <w:i/>
          <w:iCs/>
        </w:rPr>
        <w:t>Future Business Journal</w:t>
      </w:r>
      <w:r w:rsidRPr="00EF2A33">
        <w:t>, </w:t>
      </w:r>
      <w:r w:rsidRPr="00EF2A33">
        <w:rPr>
          <w:i/>
          <w:iCs/>
        </w:rPr>
        <w:t>4</w:t>
      </w:r>
      <w:r w:rsidRPr="00EF2A33">
        <w:t>(1), 34-49.</w:t>
      </w:r>
    </w:p>
    <w:p w14:paraId="1643E1DE" w14:textId="77777777" w:rsidR="003E652E" w:rsidRPr="00EF2A33" w:rsidRDefault="003E652E" w:rsidP="009C16B5">
      <w:pPr>
        <w:spacing w:after="0"/>
        <w:ind w:left="720" w:hanging="720"/>
        <w:rPr>
          <w:lang w:val="en-GB"/>
        </w:rPr>
      </w:pPr>
      <w:r w:rsidRPr="00EF2A33">
        <w:t>Rashid, M. M. (2018). What causes abrupt and massive change in the top management of a successful entity in an emerging economy. </w:t>
      </w:r>
      <w:r w:rsidRPr="00EF2A33">
        <w:rPr>
          <w:i/>
          <w:iCs/>
        </w:rPr>
        <w:t>International Journal of Managerial and Financial Accounting</w:t>
      </w:r>
      <w:r w:rsidRPr="00EF2A33">
        <w:t>, </w:t>
      </w:r>
      <w:r w:rsidRPr="00EF2A33">
        <w:rPr>
          <w:i/>
          <w:iCs/>
        </w:rPr>
        <w:t>10</w:t>
      </w:r>
      <w:r w:rsidRPr="00EF2A33">
        <w:t>(2), 105-127.</w:t>
      </w:r>
      <w:r w:rsidRPr="00EF2A33">
        <w:rPr>
          <w:lang w:val="en-GB"/>
        </w:rPr>
        <w:t xml:space="preserve"> </w:t>
      </w:r>
    </w:p>
    <w:p w14:paraId="453CB0B4" w14:textId="77777777" w:rsidR="003E652E" w:rsidRPr="00EF2A33" w:rsidRDefault="003E652E" w:rsidP="009C16B5">
      <w:pPr>
        <w:spacing w:after="0"/>
        <w:ind w:left="720" w:hanging="720"/>
        <w:rPr>
          <w:lang w:val="en-GB"/>
        </w:rPr>
      </w:pPr>
      <w:r w:rsidRPr="00EF2A33">
        <w:t>Rashid, M. M. (2020). Ownership structure and firm performance: the mediating role of board characteristics. </w:t>
      </w:r>
      <w:r w:rsidRPr="00EF2A33">
        <w:rPr>
          <w:i/>
          <w:iCs/>
        </w:rPr>
        <w:t>Corporate Governance: The International Journal of Business in Society</w:t>
      </w:r>
      <w:r w:rsidRPr="00EF2A33">
        <w:t>, </w:t>
      </w:r>
      <w:r w:rsidRPr="00EF2A33">
        <w:rPr>
          <w:i/>
          <w:iCs/>
        </w:rPr>
        <w:t>20</w:t>
      </w:r>
      <w:r w:rsidRPr="00EF2A33">
        <w:t>(4), 719-737.</w:t>
      </w:r>
      <w:r w:rsidRPr="00EF2A33">
        <w:rPr>
          <w:lang w:val="en-GB"/>
        </w:rPr>
        <w:t xml:space="preserve"> </w:t>
      </w:r>
    </w:p>
    <w:p w14:paraId="4453C5ED" w14:textId="77777777" w:rsidR="003E652E" w:rsidRPr="00EF2A33" w:rsidRDefault="003E652E" w:rsidP="009C16B5">
      <w:pPr>
        <w:spacing w:after="0"/>
        <w:ind w:left="720" w:hanging="720"/>
        <w:rPr>
          <w:lang w:val="en-GB"/>
        </w:rPr>
      </w:pPr>
      <w:bookmarkStart w:id="87" w:name="_bookmark78"/>
      <w:bookmarkEnd w:id="87"/>
      <w:r w:rsidRPr="00EF2A33">
        <w:t>Rouf, M. A., &amp; Hossain, M. S. (2018). Ownership distribution and value of the banks in Bangladesh. </w:t>
      </w:r>
      <w:r w:rsidRPr="00EF2A33">
        <w:rPr>
          <w:i/>
          <w:iCs/>
        </w:rPr>
        <w:t>International Journal of Managerial and Financial Accounting</w:t>
      </w:r>
      <w:r w:rsidRPr="00EF2A33">
        <w:t>, </w:t>
      </w:r>
      <w:r w:rsidRPr="00EF2A33">
        <w:rPr>
          <w:i/>
          <w:iCs/>
        </w:rPr>
        <w:t>10</w:t>
      </w:r>
      <w:r w:rsidRPr="00EF2A33">
        <w:t>(4), 378-390.</w:t>
      </w:r>
      <w:r w:rsidRPr="00EF2A33">
        <w:rPr>
          <w:lang w:val="en-GB"/>
        </w:rPr>
        <w:t xml:space="preserve"> </w:t>
      </w:r>
    </w:p>
    <w:p w14:paraId="5CDCFB73" w14:textId="77777777" w:rsidR="003E652E" w:rsidRPr="00EF2A33" w:rsidRDefault="003E652E" w:rsidP="009C16B5">
      <w:pPr>
        <w:spacing w:after="0"/>
        <w:ind w:left="720" w:hanging="720"/>
        <w:rPr>
          <w:lang w:val="en-GB"/>
        </w:rPr>
      </w:pPr>
      <w:bookmarkStart w:id="88" w:name="_bookmark79"/>
      <w:bookmarkEnd w:id="88"/>
      <w:proofErr w:type="spellStart"/>
      <w:r w:rsidRPr="00EF2A33">
        <w:t>Ruigrok</w:t>
      </w:r>
      <w:proofErr w:type="spellEnd"/>
      <w:r w:rsidRPr="00EF2A33">
        <w:t xml:space="preserve">, W., Peck, S., </w:t>
      </w:r>
      <w:proofErr w:type="spellStart"/>
      <w:r w:rsidRPr="00EF2A33">
        <w:t>Tacheva</w:t>
      </w:r>
      <w:proofErr w:type="spellEnd"/>
      <w:r w:rsidRPr="00EF2A33">
        <w:t>, S., Greve, P., &amp; Hu, Y. (2006). The determinants and effects of board nomination committees. </w:t>
      </w:r>
      <w:r w:rsidRPr="00EF2A33">
        <w:rPr>
          <w:i/>
          <w:iCs/>
        </w:rPr>
        <w:t>Journal of Management &amp; Governance</w:t>
      </w:r>
      <w:r w:rsidRPr="00EF2A33">
        <w:t>, </w:t>
      </w:r>
      <w:r w:rsidRPr="00EF2A33">
        <w:rPr>
          <w:i/>
          <w:iCs/>
        </w:rPr>
        <w:t>10</w:t>
      </w:r>
      <w:r w:rsidRPr="00EF2A33">
        <w:t>, 119-148.</w:t>
      </w:r>
      <w:r w:rsidRPr="00EF2A33">
        <w:rPr>
          <w:lang w:val="en-GB"/>
        </w:rPr>
        <w:t xml:space="preserve"> </w:t>
      </w:r>
    </w:p>
    <w:p w14:paraId="24A74944" w14:textId="77777777" w:rsidR="003E652E" w:rsidRPr="00EF2A33" w:rsidRDefault="003E652E" w:rsidP="009C16B5">
      <w:pPr>
        <w:spacing w:after="0"/>
        <w:ind w:left="720" w:hanging="720"/>
        <w:rPr>
          <w:lang w:val="en-GB"/>
        </w:rPr>
      </w:pPr>
      <w:r w:rsidRPr="00EF2A33">
        <w:t>Saha, A. K. (2019). Relationship between corporate social responsibility performance and disclosures: commercial banks of Bangladesh. </w:t>
      </w:r>
      <w:r w:rsidRPr="00EF2A33">
        <w:rPr>
          <w:i/>
          <w:iCs/>
        </w:rPr>
        <w:t>Social Responsibility Journal</w:t>
      </w:r>
      <w:r w:rsidRPr="00EF2A33">
        <w:t>, </w:t>
      </w:r>
      <w:r w:rsidRPr="00EF2A33">
        <w:rPr>
          <w:i/>
          <w:iCs/>
        </w:rPr>
        <w:t>15</w:t>
      </w:r>
      <w:r w:rsidRPr="00EF2A33">
        <w:t>(4), 451-468.</w:t>
      </w:r>
      <w:r w:rsidRPr="00EF2A33">
        <w:rPr>
          <w:lang w:val="en-GB"/>
        </w:rPr>
        <w:t xml:space="preserve"> </w:t>
      </w:r>
    </w:p>
    <w:p w14:paraId="40B26B0D" w14:textId="77777777" w:rsidR="003E652E" w:rsidRPr="00EF2A33" w:rsidRDefault="003E652E" w:rsidP="009C16B5">
      <w:pPr>
        <w:spacing w:after="0"/>
        <w:ind w:left="720" w:hanging="720"/>
        <w:rPr>
          <w:lang w:val="en-GB"/>
        </w:rPr>
      </w:pPr>
      <w:bookmarkStart w:id="89" w:name="_bookmark80"/>
      <w:bookmarkStart w:id="90" w:name="_bookmark81"/>
      <w:bookmarkStart w:id="91" w:name="_bookmark82"/>
      <w:bookmarkEnd w:id="89"/>
      <w:bookmarkEnd w:id="90"/>
      <w:bookmarkEnd w:id="91"/>
      <w:r w:rsidRPr="00EF2A33">
        <w:rPr>
          <w:lang w:val="en-GB"/>
        </w:rPr>
        <w:t>Saha, A.K. and Khan, I. (2024a). Sustainable Prosperity: Unravelling the Nordic Nexus of ESG, Financial Performance, and Corporate Governance, </w:t>
      </w:r>
      <w:r w:rsidRPr="00EF2A33">
        <w:rPr>
          <w:i/>
          <w:iCs/>
          <w:lang w:val="en-GB"/>
        </w:rPr>
        <w:t xml:space="preserve">European Business Review, </w:t>
      </w:r>
      <w:r w:rsidRPr="00EF2A33">
        <w:rPr>
          <w:i/>
          <w:lang w:val="en-GB"/>
        </w:rPr>
        <w:t>00</w:t>
      </w:r>
      <w:r w:rsidRPr="00EF2A33">
        <w:rPr>
          <w:lang w:val="en-GB"/>
        </w:rPr>
        <w:t>(0), 00-00.</w:t>
      </w:r>
    </w:p>
    <w:p w14:paraId="17C1B827" w14:textId="77777777" w:rsidR="003E652E" w:rsidRPr="00EF2A33" w:rsidRDefault="003E652E" w:rsidP="009C16B5">
      <w:pPr>
        <w:spacing w:after="0"/>
        <w:ind w:left="720" w:hanging="720"/>
        <w:rPr>
          <w:lang w:val="en-GB"/>
        </w:rPr>
      </w:pPr>
      <w:r w:rsidRPr="00EF2A33">
        <w:t xml:space="preserve">Saha, A.K. and Khan, I. (2024b). </w:t>
      </w:r>
      <w:r w:rsidRPr="00EF2A33">
        <w:rPr>
          <w:shd w:val="clear" w:color="auto" w:fill="FFFFFF"/>
        </w:rPr>
        <w:t>Regulatory influence, board characteristics and climate change disclosures: Evidence from environmentally sensitive firms in developing economy context</w:t>
      </w:r>
      <w:r w:rsidRPr="00EF2A33">
        <w:t>, </w:t>
      </w:r>
      <w:r w:rsidRPr="00EF2A33">
        <w:rPr>
          <w:i/>
          <w:iCs/>
          <w:lang w:val="en-GB"/>
        </w:rPr>
        <w:t>Corporate Governance: The International Journal of Business in Society</w:t>
      </w:r>
      <w:r w:rsidRPr="00EF2A33">
        <w:rPr>
          <w:i/>
          <w:iCs/>
        </w:rPr>
        <w:t xml:space="preserve">, </w:t>
      </w:r>
      <w:r w:rsidRPr="00EF2A33">
        <w:rPr>
          <w:i/>
          <w:lang w:val="en-GB"/>
        </w:rPr>
        <w:t>00</w:t>
      </w:r>
      <w:r w:rsidRPr="00EF2A33">
        <w:rPr>
          <w:lang w:val="en-GB"/>
        </w:rPr>
        <w:t>(0), 00-00.</w:t>
      </w:r>
    </w:p>
    <w:p w14:paraId="7DC26F41" w14:textId="77777777" w:rsidR="003E652E" w:rsidRPr="00EF2A33" w:rsidRDefault="003E652E" w:rsidP="009C16B5">
      <w:pPr>
        <w:spacing w:after="0"/>
        <w:ind w:left="720" w:hanging="720"/>
        <w:rPr>
          <w:lang w:val="en-GB"/>
        </w:rPr>
      </w:pPr>
      <w:proofErr w:type="spellStart"/>
      <w:r w:rsidRPr="00EF2A33">
        <w:t>Schnatterly</w:t>
      </w:r>
      <w:proofErr w:type="spellEnd"/>
      <w:r w:rsidRPr="00EF2A33">
        <w:t>, K., Shaw, K. W., &amp; Jennings, W. W. (2008). Information advantages of large institutional owners. </w:t>
      </w:r>
      <w:r w:rsidRPr="00EF2A33">
        <w:rPr>
          <w:i/>
          <w:iCs/>
        </w:rPr>
        <w:t>Strategic Management Journal</w:t>
      </w:r>
      <w:r w:rsidRPr="00EF2A33">
        <w:t>, </w:t>
      </w:r>
      <w:r w:rsidRPr="00EF2A33">
        <w:rPr>
          <w:i/>
          <w:iCs/>
        </w:rPr>
        <w:t>29</w:t>
      </w:r>
      <w:r w:rsidRPr="00EF2A33">
        <w:t>(2), 219-227.</w:t>
      </w:r>
      <w:r w:rsidRPr="00EF2A33">
        <w:rPr>
          <w:lang w:val="en-GB"/>
        </w:rPr>
        <w:t xml:space="preserve"> </w:t>
      </w:r>
    </w:p>
    <w:p w14:paraId="27330E92" w14:textId="77777777" w:rsidR="003E652E" w:rsidRPr="00EF2A33" w:rsidRDefault="003E652E" w:rsidP="009C16B5">
      <w:pPr>
        <w:spacing w:after="0"/>
        <w:ind w:left="720" w:hanging="720"/>
        <w:rPr>
          <w:lang w:val="en-GB"/>
        </w:rPr>
      </w:pPr>
      <w:r w:rsidRPr="00EF2A33">
        <w:rPr>
          <w:lang w:val="en-GB"/>
        </w:rPr>
        <w:lastRenderedPageBreak/>
        <w:t xml:space="preserve">Securities and Exchange Commission. (2012). Notification. </w:t>
      </w:r>
      <w:hyperlink r:id="rId14" w:history="1">
        <w:r w:rsidRPr="00EF2A33">
          <w:rPr>
            <w:rStyle w:val="Hyperlink"/>
            <w:color w:val="auto"/>
            <w:lang w:val="en-GB"/>
          </w:rPr>
          <w:t>https://www.sec.gov.bd/slaws/</w:t>
        </w:r>
      </w:hyperlink>
      <w:r w:rsidRPr="00EF2A33">
        <w:rPr>
          <w:lang w:val="en-GB"/>
        </w:rPr>
        <w:t xml:space="preserve"> Notification_on_CG-07.8.12-Amended.pdf (accessed 15 March 2023).</w:t>
      </w:r>
    </w:p>
    <w:p w14:paraId="6CC2B78D" w14:textId="77777777" w:rsidR="003E652E" w:rsidRPr="00EF2A33" w:rsidRDefault="003E652E" w:rsidP="009C16B5">
      <w:pPr>
        <w:spacing w:after="0"/>
        <w:ind w:left="720" w:hanging="720"/>
        <w:rPr>
          <w:lang w:val="en-GB"/>
        </w:rPr>
      </w:pPr>
      <w:bookmarkStart w:id="92" w:name="_bookmark83"/>
      <w:bookmarkEnd w:id="92"/>
      <w:r w:rsidRPr="00EF2A33">
        <w:rPr>
          <w:lang w:val="de-DE"/>
        </w:rPr>
        <w:t xml:space="preserve">Sehrawat, N. K., Singh, S., &amp; Kumar, A. (2020). </w:t>
      </w:r>
      <w:r w:rsidRPr="00EF2A33">
        <w:t>Does corporate governance affect financial performance of firms? A large sample evidence from India. </w:t>
      </w:r>
      <w:r w:rsidRPr="00EF2A33">
        <w:rPr>
          <w:i/>
          <w:iCs/>
        </w:rPr>
        <w:t>Business Strategy &amp; Development</w:t>
      </w:r>
      <w:r w:rsidRPr="00EF2A33">
        <w:t>, </w:t>
      </w:r>
      <w:r w:rsidRPr="00EF2A33">
        <w:rPr>
          <w:i/>
          <w:iCs/>
        </w:rPr>
        <w:t>3</w:t>
      </w:r>
      <w:r w:rsidRPr="00EF2A33">
        <w:t>(4), 615-625.</w:t>
      </w:r>
      <w:r w:rsidRPr="00EF2A33">
        <w:rPr>
          <w:lang w:val="en-GB"/>
        </w:rPr>
        <w:t xml:space="preserve"> </w:t>
      </w:r>
    </w:p>
    <w:p w14:paraId="05088520" w14:textId="77777777" w:rsidR="003E652E" w:rsidRPr="00EF2A33" w:rsidRDefault="003E652E" w:rsidP="009C16B5">
      <w:pPr>
        <w:spacing w:after="0"/>
        <w:ind w:left="720" w:hanging="720"/>
        <w:rPr>
          <w:lang w:val="en-GB"/>
        </w:rPr>
      </w:pPr>
      <w:r w:rsidRPr="00EF2A33">
        <w:rPr>
          <w:lang w:val="en-GB"/>
        </w:rPr>
        <w:t xml:space="preserve">Shleifer, A., &amp; </w:t>
      </w:r>
      <w:proofErr w:type="spellStart"/>
      <w:r w:rsidRPr="00EF2A33">
        <w:rPr>
          <w:lang w:val="en-GB"/>
        </w:rPr>
        <w:t>Vishny</w:t>
      </w:r>
      <w:proofErr w:type="spellEnd"/>
      <w:r w:rsidRPr="00EF2A33">
        <w:rPr>
          <w:lang w:val="en-GB"/>
        </w:rPr>
        <w:t xml:space="preserve">, R. W. (1997). </w:t>
      </w:r>
      <w:r w:rsidRPr="00EF2A33">
        <w:t>A survey of corporate governance. </w:t>
      </w:r>
      <w:r w:rsidRPr="00EF2A33">
        <w:rPr>
          <w:i/>
          <w:iCs/>
        </w:rPr>
        <w:t>The journal of finance</w:t>
      </w:r>
      <w:r w:rsidRPr="00EF2A33">
        <w:t>, </w:t>
      </w:r>
      <w:r w:rsidRPr="00EF2A33">
        <w:rPr>
          <w:i/>
          <w:iCs/>
        </w:rPr>
        <w:t>52</w:t>
      </w:r>
      <w:r w:rsidRPr="00EF2A33">
        <w:t>(2), 737-783.</w:t>
      </w:r>
      <w:r w:rsidRPr="00EF2A33">
        <w:rPr>
          <w:lang w:val="en-GB"/>
        </w:rPr>
        <w:t xml:space="preserve"> </w:t>
      </w:r>
    </w:p>
    <w:p w14:paraId="32E7DB7E" w14:textId="77777777" w:rsidR="003E652E" w:rsidRPr="00EF2A33" w:rsidRDefault="003E652E" w:rsidP="009C16B5">
      <w:pPr>
        <w:spacing w:after="0"/>
        <w:ind w:left="720" w:hanging="720"/>
        <w:rPr>
          <w:lang w:val="en-GB"/>
        </w:rPr>
      </w:pPr>
      <w:r w:rsidRPr="00EF2A33">
        <w:t>Sobhan, R. (2021). Board Characteristics and Firm Performance: Evidence from the Listed Non-Banking Financial Institutions of Bangladesh. </w:t>
      </w:r>
      <w:r w:rsidRPr="00EF2A33">
        <w:rPr>
          <w:i/>
          <w:iCs/>
        </w:rPr>
        <w:t>International Journal of Management, Accounting &amp; Economics</w:t>
      </w:r>
      <w:r w:rsidRPr="00EF2A33">
        <w:t>, </w:t>
      </w:r>
      <w:r w:rsidRPr="00EF2A33">
        <w:rPr>
          <w:i/>
          <w:iCs/>
        </w:rPr>
        <w:t>8</w:t>
      </w:r>
      <w:r w:rsidRPr="00EF2A33">
        <w:t>(1).</w:t>
      </w:r>
      <w:r w:rsidRPr="00EF2A33">
        <w:rPr>
          <w:lang w:val="en-GB"/>
        </w:rPr>
        <w:t xml:space="preserve"> </w:t>
      </w:r>
    </w:p>
    <w:p w14:paraId="03DC3377" w14:textId="77777777" w:rsidR="003E652E" w:rsidRPr="00EF2A33" w:rsidRDefault="003E652E" w:rsidP="009C16B5">
      <w:pPr>
        <w:spacing w:after="0"/>
        <w:ind w:left="720" w:hanging="720"/>
        <w:rPr>
          <w:lang w:val="en-GB" w:bidi="bn-BD"/>
        </w:rPr>
      </w:pPr>
      <w:r w:rsidRPr="00EF2A33">
        <w:rPr>
          <w:lang w:val="en-GB" w:bidi="bn-BD"/>
        </w:rPr>
        <w:t xml:space="preserve">Tabachnick, B. G., </w:t>
      </w:r>
      <w:r w:rsidRPr="00EF2A33">
        <w:rPr>
          <w:lang w:val="en-GB"/>
        </w:rPr>
        <w:t>&amp;</w:t>
      </w:r>
      <w:r w:rsidRPr="00EF2A33">
        <w:rPr>
          <w:lang w:val="en-GB" w:bidi="bn-BD"/>
        </w:rPr>
        <w:t xml:space="preserve"> Fidell, L. S. (2001). </w:t>
      </w:r>
      <w:r w:rsidRPr="00EF2A33">
        <w:rPr>
          <w:i/>
          <w:iCs/>
          <w:lang w:val="en-GB" w:bidi="bn-BD"/>
        </w:rPr>
        <w:t>Using Multivariate Statistics</w:t>
      </w:r>
      <w:r w:rsidRPr="00EF2A33">
        <w:rPr>
          <w:lang w:val="en-GB" w:bidi="bn-BD"/>
        </w:rPr>
        <w:t xml:space="preserve">, </w:t>
      </w:r>
      <w:r w:rsidRPr="00EF2A33">
        <w:rPr>
          <w:shd w:val="clear" w:color="auto" w:fill="FFFFFF"/>
          <w:lang w:val="en-GB"/>
        </w:rPr>
        <w:t>Allyn and Bacon</w:t>
      </w:r>
      <w:r w:rsidRPr="00EF2A33">
        <w:rPr>
          <w:lang w:val="en-GB" w:bidi="bn-BD"/>
        </w:rPr>
        <w:t>.</w:t>
      </w:r>
    </w:p>
    <w:p w14:paraId="31AF02AB" w14:textId="77777777" w:rsidR="003E652E" w:rsidRPr="00EF2A33" w:rsidRDefault="003E652E" w:rsidP="009C16B5">
      <w:pPr>
        <w:spacing w:after="0"/>
        <w:ind w:left="720" w:hanging="720"/>
        <w:rPr>
          <w:lang w:val="en-GB"/>
        </w:rPr>
      </w:pPr>
      <w:proofErr w:type="spellStart"/>
      <w:r w:rsidRPr="00EF2A33">
        <w:rPr>
          <w:lang w:val="en-GB"/>
        </w:rPr>
        <w:t>Tacheva</w:t>
      </w:r>
      <w:proofErr w:type="spellEnd"/>
      <w:r w:rsidRPr="00EF2A33">
        <w:rPr>
          <w:lang w:val="en-GB"/>
        </w:rPr>
        <w:t>, S., &amp; Huse, M. (2006, May). Women directors and board task performance: Mediating and moderating effects of board working style. In </w:t>
      </w:r>
      <w:r w:rsidRPr="00EF2A33">
        <w:rPr>
          <w:i/>
          <w:iCs/>
          <w:lang w:val="en-GB"/>
        </w:rPr>
        <w:t>European Academy of Management Conference</w:t>
      </w:r>
      <w:r w:rsidRPr="00EF2A33">
        <w:rPr>
          <w:lang w:val="en-GB"/>
        </w:rPr>
        <w:t> (pp. 17-20).</w:t>
      </w:r>
    </w:p>
    <w:p w14:paraId="22063AEE" w14:textId="77777777" w:rsidR="003E652E" w:rsidRPr="00EF2A33" w:rsidRDefault="003E652E" w:rsidP="009C16B5">
      <w:pPr>
        <w:spacing w:after="0"/>
        <w:ind w:left="720" w:hanging="720"/>
      </w:pPr>
      <w:r w:rsidRPr="00EF2A33">
        <w:t>Tai, Y. H., &amp; Hwang, N. C. R. (2020). Market reactions to corporate governance ranking announcements: Evidence from Taiwan. </w:t>
      </w:r>
      <w:r w:rsidRPr="00EF2A33">
        <w:rPr>
          <w:i/>
          <w:iCs/>
        </w:rPr>
        <w:t>Abacus</w:t>
      </w:r>
      <w:r w:rsidRPr="00EF2A33">
        <w:t>, </w:t>
      </w:r>
      <w:r w:rsidRPr="00EF2A33">
        <w:rPr>
          <w:i/>
          <w:iCs/>
        </w:rPr>
        <w:t>56</w:t>
      </w:r>
      <w:r w:rsidRPr="00EF2A33">
        <w:t>(4), 627-648.</w:t>
      </w:r>
    </w:p>
    <w:p w14:paraId="640F8A03" w14:textId="77777777" w:rsidR="003E652E" w:rsidRPr="00EF2A33" w:rsidRDefault="003E652E" w:rsidP="009C16B5">
      <w:pPr>
        <w:spacing w:after="0"/>
        <w:ind w:left="720" w:hanging="720"/>
        <w:rPr>
          <w:lang w:val="en-GB"/>
        </w:rPr>
      </w:pPr>
      <w:bookmarkStart w:id="93" w:name="_bookmark84"/>
      <w:bookmarkStart w:id="94" w:name="_bookmark85"/>
      <w:bookmarkEnd w:id="93"/>
      <w:bookmarkEnd w:id="94"/>
      <w:r w:rsidRPr="00EF2A33">
        <w:t>Tam, O. K., &amp; Tan, M. G. S. (2007). Ownership, governance and firm performance in Malaysia. </w:t>
      </w:r>
      <w:r w:rsidRPr="00EF2A33">
        <w:rPr>
          <w:i/>
          <w:iCs/>
        </w:rPr>
        <w:t>Corporate Governance: An International Review</w:t>
      </w:r>
      <w:r w:rsidRPr="00EF2A33">
        <w:t>, </w:t>
      </w:r>
      <w:r w:rsidRPr="00EF2A33">
        <w:rPr>
          <w:i/>
          <w:iCs/>
        </w:rPr>
        <w:t>15</w:t>
      </w:r>
      <w:r w:rsidRPr="00EF2A33">
        <w:t>(2), 208-222.</w:t>
      </w:r>
      <w:r w:rsidRPr="00EF2A33">
        <w:rPr>
          <w:lang w:val="en-GB"/>
        </w:rPr>
        <w:t xml:space="preserve"> </w:t>
      </w:r>
    </w:p>
    <w:p w14:paraId="432E6EDB" w14:textId="77777777" w:rsidR="003E652E" w:rsidRPr="00EF2A33" w:rsidRDefault="003E652E" w:rsidP="009C16B5">
      <w:pPr>
        <w:spacing w:after="0"/>
        <w:ind w:left="720" w:hanging="720"/>
        <w:rPr>
          <w:lang w:val="en-GB"/>
        </w:rPr>
      </w:pPr>
      <w:r w:rsidRPr="00EF2A33">
        <w:t>Terjesen, S., Couto, E. B., &amp; Francisco, P. M. (2016). Does the presence of independent and female directors impact firm performance? A multi-country study of board diversity. </w:t>
      </w:r>
      <w:r w:rsidRPr="00EF2A33">
        <w:rPr>
          <w:i/>
          <w:iCs/>
        </w:rPr>
        <w:t>Journal of Management &amp; Governance</w:t>
      </w:r>
      <w:r w:rsidRPr="00EF2A33">
        <w:t>, </w:t>
      </w:r>
      <w:r w:rsidRPr="00EF2A33">
        <w:rPr>
          <w:i/>
          <w:iCs/>
        </w:rPr>
        <w:t>20</w:t>
      </w:r>
      <w:r w:rsidRPr="00EF2A33">
        <w:t>, 447-483.</w:t>
      </w:r>
      <w:r w:rsidRPr="00EF2A33">
        <w:rPr>
          <w:lang w:val="en-GB"/>
        </w:rPr>
        <w:t xml:space="preserve"> </w:t>
      </w:r>
    </w:p>
    <w:p w14:paraId="675F9243" w14:textId="77777777" w:rsidR="003E652E" w:rsidRPr="00EF2A33" w:rsidRDefault="003E652E" w:rsidP="009C16B5">
      <w:pPr>
        <w:spacing w:after="0"/>
        <w:ind w:left="720" w:hanging="720"/>
        <w:rPr>
          <w:lang w:val="en-GB"/>
        </w:rPr>
      </w:pPr>
      <w:r w:rsidRPr="00EF2A33">
        <w:rPr>
          <w:noProof/>
          <w:lang w:val="en-GB"/>
        </w:rPr>
        <w:t xml:space="preserve">Terjesen, S., Sealy, R., </w:t>
      </w:r>
      <w:r w:rsidRPr="00EF2A33">
        <w:rPr>
          <w:lang w:val="en-GB"/>
        </w:rPr>
        <w:t xml:space="preserve">&amp; </w:t>
      </w:r>
      <w:r w:rsidRPr="00EF2A33">
        <w:rPr>
          <w:noProof/>
          <w:lang w:val="en-GB"/>
        </w:rPr>
        <w:t xml:space="preserve">Singh, V. (2009). Women directors on corporate boards: A review and research agenda. </w:t>
      </w:r>
      <w:r w:rsidRPr="00EF2A33">
        <w:rPr>
          <w:i/>
          <w:iCs/>
          <w:noProof/>
          <w:lang w:val="en-GB"/>
        </w:rPr>
        <w:t>Corporate Governance: An International Review</w:t>
      </w:r>
      <w:r w:rsidRPr="00EF2A33">
        <w:rPr>
          <w:noProof/>
          <w:lang w:val="en-GB"/>
        </w:rPr>
        <w:t>,</w:t>
      </w:r>
      <w:r w:rsidRPr="00EF2A33">
        <w:rPr>
          <w:i/>
          <w:iCs/>
          <w:noProof/>
          <w:lang w:val="en-GB"/>
        </w:rPr>
        <w:t xml:space="preserve"> 17</w:t>
      </w:r>
      <w:r w:rsidRPr="00EF2A33">
        <w:rPr>
          <w:noProof/>
          <w:lang w:val="en-GB"/>
        </w:rPr>
        <w:t>(3), 320–337.</w:t>
      </w:r>
    </w:p>
    <w:p w14:paraId="587AF1D9" w14:textId="77777777" w:rsidR="003E652E" w:rsidRPr="00EF2A33" w:rsidRDefault="003E652E" w:rsidP="009C16B5">
      <w:pPr>
        <w:spacing w:after="0"/>
        <w:ind w:left="720" w:hanging="720"/>
        <w:rPr>
          <w:lang w:val="en-GB"/>
        </w:rPr>
      </w:pPr>
      <w:bookmarkStart w:id="95" w:name="_bookmark86"/>
      <w:bookmarkEnd w:id="95"/>
      <w:proofErr w:type="spellStart"/>
      <w:r w:rsidRPr="00EF2A33">
        <w:rPr>
          <w:lang w:val="en-GB"/>
        </w:rPr>
        <w:t>Ujunwa</w:t>
      </w:r>
      <w:proofErr w:type="spellEnd"/>
      <w:r w:rsidRPr="00EF2A33">
        <w:rPr>
          <w:lang w:val="en-GB"/>
        </w:rPr>
        <w:t>, A. (2012). Board characteristics and the financial performance of Nigerian quoted firms. </w:t>
      </w:r>
      <w:r w:rsidRPr="00EF2A33">
        <w:rPr>
          <w:i/>
          <w:iCs/>
          <w:lang w:val="en-GB"/>
        </w:rPr>
        <w:t>Corporate Governance: The international journal of business in society</w:t>
      </w:r>
      <w:r w:rsidRPr="00EF2A33">
        <w:rPr>
          <w:lang w:val="en-GB"/>
        </w:rPr>
        <w:t>, </w:t>
      </w:r>
      <w:r w:rsidRPr="00EF2A33">
        <w:rPr>
          <w:i/>
          <w:iCs/>
          <w:lang w:val="en-GB"/>
        </w:rPr>
        <w:t>12</w:t>
      </w:r>
      <w:r w:rsidRPr="00EF2A33">
        <w:rPr>
          <w:lang w:val="en-GB"/>
        </w:rPr>
        <w:t>(5), 656-674.</w:t>
      </w:r>
    </w:p>
    <w:p w14:paraId="7F9D060B" w14:textId="77777777" w:rsidR="003E652E" w:rsidRPr="00EF2A33" w:rsidRDefault="003E652E" w:rsidP="009C16B5">
      <w:pPr>
        <w:spacing w:after="0"/>
        <w:ind w:left="720" w:hanging="720"/>
        <w:rPr>
          <w:lang w:val="en-GB"/>
        </w:rPr>
      </w:pPr>
      <w:r w:rsidRPr="00EF2A33">
        <w:rPr>
          <w:lang w:val="en-GB"/>
        </w:rPr>
        <w:t xml:space="preserve">Ullah, S., Akhtar, P., &amp; </w:t>
      </w:r>
      <w:proofErr w:type="spellStart"/>
      <w:r w:rsidRPr="00EF2A33">
        <w:rPr>
          <w:lang w:val="en-GB"/>
        </w:rPr>
        <w:t>Zaefarian</w:t>
      </w:r>
      <w:proofErr w:type="spellEnd"/>
      <w:r w:rsidRPr="00EF2A33">
        <w:rPr>
          <w:lang w:val="en-GB"/>
        </w:rPr>
        <w:t xml:space="preserve">, G. (2018). Dealing with endogeneity bias: The generalized method of moments (GMM) for panel data. </w:t>
      </w:r>
      <w:r w:rsidRPr="00EF2A33">
        <w:rPr>
          <w:i/>
          <w:iCs/>
          <w:lang w:val="en-GB"/>
        </w:rPr>
        <w:t>Industrial Marketing Management</w:t>
      </w:r>
      <w:r w:rsidRPr="00EF2A33">
        <w:rPr>
          <w:lang w:val="en-GB"/>
        </w:rPr>
        <w:t xml:space="preserve">, </w:t>
      </w:r>
      <w:r w:rsidRPr="00EF2A33">
        <w:rPr>
          <w:i/>
          <w:iCs/>
          <w:lang w:val="en-GB"/>
        </w:rPr>
        <w:t>71</w:t>
      </w:r>
      <w:r w:rsidRPr="00EF2A33">
        <w:rPr>
          <w:lang w:val="en-GB"/>
        </w:rPr>
        <w:t>, 69–78.</w:t>
      </w:r>
    </w:p>
    <w:p w14:paraId="45FDC9A2" w14:textId="77777777" w:rsidR="003E652E" w:rsidRPr="00EF2A33" w:rsidRDefault="003E652E" w:rsidP="009C16B5">
      <w:pPr>
        <w:spacing w:after="0"/>
        <w:ind w:left="720" w:hanging="720"/>
        <w:rPr>
          <w:lang w:val="en-GB"/>
        </w:rPr>
      </w:pPr>
      <w:r w:rsidRPr="00EF2A33">
        <w:t xml:space="preserve">Utami, S. W., &amp; </w:t>
      </w:r>
      <w:proofErr w:type="spellStart"/>
      <w:r w:rsidRPr="00EF2A33">
        <w:t>Dirman</w:t>
      </w:r>
      <w:proofErr w:type="spellEnd"/>
      <w:r w:rsidRPr="00EF2A33">
        <w:t xml:space="preserve">, A. (2022). The Effect of Institutional Ownership, Managerial Ownership, Liquidity, and Leverage on Financial Distress. </w:t>
      </w:r>
      <w:r w:rsidRPr="00EF2A33">
        <w:rPr>
          <w:i/>
        </w:rPr>
        <w:t>Asian Journal of Economics, Business and Accounting,</w:t>
      </w:r>
      <w:r w:rsidRPr="00EF2A33">
        <w:t xml:space="preserve"> 22(21), 170–181.</w:t>
      </w:r>
    </w:p>
    <w:p w14:paraId="342D2C6F" w14:textId="77777777" w:rsidR="003E652E" w:rsidRPr="00EF2A33" w:rsidRDefault="003E652E" w:rsidP="009C16B5">
      <w:pPr>
        <w:spacing w:after="0"/>
        <w:ind w:left="720" w:hanging="720"/>
        <w:rPr>
          <w:lang w:val="en-GB"/>
        </w:rPr>
      </w:pPr>
      <w:r w:rsidRPr="00EF2A33">
        <w:rPr>
          <w:lang w:val="en-GB"/>
        </w:rPr>
        <w:lastRenderedPageBreak/>
        <w:t xml:space="preserve">Vairavan, A. and Zhang, G.P. (2020). Does a diverse board matter? A mediation analysis of board racial diversity and firm performance, </w:t>
      </w:r>
      <w:r w:rsidRPr="00EF2A33">
        <w:rPr>
          <w:i/>
          <w:iCs/>
          <w:lang w:val="en-GB"/>
        </w:rPr>
        <w:t>Corporate Governance: The International Journal of Business in Society</w:t>
      </w:r>
      <w:r w:rsidRPr="00EF2A33">
        <w:rPr>
          <w:lang w:val="en-GB"/>
        </w:rPr>
        <w:t xml:space="preserve">, </w:t>
      </w:r>
      <w:r w:rsidRPr="00EF2A33">
        <w:rPr>
          <w:i/>
          <w:lang w:val="en-GB"/>
        </w:rPr>
        <w:t>20</w:t>
      </w:r>
      <w:r w:rsidRPr="00EF2A33">
        <w:rPr>
          <w:lang w:val="en-GB"/>
        </w:rPr>
        <w:t>(7), 1223-1241.</w:t>
      </w:r>
    </w:p>
    <w:p w14:paraId="440E7D55" w14:textId="77777777" w:rsidR="003E652E" w:rsidRPr="00EF2A33" w:rsidRDefault="003E652E" w:rsidP="009C16B5">
      <w:pPr>
        <w:spacing w:after="0"/>
        <w:ind w:left="720" w:hanging="720"/>
        <w:rPr>
          <w:lang w:val="en-GB"/>
        </w:rPr>
      </w:pPr>
      <w:bookmarkStart w:id="96" w:name="_bookmark87"/>
      <w:bookmarkStart w:id="97" w:name="_bookmark88"/>
      <w:bookmarkEnd w:id="96"/>
      <w:bookmarkEnd w:id="97"/>
      <w:r w:rsidRPr="00EF2A33">
        <w:rPr>
          <w:lang w:val="en-GB"/>
        </w:rPr>
        <w:t xml:space="preserve">Vu, M.C., Phan, T.T. and Le, N.T. (2018). Relationship between board ownership structure and firm financial performance in transitional economy: the case of Vietnam, </w:t>
      </w:r>
      <w:r w:rsidRPr="00EF2A33">
        <w:rPr>
          <w:i/>
          <w:lang w:val="en-GB"/>
        </w:rPr>
        <w:t>Research in International Business and Finance</w:t>
      </w:r>
      <w:r w:rsidRPr="00EF2A33">
        <w:rPr>
          <w:lang w:val="en-GB"/>
        </w:rPr>
        <w:t xml:space="preserve">, </w:t>
      </w:r>
      <w:r w:rsidRPr="00EF2A33">
        <w:rPr>
          <w:i/>
          <w:lang w:val="en-GB"/>
        </w:rPr>
        <w:t>45</w:t>
      </w:r>
      <w:r w:rsidRPr="00EF2A33">
        <w:rPr>
          <w:lang w:val="en-GB"/>
        </w:rPr>
        <w:t>, 512-528.</w:t>
      </w:r>
    </w:p>
    <w:p w14:paraId="7AEB0C01" w14:textId="77777777" w:rsidR="003E652E" w:rsidRPr="00EF2A33" w:rsidRDefault="003E652E" w:rsidP="009C16B5">
      <w:pPr>
        <w:spacing w:after="0"/>
        <w:ind w:left="720" w:hanging="720"/>
        <w:rPr>
          <w:lang w:val="en-GB"/>
        </w:rPr>
      </w:pPr>
      <w:bookmarkStart w:id="98" w:name="_bookmark89"/>
      <w:bookmarkEnd w:id="98"/>
      <w:r w:rsidRPr="00EF2A33">
        <w:rPr>
          <w:lang w:val="de-DE"/>
        </w:rPr>
        <w:t xml:space="preserve">Wei, Z., Xie, F. and Zhang, S. (2005). </w:t>
      </w:r>
      <w:r w:rsidRPr="00EF2A33">
        <w:rPr>
          <w:lang w:val="en-GB"/>
        </w:rPr>
        <w:t xml:space="preserve">Ownership structure and firm value in China’s privatized firms: 1991–2001, </w:t>
      </w:r>
      <w:r w:rsidRPr="00EF2A33">
        <w:rPr>
          <w:i/>
          <w:lang w:val="en-GB"/>
        </w:rPr>
        <w:t>Journal of Financial and Quantitative Analysis</w:t>
      </w:r>
      <w:r w:rsidRPr="00EF2A33">
        <w:rPr>
          <w:lang w:val="en-GB"/>
        </w:rPr>
        <w:t xml:space="preserve">, </w:t>
      </w:r>
      <w:r w:rsidRPr="00EF2A33">
        <w:rPr>
          <w:i/>
          <w:lang w:val="en-GB"/>
        </w:rPr>
        <w:t>40</w:t>
      </w:r>
      <w:r w:rsidRPr="00EF2A33">
        <w:rPr>
          <w:lang w:val="en-GB"/>
        </w:rPr>
        <w:t>(1). 87-108.</w:t>
      </w:r>
    </w:p>
    <w:p w14:paraId="2638724F" w14:textId="77777777" w:rsidR="003E652E" w:rsidRPr="00EF2A33" w:rsidRDefault="003E652E" w:rsidP="009C16B5">
      <w:pPr>
        <w:spacing w:after="0"/>
        <w:ind w:left="720" w:hanging="720"/>
        <w:rPr>
          <w:lang w:val="en-GB"/>
        </w:rPr>
      </w:pPr>
      <w:bookmarkStart w:id="99" w:name="_bookmark90"/>
      <w:bookmarkEnd w:id="99"/>
      <w:r w:rsidRPr="00EF2A33">
        <w:rPr>
          <w:lang w:val="en-GB"/>
        </w:rPr>
        <w:t xml:space="preserve">Westman, H. (2011). The impact of management and board ownership on profitability in banks with different strategies, </w:t>
      </w:r>
      <w:r w:rsidRPr="00EF2A33">
        <w:rPr>
          <w:i/>
          <w:lang w:val="en-GB"/>
        </w:rPr>
        <w:t>Journal of Banking &amp; Finance</w:t>
      </w:r>
      <w:r w:rsidRPr="00EF2A33">
        <w:rPr>
          <w:lang w:val="en-GB"/>
        </w:rPr>
        <w:t xml:space="preserve">, </w:t>
      </w:r>
      <w:r w:rsidRPr="00EF2A33">
        <w:rPr>
          <w:i/>
          <w:lang w:val="en-GB"/>
        </w:rPr>
        <w:t>35</w:t>
      </w:r>
      <w:r w:rsidRPr="00EF2A33">
        <w:rPr>
          <w:lang w:val="en-GB"/>
        </w:rPr>
        <w:t>(12), 3300-3318.</w:t>
      </w:r>
    </w:p>
    <w:p w14:paraId="5E860269" w14:textId="77777777" w:rsidR="003E652E" w:rsidRPr="00EF2A33" w:rsidRDefault="003E652E" w:rsidP="009C16B5">
      <w:pPr>
        <w:spacing w:after="0"/>
        <w:ind w:left="720" w:hanging="720"/>
        <w:rPr>
          <w:lang w:val="en-GB"/>
        </w:rPr>
      </w:pPr>
      <w:bookmarkStart w:id="100" w:name="_bookmark91"/>
      <w:bookmarkStart w:id="101" w:name="_bookmark92"/>
      <w:bookmarkStart w:id="102" w:name="_Hlk53515137"/>
      <w:bookmarkEnd w:id="80"/>
      <w:bookmarkEnd w:id="100"/>
      <w:bookmarkEnd w:id="101"/>
      <w:r w:rsidRPr="00EF2A33">
        <w:rPr>
          <w:lang w:val="en-GB"/>
        </w:rPr>
        <w:t xml:space="preserve">Xing, L., Gonzalez, A., &amp; Sila, V. (2021). Does cooperation among women enhance or impede firm </w:t>
      </w:r>
      <w:proofErr w:type="gramStart"/>
      <w:r w:rsidRPr="00EF2A33">
        <w:rPr>
          <w:lang w:val="en-GB"/>
        </w:rPr>
        <w:t>performance?.</w:t>
      </w:r>
      <w:proofErr w:type="gramEnd"/>
      <w:r w:rsidRPr="00EF2A33">
        <w:rPr>
          <w:lang w:val="en-GB"/>
        </w:rPr>
        <w:t> </w:t>
      </w:r>
      <w:r w:rsidRPr="00EF2A33">
        <w:rPr>
          <w:i/>
          <w:iCs/>
          <w:lang w:val="en-GB"/>
        </w:rPr>
        <w:t>The British Accounting Review</w:t>
      </w:r>
      <w:r w:rsidRPr="00EF2A33">
        <w:rPr>
          <w:lang w:val="en-GB"/>
        </w:rPr>
        <w:t>, </w:t>
      </w:r>
      <w:r w:rsidRPr="00EF2A33">
        <w:rPr>
          <w:i/>
          <w:iCs/>
          <w:lang w:val="en-GB"/>
        </w:rPr>
        <w:t>53</w:t>
      </w:r>
      <w:r w:rsidRPr="00EF2A33">
        <w:rPr>
          <w:lang w:val="en-GB"/>
        </w:rPr>
        <w:t>(4), 100936.</w:t>
      </w:r>
    </w:p>
    <w:p w14:paraId="56175B72" w14:textId="77777777" w:rsidR="003E652E" w:rsidRPr="00EF2A33" w:rsidRDefault="003E652E" w:rsidP="009C16B5">
      <w:pPr>
        <w:spacing w:after="0"/>
        <w:ind w:left="720" w:hanging="720"/>
        <w:rPr>
          <w:lang w:val="en-GB"/>
        </w:rPr>
      </w:pPr>
      <w:r w:rsidRPr="00EF2A33">
        <w:rPr>
          <w:lang w:val="en-GB"/>
        </w:rPr>
        <w:t xml:space="preserve">Yeh, C.M. (2019). Ownership structure and firm performance of listed tourism firms, </w:t>
      </w:r>
      <w:r w:rsidRPr="00EF2A33">
        <w:rPr>
          <w:i/>
          <w:lang w:val="en-GB"/>
        </w:rPr>
        <w:t>International Journal of Tourism Research</w:t>
      </w:r>
      <w:r w:rsidRPr="00EF2A33">
        <w:rPr>
          <w:lang w:val="en-GB"/>
        </w:rPr>
        <w:t xml:space="preserve">, </w:t>
      </w:r>
      <w:r w:rsidRPr="00EF2A33">
        <w:rPr>
          <w:i/>
          <w:lang w:val="en-GB"/>
        </w:rPr>
        <w:t>21</w:t>
      </w:r>
      <w:r w:rsidRPr="00EF2A33">
        <w:rPr>
          <w:lang w:val="en-GB"/>
        </w:rPr>
        <w:t>(2), 65-179.</w:t>
      </w:r>
    </w:p>
    <w:p w14:paraId="591C146E" w14:textId="77777777" w:rsidR="003E652E" w:rsidRPr="00EF2A33" w:rsidRDefault="003E652E" w:rsidP="009C16B5">
      <w:pPr>
        <w:spacing w:after="0"/>
        <w:ind w:left="720" w:hanging="720"/>
        <w:rPr>
          <w:lang w:val="en-GB"/>
        </w:rPr>
      </w:pPr>
      <w:bookmarkStart w:id="103" w:name="_bookmark93"/>
      <w:bookmarkStart w:id="104" w:name="_bookmark94"/>
      <w:bookmarkEnd w:id="103"/>
      <w:bookmarkEnd w:id="104"/>
      <w:proofErr w:type="spellStart"/>
      <w:r w:rsidRPr="00EF2A33">
        <w:rPr>
          <w:lang w:val="en-GB"/>
        </w:rPr>
        <w:t>Zattoni</w:t>
      </w:r>
      <w:proofErr w:type="spellEnd"/>
      <w:r w:rsidRPr="00EF2A33">
        <w:rPr>
          <w:lang w:val="en-GB"/>
        </w:rPr>
        <w:t xml:space="preserve">, A. (2011). Who should control a corporation? Toward a contingency stakeholder model for allocating ownership rights, </w:t>
      </w:r>
      <w:r w:rsidRPr="00EF2A33">
        <w:rPr>
          <w:i/>
          <w:lang w:val="en-GB"/>
        </w:rPr>
        <w:t>Journal of Business Ethics</w:t>
      </w:r>
      <w:r w:rsidRPr="00EF2A33">
        <w:rPr>
          <w:lang w:val="en-GB"/>
        </w:rPr>
        <w:t xml:space="preserve">, </w:t>
      </w:r>
      <w:r w:rsidRPr="00EF2A33">
        <w:rPr>
          <w:i/>
          <w:lang w:val="en-GB"/>
        </w:rPr>
        <w:t>103,</w:t>
      </w:r>
      <w:r w:rsidRPr="00EF2A33">
        <w:rPr>
          <w:lang w:val="en-GB"/>
        </w:rPr>
        <w:t xml:space="preserve"> 255-274.</w:t>
      </w:r>
      <w:bookmarkEnd w:id="102"/>
    </w:p>
    <w:p w14:paraId="2548AF02" w14:textId="77777777" w:rsidR="003E652E" w:rsidRPr="00EF2A33" w:rsidRDefault="003E652E" w:rsidP="009C16B5">
      <w:pPr>
        <w:spacing w:after="0"/>
        <w:ind w:left="720" w:hanging="720"/>
        <w:rPr>
          <w:lang w:val="en-GB"/>
        </w:rPr>
      </w:pPr>
      <w:r w:rsidRPr="00EF2A33">
        <w:rPr>
          <w:lang w:val="de-DE"/>
        </w:rPr>
        <w:t xml:space="preserve">Zulkifli, N. S., Shukor, Z. A., &amp; Rahman, M. R. C. A. (2017). </w:t>
      </w:r>
      <w:r w:rsidRPr="00EF2A33">
        <w:t xml:space="preserve">Intellectual capital efficiency and firm performance in </w:t>
      </w:r>
      <w:proofErr w:type="spellStart"/>
      <w:r w:rsidRPr="00EF2A33">
        <w:t>malaysia</w:t>
      </w:r>
      <w:proofErr w:type="spellEnd"/>
      <w:r w:rsidRPr="00EF2A33">
        <w:t>: The effect of government ownership. </w:t>
      </w:r>
      <w:r w:rsidRPr="00EF2A33">
        <w:rPr>
          <w:i/>
          <w:iCs/>
        </w:rPr>
        <w:t>Asian Journal of Accounting and Governance</w:t>
      </w:r>
      <w:r w:rsidRPr="00EF2A33">
        <w:t>, </w:t>
      </w:r>
      <w:r w:rsidRPr="00EF2A33">
        <w:rPr>
          <w:i/>
          <w:iCs/>
        </w:rPr>
        <w:t>8</w:t>
      </w:r>
      <w:r w:rsidRPr="00EF2A33">
        <w:t>, 93-105.</w:t>
      </w:r>
    </w:p>
    <w:sectPr w:rsidR="003E652E" w:rsidRPr="00EF2A33" w:rsidSect="001117D2">
      <w:footerReference w:type="default" r:id="rId15"/>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50A4C" w14:textId="77777777" w:rsidR="006152D7" w:rsidRDefault="006152D7" w:rsidP="00E75718">
      <w:pPr>
        <w:spacing w:after="0" w:line="240" w:lineRule="auto"/>
      </w:pPr>
      <w:r>
        <w:separator/>
      </w:r>
    </w:p>
  </w:endnote>
  <w:endnote w:type="continuationSeparator" w:id="0">
    <w:p w14:paraId="79B6137E" w14:textId="77777777" w:rsidR="006152D7" w:rsidRDefault="006152D7" w:rsidP="00E7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441702"/>
      <w:docPartObj>
        <w:docPartGallery w:val="Page Numbers (Bottom of Page)"/>
        <w:docPartUnique/>
      </w:docPartObj>
    </w:sdtPr>
    <w:sdtEndPr/>
    <w:sdtContent>
      <w:sdt>
        <w:sdtPr>
          <w:id w:val="-1705238520"/>
          <w:docPartObj>
            <w:docPartGallery w:val="Page Numbers (Top of Page)"/>
            <w:docPartUnique/>
          </w:docPartObj>
        </w:sdtPr>
        <w:sdtEndPr/>
        <w:sdtContent>
          <w:p w14:paraId="1EFF8A6E" w14:textId="400BBDCA" w:rsidR="00657D84" w:rsidRDefault="00657D84" w:rsidP="00627FA3">
            <w:pPr>
              <w:pStyle w:val="Footer"/>
              <w:jc w:val="center"/>
            </w:pPr>
            <w:r>
              <w:t xml:space="preserve">Page </w:t>
            </w:r>
            <w:r>
              <w:rPr>
                <w:b/>
                <w:bCs/>
              </w:rPr>
              <w:fldChar w:fldCharType="begin"/>
            </w:r>
            <w:r>
              <w:rPr>
                <w:b/>
                <w:bCs/>
              </w:rPr>
              <w:instrText xml:space="preserve"> PAGE </w:instrText>
            </w:r>
            <w:r>
              <w:rPr>
                <w:b/>
                <w:bCs/>
              </w:rPr>
              <w:fldChar w:fldCharType="separate"/>
            </w:r>
            <w:r w:rsidR="0097351A">
              <w:rPr>
                <w:b/>
                <w:bCs/>
                <w:noProof/>
              </w:rPr>
              <w:t>32</w:t>
            </w:r>
            <w:r>
              <w:rPr>
                <w:b/>
                <w:bCs/>
              </w:rPr>
              <w:fldChar w:fldCharType="end"/>
            </w:r>
            <w:r>
              <w:t xml:space="preserve"> of </w:t>
            </w:r>
            <w:r>
              <w:rPr>
                <w:b/>
                <w:bCs/>
              </w:rPr>
              <w:fldChar w:fldCharType="begin"/>
            </w:r>
            <w:r>
              <w:rPr>
                <w:b/>
                <w:bCs/>
              </w:rPr>
              <w:instrText xml:space="preserve"> NUMPAGES  </w:instrText>
            </w:r>
            <w:r>
              <w:rPr>
                <w:b/>
                <w:bCs/>
              </w:rPr>
              <w:fldChar w:fldCharType="separate"/>
            </w:r>
            <w:r w:rsidR="0097351A">
              <w:rPr>
                <w:b/>
                <w:bCs/>
                <w:noProof/>
              </w:rPr>
              <w:t>43</w:t>
            </w:r>
            <w:r>
              <w:rPr>
                <w:b/>
                <w:bCs/>
              </w:rPr>
              <w:fldChar w:fldCharType="end"/>
            </w:r>
          </w:p>
        </w:sdtContent>
      </w:sdt>
    </w:sdtContent>
  </w:sdt>
  <w:p w14:paraId="7241B6C8" w14:textId="77777777" w:rsidR="00657D84" w:rsidRDefault="0065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C2A5" w14:textId="77777777" w:rsidR="006152D7" w:rsidRDefault="006152D7" w:rsidP="00E75718">
      <w:pPr>
        <w:spacing w:after="0" w:line="240" w:lineRule="auto"/>
      </w:pPr>
      <w:r>
        <w:separator/>
      </w:r>
    </w:p>
  </w:footnote>
  <w:footnote w:type="continuationSeparator" w:id="0">
    <w:p w14:paraId="2BD6BE79" w14:textId="77777777" w:rsidR="006152D7" w:rsidRDefault="006152D7" w:rsidP="00E75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E450F"/>
    <w:multiLevelType w:val="multilevel"/>
    <w:tmpl w:val="2F0A069A"/>
    <w:lvl w:ilvl="0">
      <w:start w:val="1"/>
      <w:numFmt w:val="decimal"/>
      <w:lvlText w:val="%1."/>
      <w:lvlJc w:val="left"/>
      <w:pPr>
        <w:ind w:left="570" w:hanging="211"/>
        <w:jc w:val="right"/>
      </w:pPr>
      <w:rPr>
        <w:rFonts w:ascii="Arial" w:eastAsia="Arial" w:hAnsi="Arial" w:cs="Arial" w:hint="default"/>
        <w:color w:val="005E62"/>
        <w:w w:val="100"/>
        <w:sz w:val="20"/>
        <w:szCs w:val="20"/>
        <w:lang w:val="en-US" w:eastAsia="en-US" w:bidi="ar-SA"/>
      </w:rPr>
    </w:lvl>
    <w:lvl w:ilvl="1">
      <w:start w:val="1"/>
      <w:numFmt w:val="decimal"/>
      <w:lvlText w:val="%1.%2"/>
      <w:lvlJc w:val="left"/>
      <w:pPr>
        <w:ind w:left="680" w:hanging="321"/>
      </w:pPr>
      <w:rPr>
        <w:rFonts w:ascii="Arial" w:eastAsia="Arial" w:hAnsi="Arial" w:cs="Arial" w:hint="default"/>
        <w:i/>
        <w:color w:val="005E62"/>
        <w:w w:val="99"/>
        <w:sz w:val="20"/>
        <w:szCs w:val="20"/>
        <w:lang w:val="en-US" w:eastAsia="en-US" w:bidi="ar-SA"/>
      </w:rPr>
    </w:lvl>
    <w:lvl w:ilvl="2">
      <w:numFmt w:val="bullet"/>
      <w:lvlText w:val="•"/>
      <w:lvlJc w:val="left"/>
      <w:pPr>
        <w:ind w:left="2900" w:hanging="321"/>
      </w:pPr>
      <w:rPr>
        <w:rFonts w:hint="default"/>
        <w:lang w:val="en-US" w:eastAsia="en-US" w:bidi="ar-SA"/>
      </w:rPr>
    </w:lvl>
    <w:lvl w:ilvl="3">
      <w:numFmt w:val="bullet"/>
      <w:lvlText w:val="•"/>
      <w:lvlJc w:val="left"/>
      <w:pPr>
        <w:ind w:left="3492" w:hanging="321"/>
      </w:pPr>
      <w:rPr>
        <w:rFonts w:hint="default"/>
        <w:lang w:val="en-US" w:eastAsia="en-US" w:bidi="ar-SA"/>
      </w:rPr>
    </w:lvl>
    <w:lvl w:ilvl="4">
      <w:numFmt w:val="bullet"/>
      <w:lvlText w:val="•"/>
      <w:lvlJc w:val="left"/>
      <w:pPr>
        <w:ind w:left="4085" w:hanging="321"/>
      </w:pPr>
      <w:rPr>
        <w:rFonts w:hint="default"/>
        <w:lang w:val="en-US" w:eastAsia="en-US" w:bidi="ar-SA"/>
      </w:rPr>
    </w:lvl>
    <w:lvl w:ilvl="5">
      <w:numFmt w:val="bullet"/>
      <w:lvlText w:val="•"/>
      <w:lvlJc w:val="left"/>
      <w:pPr>
        <w:ind w:left="4678" w:hanging="321"/>
      </w:pPr>
      <w:rPr>
        <w:rFonts w:hint="default"/>
        <w:lang w:val="en-US" w:eastAsia="en-US" w:bidi="ar-SA"/>
      </w:rPr>
    </w:lvl>
    <w:lvl w:ilvl="6">
      <w:numFmt w:val="bullet"/>
      <w:lvlText w:val="•"/>
      <w:lvlJc w:val="left"/>
      <w:pPr>
        <w:ind w:left="5271" w:hanging="321"/>
      </w:pPr>
      <w:rPr>
        <w:rFonts w:hint="default"/>
        <w:lang w:val="en-US" w:eastAsia="en-US" w:bidi="ar-SA"/>
      </w:rPr>
    </w:lvl>
    <w:lvl w:ilvl="7">
      <w:numFmt w:val="bullet"/>
      <w:lvlText w:val="•"/>
      <w:lvlJc w:val="left"/>
      <w:pPr>
        <w:ind w:left="5864" w:hanging="321"/>
      </w:pPr>
      <w:rPr>
        <w:rFonts w:hint="default"/>
        <w:lang w:val="en-US" w:eastAsia="en-US" w:bidi="ar-SA"/>
      </w:rPr>
    </w:lvl>
    <w:lvl w:ilvl="8">
      <w:numFmt w:val="bullet"/>
      <w:lvlText w:val="•"/>
      <w:lvlJc w:val="left"/>
      <w:pPr>
        <w:ind w:left="6457" w:hanging="321"/>
      </w:pPr>
      <w:rPr>
        <w:rFonts w:hint="default"/>
        <w:lang w:val="en-US" w:eastAsia="en-US" w:bidi="ar-SA"/>
      </w:rPr>
    </w:lvl>
  </w:abstractNum>
  <w:abstractNum w:abstractNumId="1" w15:restartNumberingAfterBreak="0">
    <w:nsid w:val="2B5B0D1C"/>
    <w:multiLevelType w:val="multilevel"/>
    <w:tmpl w:val="D5A0E6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753BCF"/>
    <w:multiLevelType w:val="hybridMultilevel"/>
    <w:tmpl w:val="5BAADE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9F247BA"/>
    <w:multiLevelType w:val="hybridMultilevel"/>
    <w:tmpl w:val="51245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E81CBF"/>
    <w:multiLevelType w:val="hybridMultilevel"/>
    <w:tmpl w:val="07AC8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676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18697">
    <w:abstractNumId w:val="0"/>
  </w:num>
  <w:num w:numId="3" w16cid:durableId="1969897657">
    <w:abstractNumId w:val="1"/>
  </w:num>
  <w:num w:numId="4" w16cid:durableId="1037588547">
    <w:abstractNumId w:val="3"/>
  </w:num>
  <w:num w:numId="5" w16cid:durableId="1039939205">
    <w:abstractNumId w:val="2"/>
  </w:num>
  <w:num w:numId="6" w16cid:durableId="133276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yMLA0NDI2NzUxsjBS0lEKTi0uzszPAykwqQUAbX8dyiwAAAA="/>
  </w:docVars>
  <w:rsids>
    <w:rsidRoot w:val="006866B6"/>
    <w:rsid w:val="000001A2"/>
    <w:rsid w:val="00000804"/>
    <w:rsid w:val="00000EEB"/>
    <w:rsid w:val="0000131C"/>
    <w:rsid w:val="000013AE"/>
    <w:rsid w:val="000013B6"/>
    <w:rsid w:val="00001416"/>
    <w:rsid w:val="00001519"/>
    <w:rsid w:val="00001F5E"/>
    <w:rsid w:val="00002350"/>
    <w:rsid w:val="00003456"/>
    <w:rsid w:val="00003A25"/>
    <w:rsid w:val="00003C06"/>
    <w:rsid w:val="000040DB"/>
    <w:rsid w:val="000048C4"/>
    <w:rsid w:val="00004AD6"/>
    <w:rsid w:val="00004DB0"/>
    <w:rsid w:val="00006694"/>
    <w:rsid w:val="000101CB"/>
    <w:rsid w:val="000101D8"/>
    <w:rsid w:val="00010853"/>
    <w:rsid w:val="00010AD5"/>
    <w:rsid w:val="00010FF9"/>
    <w:rsid w:val="0001150E"/>
    <w:rsid w:val="0001152A"/>
    <w:rsid w:val="00012169"/>
    <w:rsid w:val="00012E1D"/>
    <w:rsid w:val="00013285"/>
    <w:rsid w:val="0001355F"/>
    <w:rsid w:val="0001362C"/>
    <w:rsid w:val="000146E6"/>
    <w:rsid w:val="000149AB"/>
    <w:rsid w:val="000155DB"/>
    <w:rsid w:val="0001646A"/>
    <w:rsid w:val="00016A6F"/>
    <w:rsid w:val="00016CA1"/>
    <w:rsid w:val="00016DDD"/>
    <w:rsid w:val="000171D6"/>
    <w:rsid w:val="000176F6"/>
    <w:rsid w:val="00017944"/>
    <w:rsid w:val="000200CB"/>
    <w:rsid w:val="00020CDD"/>
    <w:rsid w:val="00021021"/>
    <w:rsid w:val="00021B4B"/>
    <w:rsid w:val="000223A3"/>
    <w:rsid w:val="000224A6"/>
    <w:rsid w:val="00023F03"/>
    <w:rsid w:val="000249F6"/>
    <w:rsid w:val="00025443"/>
    <w:rsid w:val="000254F0"/>
    <w:rsid w:val="00025BBC"/>
    <w:rsid w:val="00026473"/>
    <w:rsid w:val="00026FA3"/>
    <w:rsid w:val="00027679"/>
    <w:rsid w:val="000300AA"/>
    <w:rsid w:val="0003018F"/>
    <w:rsid w:val="00030393"/>
    <w:rsid w:val="00030F12"/>
    <w:rsid w:val="00031E84"/>
    <w:rsid w:val="00032A48"/>
    <w:rsid w:val="00032B72"/>
    <w:rsid w:val="00033994"/>
    <w:rsid w:val="00033BBA"/>
    <w:rsid w:val="00036751"/>
    <w:rsid w:val="00036C33"/>
    <w:rsid w:val="00036E04"/>
    <w:rsid w:val="000377D3"/>
    <w:rsid w:val="00040D2F"/>
    <w:rsid w:val="0004218E"/>
    <w:rsid w:val="000423EA"/>
    <w:rsid w:val="00042E8F"/>
    <w:rsid w:val="00044464"/>
    <w:rsid w:val="00045CCE"/>
    <w:rsid w:val="00046243"/>
    <w:rsid w:val="00046BF3"/>
    <w:rsid w:val="00046D49"/>
    <w:rsid w:val="000478CD"/>
    <w:rsid w:val="00047C76"/>
    <w:rsid w:val="00047CF7"/>
    <w:rsid w:val="00047DC8"/>
    <w:rsid w:val="000505BD"/>
    <w:rsid w:val="000520F0"/>
    <w:rsid w:val="000525B6"/>
    <w:rsid w:val="000536CC"/>
    <w:rsid w:val="000536F4"/>
    <w:rsid w:val="00054705"/>
    <w:rsid w:val="00054D07"/>
    <w:rsid w:val="00054F21"/>
    <w:rsid w:val="0005601E"/>
    <w:rsid w:val="000560B2"/>
    <w:rsid w:val="000561EA"/>
    <w:rsid w:val="00057301"/>
    <w:rsid w:val="00057F46"/>
    <w:rsid w:val="00061B7C"/>
    <w:rsid w:val="000632B8"/>
    <w:rsid w:val="000638AB"/>
    <w:rsid w:val="00063BC5"/>
    <w:rsid w:val="00063E88"/>
    <w:rsid w:val="000645A2"/>
    <w:rsid w:val="000649D7"/>
    <w:rsid w:val="000650EF"/>
    <w:rsid w:val="00065643"/>
    <w:rsid w:val="00065755"/>
    <w:rsid w:val="00065C04"/>
    <w:rsid w:val="000673FF"/>
    <w:rsid w:val="00067CB3"/>
    <w:rsid w:val="00067ED1"/>
    <w:rsid w:val="00070EC5"/>
    <w:rsid w:val="0007182F"/>
    <w:rsid w:val="00071861"/>
    <w:rsid w:val="00071927"/>
    <w:rsid w:val="00071D0A"/>
    <w:rsid w:val="00072204"/>
    <w:rsid w:val="00072D2C"/>
    <w:rsid w:val="00073DC9"/>
    <w:rsid w:val="00073E36"/>
    <w:rsid w:val="000745B3"/>
    <w:rsid w:val="00074912"/>
    <w:rsid w:val="00074D41"/>
    <w:rsid w:val="00075C13"/>
    <w:rsid w:val="00076D16"/>
    <w:rsid w:val="00077791"/>
    <w:rsid w:val="000802DE"/>
    <w:rsid w:val="00080743"/>
    <w:rsid w:val="00080C84"/>
    <w:rsid w:val="00080D0A"/>
    <w:rsid w:val="0008134E"/>
    <w:rsid w:val="0008165D"/>
    <w:rsid w:val="000816E1"/>
    <w:rsid w:val="00081A8A"/>
    <w:rsid w:val="00081DCD"/>
    <w:rsid w:val="0008222F"/>
    <w:rsid w:val="00083211"/>
    <w:rsid w:val="00083302"/>
    <w:rsid w:val="00083BB5"/>
    <w:rsid w:val="00083CC1"/>
    <w:rsid w:val="00083F98"/>
    <w:rsid w:val="000846FD"/>
    <w:rsid w:val="00084907"/>
    <w:rsid w:val="00086912"/>
    <w:rsid w:val="00086A2F"/>
    <w:rsid w:val="00086D04"/>
    <w:rsid w:val="00087145"/>
    <w:rsid w:val="00087300"/>
    <w:rsid w:val="0008751B"/>
    <w:rsid w:val="0008766B"/>
    <w:rsid w:val="000879EB"/>
    <w:rsid w:val="00090723"/>
    <w:rsid w:val="00090881"/>
    <w:rsid w:val="00090CB1"/>
    <w:rsid w:val="000913EE"/>
    <w:rsid w:val="00092236"/>
    <w:rsid w:val="00093585"/>
    <w:rsid w:val="00093B08"/>
    <w:rsid w:val="000956A2"/>
    <w:rsid w:val="00096029"/>
    <w:rsid w:val="00096045"/>
    <w:rsid w:val="000961C4"/>
    <w:rsid w:val="0009641B"/>
    <w:rsid w:val="000964F0"/>
    <w:rsid w:val="00096E12"/>
    <w:rsid w:val="000A10A6"/>
    <w:rsid w:val="000A1382"/>
    <w:rsid w:val="000A1E22"/>
    <w:rsid w:val="000A200F"/>
    <w:rsid w:val="000A207D"/>
    <w:rsid w:val="000A2B6D"/>
    <w:rsid w:val="000A2DD8"/>
    <w:rsid w:val="000A3469"/>
    <w:rsid w:val="000A347A"/>
    <w:rsid w:val="000A4112"/>
    <w:rsid w:val="000A468B"/>
    <w:rsid w:val="000A47C6"/>
    <w:rsid w:val="000A5C35"/>
    <w:rsid w:val="000A6DAA"/>
    <w:rsid w:val="000A72EF"/>
    <w:rsid w:val="000A7EA4"/>
    <w:rsid w:val="000B0012"/>
    <w:rsid w:val="000B03FF"/>
    <w:rsid w:val="000B06D4"/>
    <w:rsid w:val="000B0B55"/>
    <w:rsid w:val="000B177C"/>
    <w:rsid w:val="000B18F1"/>
    <w:rsid w:val="000B1CD6"/>
    <w:rsid w:val="000B385D"/>
    <w:rsid w:val="000B3AE5"/>
    <w:rsid w:val="000B3DA1"/>
    <w:rsid w:val="000B4366"/>
    <w:rsid w:val="000B4572"/>
    <w:rsid w:val="000B4708"/>
    <w:rsid w:val="000B4A72"/>
    <w:rsid w:val="000B4F13"/>
    <w:rsid w:val="000B5BFD"/>
    <w:rsid w:val="000B5E69"/>
    <w:rsid w:val="000B6950"/>
    <w:rsid w:val="000B6C09"/>
    <w:rsid w:val="000B7611"/>
    <w:rsid w:val="000C02C5"/>
    <w:rsid w:val="000C0823"/>
    <w:rsid w:val="000C1AC7"/>
    <w:rsid w:val="000C1C6C"/>
    <w:rsid w:val="000C1ED7"/>
    <w:rsid w:val="000C2A4B"/>
    <w:rsid w:val="000C2EB6"/>
    <w:rsid w:val="000C3660"/>
    <w:rsid w:val="000C3ADF"/>
    <w:rsid w:val="000C41E2"/>
    <w:rsid w:val="000C462F"/>
    <w:rsid w:val="000C4BE4"/>
    <w:rsid w:val="000C5CF6"/>
    <w:rsid w:val="000C60BA"/>
    <w:rsid w:val="000C65FB"/>
    <w:rsid w:val="000C69DE"/>
    <w:rsid w:val="000C7401"/>
    <w:rsid w:val="000D02E1"/>
    <w:rsid w:val="000D0367"/>
    <w:rsid w:val="000D205F"/>
    <w:rsid w:val="000D3318"/>
    <w:rsid w:val="000D3BCD"/>
    <w:rsid w:val="000D3C29"/>
    <w:rsid w:val="000D45C8"/>
    <w:rsid w:val="000D4B2D"/>
    <w:rsid w:val="000D70FA"/>
    <w:rsid w:val="000D7392"/>
    <w:rsid w:val="000D7628"/>
    <w:rsid w:val="000D78C1"/>
    <w:rsid w:val="000D7DD9"/>
    <w:rsid w:val="000E00AC"/>
    <w:rsid w:val="000E0535"/>
    <w:rsid w:val="000E0E21"/>
    <w:rsid w:val="000E12E7"/>
    <w:rsid w:val="000E1DDA"/>
    <w:rsid w:val="000E2094"/>
    <w:rsid w:val="000E21DC"/>
    <w:rsid w:val="000E22C2"/>
    <w:rsid w:val="000E27B9"/>
    <w:rsid w:val="000E3134"/>
    <w:rsid w:val="000E367D"/>
    <w:rsid w:val="000E42A3"/>
    <w:rsid w:val="000E45F1"/>
    <w:rsid w:val="000E48D6"/>
    <w:rsid w:val="000E4D9B"/>
    <w:rsid w:val="000E4EA8"/>
    <w:rsid w:val="000E5C49"/>
    <w:rsid w:val="000E66A4"/>
    <w:rsid w:val="000E68D0"/>
    <w:rsid w:val="000E6B83"/>
    <w:rsid w:val="000E70C7"/>
    <w:rsid w:val="000E781B"/>
    <w:rsid w:val="000E798B"/>
    <w:rsid w:val="000E7CA7"/>
    <w:rsid w:val="000F0948"/>
    <w:rsid w:val="000F0B39"/>
    <w:rsid w:val="000F0D48"/>
    <w:rsid w:val="000F1490"/>
    <w:rsid w:val="000F1BFC"/>
    <w:rsid w:val="000F2124"/>
    <w:rsid w:val="000F45C4"/>
    <w:rsid w:val="000F4AD6"/>
    <w:rsid w:val="000F4F4D"/>
    <w:rsid w:val="000F5371"/>
    <w:rsid w:val="000F58FA"/>
    <w:rsid w:val="000F6EE3"/>
    <w:rsid w:val="000F7AED"/>
    <w:rsid w:val="000F7B0D"/>
    <w:rsid w:val="0010079D"/>
    <w:rsid w:val="001019A3"/>
    <w:rsid w:val="00101C5B"/>
    <w:rsid w:val="00101C7F"/>
    <w:rsid w:val="00101C87"/>
    <w:rsid w:val="00101F9D"/>
    <w:rsid w:val="001032B3"/>
    <w:rsid w:val="00103C94"/>
    <w:rsid w:val="00104591"/>
    <w:rsid w:val="00105B0B"/>
    <w:rsid w:val="0010600D"/>
    <w:rsid w:val="001060A5"/>
    <w:rsid w:val="00106BE5"/>
    <w:rsid w:val="00106E04"/>
    <w:rsid w:val="001076BB"/>
    <w:rsid w:val="00107EE4"/>
    <w:rsid w:val="0011106D"/>
    <w:rsid w:val="001117D2"/>
    <w:rsid w:val="001127B6"/>
    <w:rsid w:val="00112ACB"/>
    <w:rsid w:val="00112D9C"/>
    <w:rsid w:val="001135CA"/>
    <w:rsid w:val="0011378F"/>
    <w:rsid w:val="0011491E"/>
    <w:rsid w:val="00114DC9"/>
    <w:rsid w:val="00114FEB"/>
    <w:rsid w:val="001152B5"/>
    <w:rsid w:val="0011570D"/>
    <w:rsid w:val="00115CA8"/>
    <w:rsid w:val="0011611D"/>
    <w:rsid w:val="00116209"/>
    <w:rsid w:val="001162C5"/>
    <w:rsid w:val="0011704B"/>
    <w:rsid w:val="0011716D"/>
    <w:rsid w:val="00120760"/>
    <w:rsid w:val="001208BF"/>
    <w:rsid w:val="00121840"/>
    <w:rsid w:val="00122019"/>
    <w:rsid w:val="00122D83"/>
    <w:rsid w:val="00123413"/>
    <w:rsid w:val="00123DF9"/>
    <w:rsid w:val="00124496"/>
    <w:rsid w:val="00124ADA"/>
    <w:rsid w:val="00124FEC"/>
    <w:rsid w:val="001250B8"/>
    <w:rsid w:val="00125603"/>
    <w:rsid w:val="00125BDF"/>
    <w:rsid w:val="00126FDA"/>
    <w:rsid w:val="00130B92"/>
    <w:rsid w:val="0013188F"/>
    <w:rsid w:val="00132731"/>
    <w:rsid w:val="00132A35"/>
    <w:rsid w:val="00132FFE"/>
    <w:rsid w:val="00133A0E"/>
    <w:rsid w:val="00133A83"/>
    <w:rsid w:val="001341CC"/>
    <w:rsid w:val="0013498F"/>
    <w:rsid w:val="00134AAD"/>
    <w:rsid w:val="00134B15"/>
    <w:rsid w:val="00134C69"/>
    <w:rsid w:val="00134E62"/>
    <w:rsid w:val="0013597A"/>
    <w:rsid w:val="001368FD"/>
    <w:rsid w:val="0013762F"/>
    <w:rsid w:val="00137989"/>
    <w:rsid w:val="00137EBC"/>
    <w:rsid w:val="001403B2"/>
    <w:rsid w:val="00141F55"/>
    <w:rsid w:val="00143C5B"/>
    <w:rsid w:val="0014481A"/>
    <w:rsid w:val="001448C6"/>
    <w:rsid w:val="00144E07"/>
    <w:rsid w:val="00144F39"/>
    <w:rsid w:val="0014562A"/>
    <w:rsid w:val="001456FB"/>
    <w:rsid w:val="001457B1"/>
    <w:rsid w:val="00145E6D"/>
    <w:rsid w:val="0014650F"/>
    <w:rsid w:val="00146576"/>
    <w:rsid w:val="00146697"/>
    <w:rsid w:val="00146A6E"/>
    <w:rsid w:val="00147831"/>
    <w:rsid w:val="00147ADD"/>
    <w:rsid w:val="001500CE"/>
    <w:rsid w:val="001502F3"/>
    <w:rsid w:val="00150835"/>
    <w:rsid w:val="00150C1E"/>
    <w:rsid w:val="00150E5B"/>
    <w:rsid w:val="00151910"/>
    <w:rsid w:val="00151931"/>
    <w:rsid w:val="001523E4"/>
    <w:rsid w:val="00152508"/>
    <w:rsid w:val="001525D6"/>
    <w:rsid w:val="001529F7"/>
    <w:rsid w:val="00152EC4"/>
    <w:rsid w:val="00153315"/>
    <w:rsid w:val="00153E7E"/>
    <w:rsid w:val="001547B9"/>
    <w:rsid w:val="00154FEF"/>
    <w:rsid w:val="00155CE6"/>
    <w:rsid w:val="0015654F"/>
    <w:rsid w:val="00156B52"/>
    <w:rsid w:val="00156BBD"/>
    <w:rsid w:val="001575A4"/>
    <w:rsid w:val="00157C93"/>
    <w:rsid w:val="00157D61"/>
    <w:rsid w:val="00160B89"/>
    <w:rsid w:val="00161439"/>
    <w:rsid w:val="00162A4A"/>
    <w:rsid w:val="00162EEF"/>
    <w:rsid w:val="00163DB2"/>
    <w:rsid w:val="001643B2"/>
    <w:rsid w:val="00164FC2"/>
    <w:rsid w:val="00165A50"/>
    <w:rsid w:val="00165CC1"/>
    <w:rsid w:val="00165FB1"/>
    <w:rsid w:val="001662AE"/>
    <w:rsid w:val="00166E3E"/>
    <w:rsid w:val="001677C8"/>
    <w:rsid w:val="00167D38"/>
    <w:rsid w:val="001714BA"/>
    <w:rsid w:val="001715EB"/>
    <w:rsid w:val="00171AFA"/>
    <w:rsid w:val="00173BE7"/>
    <w:rsid w:val="00174149"/>
    <w:rsid w:val="001745C4"/>
    <w:rsid w:val="001747C4"/>
    <w:rsid w:val="00175219"/>
    <w:rsid w:val="00175616"/>
    <w:rsid w:val="00175B88"/>
    <w:rsid w:val="001762F3"/>
    <w:rsid w:val="001763B1"/>
    <w:rsid w:val="00176F81"/>
    <w:rsid w:val="0017746D"/>
    <w:rsid w:val="0017796A"/>
    <w:rsid w:val="00177BA6"/>
    <w:rsid w:val="001800DC"/>
    <w:rsid w:val="00180C15"/>
    <w:rsid w:val="001818B4"/>
    <w:rsid w:val="001824F9"/>
    <w:rsid w:val="00182680"/>
    <w:rsid w:val="00182ACD"/>
    <w:rsid w:val="00183C40"/>
    <w:rsid w:val="00184148"/>
    <w:rsid w:val="00184720"/>
    <w:rsid w:val="001854D6"/>
    <w:rsid w:val="00185849"/>
    <w:rsid w:val="001859E1"/>
    <w:rsid w:val="0018659A"/>
    <w:rsid w:val="00186A02"/>
    <w:rsid w:val="00186A36"/>
    <w:rsid w:val="00186CD0"/>
    <w:rsid w:val="00186EDE"/>
    <w:rsid w:val="00187BDD"/>
    <w:rsid w:val="001900F5"/>
    <w:rsid w:val="00190A95"/>
    <w:rsid w:val="0019105B"/>
    <w:rsid w:val="00191587"/>
    <w:rsid w:val="001915A6"/>
    <w:rsid w:val="0019190A"/>
    <w:rsid w:val="001929DB"/>
    <w:rsid w:val="00192B69"/>
    <w:rsid w:val="00192C61"/>
    <w:rsid w:val="0019393F"/>
    <w:rsid w:val="0019441D"/>
    <w:rsid w:val="00195118"/>
    <w:rsid w:val="001966BF"/>
    <w:rsid w:val="00197A21"/>
    <w:rsid w:val="00197BFD"/>
    <w:rsid w:val="00197D57"/>
    <w:rsid w:val="001A0C7E"/>
    <w:rsid w:val="001A286B"/>
    <w:rsid w:val="001A325D"/>
    <w:rsid w:val="001A4010"/>
    <w:rsid w:val="001A48D6"/>
    <w:rsid w:val="001A5A9E"/>
    <w:rsid w:val="001A5DF6"/>
    <w:rsid w:val="001A6714"/>
    <w:rsid w:val="001A6A23"/>
    <w:rsid w:val="001A7367"/>
    <w:rsid w:val="001B15F3"/>
    <w:rsid w:val="001B2311"/>
    <w:rsid w:val="001B23A1"/>
    <w:rsid w:val="001B2953"/>
    <w:rsid w:val="001B2CAC"/>
    <w:rsid w:val="001B3204"/>
    <w:rsid w:val="001B44C8"/>
    <w:rsid w:val="001B4B46"/>
    <w:rsid w:val="001B5764"/>
    <w:rsid w:val="001B59B9"/>
    <w:rsid w:val="001B59E0"/>
    <w:rsid w:val="001B6BF3"/>
    <w:rsid w:val="001B7144"/>
    <w:rsid w:val="001C0794"/>
    <w:rsid w:val="001C0BFC"/>
    <w:rsid w:val="001C0D2B"/>
    <w:rsid w:val="001C2B25"/>
    <w:rsid w:val="001C3A1E"/>
    <w:rsid w:val="001C4BC4"/>
    <w:rsid w:val="001C6757"/>
    <w:rsid w:val="001C6949"/>
    <w:rsid w:val="001C724D"/>
    <w:rsid w:val="001C7717"/>
    <w:rsid w:val="001C7D93"/>
    <w:rsid w:val="001C7E17"/>
    <w:rsid w:val="001D0199"/>
    <w:rsid w:val="001D0337"/>
    <w:rsid w:val="001D0B91"/>
    <w:rsid w:val="001D1207"/>
    <w:rsid w:val="001D1801"/>
    <w:rsid w:val="001D1C97"/>
    <w:rsid w:val="001D1F4B"/>
    <w:rsid w:val="001D2216"/>
    <w:rsid w:val="001D2BB2"/>
    <w:rsid w:val="001D3738"/>
    <w:rsid w:val="001D3BBD"/>
    <w:rsid w:val="001D4BC5"/>
    <w:rsid w:val="001D5084"/>
    <w:rsid w:val="001D557C"/>
    <w:rsid w:val="001D57A4"/>
    <w:rsid w:val="001D5CFD"/>
    <w:rsid w:val="001D657B"/>
    <w:rsid w:val="001D6789"/>
    <w:rsid w:val="001D67BD"/>
    <w:rsid w:val="001D7C78"/>
    <w:rsid w:val="001D7D6A"/>
    <w:rsid w:val="001E0497"/>
    <w:rsid w:val="001E078C"/>
    <w:rsid w:val="001E0BAB"/>
    <w:rsid w:val="001E0F2C"/>
    <w:rsid w:val="001E1F14"/>
    <w:rsid w:val="001E3226"/>
    <w:rsid w:val="001E333E"/>
    <w:rsid w:val="001E3508"/>
    <w:rsid w:val="001E4161"/>
    <w:rsid w:val="001E43E6"/>
    <w:rsid w:val="001E48AC"/>
    <w:rsid w:val="001E4D54"/>
    <w:rsid w:val="001E520E"/>
    <w:rsid w:val="001E572F"/>
    <w:rsid w:val="001E66AE"/>
    <w:rsid w:val="001E66C8"/>
    <w:rsid w:val="001E6F33"/>
    <w:rsid w:val="001E7826"/>
    <w:rsid w:val="001E78CF"/>
    <w:rsid w:val="001E7A70"/>
    <w:rsid w:val="001F00F5"/>
    <w:rsid w:val="001F22FC"/>
    <w:rsid w:val="001F2974"/>
    <w:rsid w:val="001F3371"/>
    <w:rsid w:val="001F3861"/>
    <w:rsid w:val="001F3886"/>
    <w:rsid w:val="001F4DB6"/>
    <w:rsid w:val="001F63CA"/>
    <w:rsid w:val="001F6CA1"/>
    <w:rsid w:val="001F711A"/>
    <w:rsid w:val="001F7508"/>
    <w:rsid w:val="002000EB"/>
    <w:rsid w:val="00202682"/>
    <w:rsid w:val="0020316C"/>
    <w:rsid w:val="00203428"/>
    <w:rsid w:val="00203537"/>
    <w:rsid w:val="0020356A"/>
    <w:rsid w:val="002039FF"/>
    <w:rsid w:val="00203B05"/>
    <w:rsid w:val="00204C08"/>
    <w:rsid w:val="0020508E"/>
    <w:rsid w:val="002056F0"/>
    <w:rsid w:val="00205777"/>
    <w:rsid w:val="00205B12"/>
    <w:rsid w:val="0020664E"/>
    <w:rsid w:val="00210293"/>
    <w:rsid w:val="00211635"/>
    <w:rsid w:val="002119DF"/>
    <w:rsid w:val="00211DA4"/>
    <w:rsid w:val="00211F41"/>
    <w:rsid w:val="002129E5"/>
    <w:rsid w:val="00212E77"/>
    <w:rsid w:val="00212F12"/>
    <w:rsid w:val="002130EF"/>
    <w:rsid w:val="002140A5"/>
    <w:rsid w:val="00215E4D"/>
    <w:rsid w:val="002160A4"/>
    <w:rsid w:val="0021637C"/>
    <w:rsid w:val="00216B60"/>
    <w:rsid w:val="00217233"/>
    <w:rsid w:val="00217604"/>
    <w:rsid w:val="0021770E"/>
    <w:rsid w:val="0022078B"/>
    <w:rsid w:val="00220B77"/>
    <w:rsid w:val="00220CC1"/>
    <w:rsid w:val="00221876"/>
    <w:rsid w:val="002218EA"/>
    <w:rsid w:val="00222276"/>
    <w:rsid w:val="002223EF"/>
    <w:rsid w:val="00222E59"/>
    <w:rsid w:val="002241A8"/>
    <w:rsid w:val="002247A4"/>
    <w:rsid w:val="00224BF4"/>
    <w:rsid w:val="00224E73"/>
    <w:rsid w:val="00225954"/>
    <w:rsid w:val="00225A3E"/>
    <w:rsid w:val="00225D7F"/>
    <w:rsid w:val="00225F33"/>
    <w:rsid w:val="00226812"/>
    <w:rsid w:val="00226874"/>
    <w:rsid w:val="00226876"/>
    <w:rsid w:val="0022713F"/>
    <w:rsid w:val="0022747C"/>
    <w:rsid w:val="002275D1"/>
    <w:rsid w:val="00230A1F"/>
    <w:rsid w:val="002316AE"/>
    <w:rsid w:val="00231F3C"/>
    <w:rsid w:val="002328F6"/>
    <w:rsid w:val="00232B3B"/>
    <w:rsid w:val="00232EB9"/>
    <w:rsid w:val="00232FB3"/>
    <w:rsid w:val="00233613"/>
    <w:rsid w:val="0023395E"/>
    <w:rsid w:val="00233D03"/>
    <w:rsid w:val="00233D8A"/>
    <w:rsid w:val="00234E50"/>
    <w:rsid w:val="00235C12"/>
    <w:rsid w:val="00235F58"/>
    <w:rsid w:val="002364B5"/>
    <w:rsid w:val="002365BA"/>
    <w:rsid w:val="00236603"/>
    <w:rsid w:val="00236C38"/>
    <w:rsid w:val="00237431"/>
    <w:rsid w:val="00240BC8"/>
    <w:rsid w:val="00241CAA"/>
    <w:rsid w:val="00241E57"/>
    <w:rsid w:val="00241ED4"/>
    <w:rsid w:val="002422DB"/>
    <w:rsid w:val="00243173"/>
    <w:rsid w:val="00243895"/>
    <w:rsid w:val="00243DB9"/>
    <w:rsid w:val="00244445"/>
    <w:rsid w:val="00244524"/>
    <w:rsid w:val="00244B63"/>
    <w:rsid w:val="002450C4"/>
    <w:rsid w:val="00246D58"/>
    <w:rsid w:val="00246F74"/>
    <w:rsid w:val="00246FB1"/>
    <w:rsid w:val="00247E0E"/>
    <w:rsid w:val="00250473"/>
    <w:rsid w:val="002507F6"/>
    <w:rsid w:val="002509E2"/>
    <w:rsid w:val="00250A33"/>
    <w:rsid w:val="00250EF8"/>
    <w:rsid w:val="00251205"/>
    <w:rsid w:val="00251EFC"/>
    <w:rsid w:val="00252E15"/>
    <w:rsid w:val="0025380E"/>
    <w:rsid w:val="00254275"/>
    <w:rsid w:val="002550BE"/>
    <w:rsid w:val="00255B7C"/>
    <w:rsid w:val="00255D7C"/>
    <w:rsid w:val="00255D9C"/>
    <w:rsid w:val="00255F80"/>
    <w:rsid w:val="00255FDF"/>
    <w:rsid w:val="00256C7F"/>
    <w:rsid w:val="00257001"/>
    <w:rsid w:val="0025792C"/>
    <w:rsid w:val="00257B5F"/>
    <w:rsid w:val="00260165"/>
    <w:rsid w:val="00261E94"/>
    <w:rsid w:val="00261FEC"/>
    <w:rsid w:val="00262175"/>
    <w:rsid w:val="002624C4"/>
    <w:rsid w:val="0026272A"/>
    <w:rsid w:val="00262FAB"/>
    <w:rsid w:val="00263297"/>
    <w:rsid w:val="00263AF6"/>
    <w:rsid w:val="00263F62"/>
    <w:rsid w:val="002656BC"/>
    <w:rsid w:val="00265C7A"/>
    <w:rsid w:val="0026642D"/>
    <w:rsid w:val="002669A0"/>
    <w:rsid w:val="00267B14"/>
    <w:rsid w:val="00270892"/>
    <w:rsid w:val="002708E2"/>
    <w:rsid w:val="00270F51"/>
    <w:rsid w:val="00271B17"/>
    <w:rsid w:val="0027203E"/>
    <w:rsid w:val="0027217D"/>
    <w:rsid w:val="00272338"/>
    <w:rsid w:val="002724D2"/>
    <w:rsid w:val="00272C13"/>
    <w:rsid w:val="00272D24"/>
    <w:rsid w:val="00272E77"/>
    <w:rsid w:val="00273033"/>
    <w:rsid w:val="002737A3"/>
    <w:rsid w:val="00273F38"/>
    <w:rsid w:val="00274F99"/>
    <w:rsid w:val="00275440"/>
    <w:rsid w:val="0027675F"/>
    <w:rsid w:val="00276B13"/>
    <w:rsid w:val="00276D60"/>
    <w:rsid w:val="00277941"/>
    <w:rsid w:val="00280AE0"/>
    <w:rsid w:val="0028105C"/>
    <w:rsid w:val="00281D39"/>
    <w:rsid w:val="00282475"/>
    <w:rsid w:val="00282DED"/>
    <w:rsid w:val="00282F6A"/>
    <w:rsid w:val="002837DE"/>
    <w:rsid w:val="00284A9B"/>
    <w:rsid w:val="00284EA8"/>
    <w:rsid w:val="0028522A"/>
    <w:rsid w:val="00285281"/>
    <w:rsid w:val="00286048"/>
    <w:rsid w:val="00286CEA"/>
    <w:rsid w:val="002879BC"/>
    <w:rsid w:val="00287C0E"/>
    <w:rsid w:val="00287F67"/>
    <w:rsid w:val="00290102"/>
    <w:rsid w:val="0029020A"/>
    <w:rsid w:val="00290FBC"/>
    <w:rsid w:val="002913C2"/>
    <w:rsid w:val="00291786"/>
    <w:rsid w:val="00292A8F"/>
    <w:rsid w:val="00293090"/>
    <w:rsid w:val="00293F20"/>
    <w:rsid w:val="0029437A"/>
    <w:rsid w:val="00294498"/>
    <w:rsid w:val="002947AA"/>
    <w:rsid w:val="002949C9"/>
    <w:rsid w:val="00294E74"/>
    <w:rsid w:val="002960FB"/>
    <w:rsid w:val="002969C6"/>
    <w:rsid w:val="002975ED"/>
    <w:rsid w:val="002977E0"/>
    <w:rsid w:val="002A022F"/>
    <w:rsid w:val="002A0920"/>
    <w:rsid w:val="002A1BF8"/>
    <w:rsid w:val="002A26E0"/>
    <w:rsid w:val="002A3F06"/>
    <w:rsid w:val="002A4160"/>
    <w:rsid w:val="002A4DA6"/>
    <w:rsid w:val="002A5356"/>
    <w:rsid w:val="002A53D3"/>
    <w:rsid w:val="002A5B9E"/>
    <w:rsid w:val="002A60EC"/>
    <w:rsid w:val="002B0390"/>
    <w:rsid w:val="002B07B1"/>
    <w:rsid w:val="002B07F7"/>
    <w:rsid w:val="002B1C10"/>
    <w:rsid w:val="002B1D49"/>
    <w:rsid w:val="002B1E04"/>
    <w:rsid w:val="002B1E7E"/>
    <w:rsid w:val="002B2B67"/>
    <w:rsid w:val="002B3752"/>
    <w:rsid w:val="002B3774"/>
    <w:rsid w:val="002B3AC6"/>
    <w:rsid w:val="002B3E05"/>
    <w:rsid w:val="002B3E61"/>
    <w:rsid w:val="002B4BDC"/>
    <w:rsid w:val="002B4CAA"/>
    <w:rsid w:val="002B5D5C"/>
    <w:rsid w:val="002B64CA"/>
    <w:rsid w:val="002B65E9"/>
    <w:rsid w:val="002B6740"/>
    <w:rsid w:val="002B71F6"/>
    <w:rsid w:val="002C035A"/>
    <w:rsid w:val="002C05BC"/>
    <w:rsid w:val="002C0A86"/>
    <w:rsid w:val="002C0D8F"/>
    <w:rsid w:val="002C1B94"/>
    <w:rsid w:val="002C2A52"/>
    <w:rsid w:val="002C2AFC"/>
    <w:rsid w:val="002C2B1E"/>
    <w:rsid w:val="002C2FDE"/>
    <w:rsid w:val="002C486B"/>
    <w:rsid w:val="002C4FF3"/>
    <w:rsid w:val="002C6CEB"/>
    <w:rsid w:val="002C72B7"/>
    <w:rsid w:val="002D0393"/>
    <w:rsid w:val="002D0B73"/>
    <w:rsid w:val="002D0F55"/>
    <w:rsid w:val="002D152D"/>
    <w:rsid w:val="002D16B4"/>
    <w:rsid w:val="002D1D6A"/>
    <w:rsid w:val="002D1EFC"/>
    <w:rsid w:val="002D23B6"/>
    <w:rsid w:val="002D2D88"/>
    <w:rsid w:val="002D2F0F"/>
    <w:rsid w:val="002D2F71"/>
    <w:rsid w:val="002D3829"/>
    <w:rsid w:val="002D485A"/>
    <w:rsid w:val="002D4DDA"/>
    <w:rsid w:val="002D52AA"/>
    <w:rsid w:val="002D5608"/>
    <w:rsid w:val="002D5725"/>
    <w:rsid w:val="002D6387"/>
    <w:rsid w:val="002D74EF"/>
    <w:rsid w:val="002E01CC"/>
    <w:rsid w:val="002E0AFF"/>
    <w:rsid w:val="002E104E"/>
    <w:rsid w:val="002E11CD"/>
    <w:rsid w:val="002E136F"/>
    <w:rsid w:val="002E2044"/>
    <w:rsid w:val="002E2351"/>
    <w:rsid w:val="002E2DD1"/>
    <w:rsid w:val="002E30E1"/>
    <w:rsid w:val="002E311D"/>
    <w:rsid w:val="002E45E8"/>
    <w:rsid w:val="002E5129"/>
    <w:rsid w:val="002E53D8"/>
    <w:rsid w:val="002E5EE7"/>
    <w:rsid w:val="002E6972"/>
    <w:rsid w:val="002F03ED"/>
    <w:rsid w:val="002F05C6"/>
    <w:rsid w:val="002F107E"/>
    <w:rsid w:val="002F149D"/>
    <w:rsid w:val="002F28BC"/>
    <w:rsid w:val="002F2FC8"/>
    <w:rsid w:val="002F3CCD"/>
    <w:rsid w:val="002F3DEA"/>
    <w:rsid w:val="002F4066"/>
    <w:rsid w:val="002F45F5"/>
    <w:rsid w:val="002F4FB3"/>
    <w:rsid w:val="002F5030"/>
    <w:rsid w:val="002F5263"/>
    <w:rsid w:val="002F5AF9"/>
    <w:rsid w:val="002F6B68"/>
    <w:rsid w:val="002F710C"/>
    <w:rsid w:val="002F7879"/>
    <w:rsid w:val="002F7972"/>
    <w:rsid w:val="00300A4F"/>
    <w:rsid w:val="003012D7"/>
    <w:rsid w:val="003016F0"/>
    <w:rsid w:val="00301812"/>
    <w:rsid w:val="00301A12"/>
    <w:rsid w:val="00302552"/>
    <w:rsid w:val="00302F20"/>
    <w:rsid w:val="003031D7"/>
    <w:rsid w:val="0030365F"/>
    <w:rsid w:val="0030384C"/>
    <w:rsid w:val="00304373"/>
    <w:rsid w:val="0030450A"/>
    <w:rsid w:val="00304F89"/>
    <w:rsid w:val="00305387"/>
    <w:rsid w:val="0030564E"/>
    <w:rsid w:val="0030580B"/>
    <w:rsid w:val="00305E48"/>
    <w:rsid w:val="003063D1"/>
    <w:rsid w:val="0030711F"/>
    <w:rsid w:val="003074FD"/>
    <w:rsid w:val="00307E91"/>
    <w:rsid w:val="00310331"/>
    <w:rsid w:val="003106E6"/>
    <w:rsid w:val="00310D04"/>
    <w:rsid w:val="00310F37"/>
    <w:rsid w:val="00310FC7"/>
    <w:rsid w:val="00311413"/>
    <w:rsid w:val="003118AE"/>
    <w:rsid w:val="00311A21"/>
    <w:rsid w:val="00311F27"/>
    <w:rsid w:val="00312270"/>
    <w:rsid w:val="00312465"/>
    <w:rsid w:val="00312E07"/>
    <w:rsid w:val="003132B2"/>
    <w:rsid w:val="00314A80"/>
    <w:rsid w:val="003151AC"/>
    <w:rsid w:val="00315AF8"/>
    <w:rsid w:val="0031647E"/>
    <w:rsid w:val="0031771C"/>
    <w:rsid w:val="00317AF7"/>
    <w:rsid w:val="00317D41"/>
    <w:rsid w:val="00320450"/>
    <w:rsid w:val="0032082D"/>
    <w:rsid w:val="00320C23"/>
    <w:rsid w:val="00320CCE"/>
    <w:rsid w:val="00321B2B"/>
    <w:rsid w:val="00321FFA"/>
    <w:rsid w:val="00322CDA"/>
    <w:rsid w:val="0032330D"/>
    <w:rsid w:val="003233A6"/>
    <w:rsid w:val="003234E0"/>
    <w:rsid w:val="00323D1C"/>
    <w:rsid w:val="00323D54"/>
    <w:rsid w:val="00323F1A"/>
    <w:rsid w:val="00324812"/>
    <w:rsid w:val="00324B09"/>
    <w:rsid w:val="00324C8C"/>
    <w:rsid w:val="00324FCF"/>
    <w:rsid w:val="00325844"/>
    <w:rsid w:val="00327166"/>
    <w:rsid w:val="00327729"/>
    <w:rsid w:val="003277FC"/>
    <w:rsid w:val="0032781A"/>
    <w:rsid w:val="00330382"/>
    <w:rsid w:val="00330BD7"/>
    <w:rsid w:val="00330F4E"/>
    <w:rsid w:val="0033142F"/>
    <w:rsid w:val="00331D3A"/>
    <w:rsid w:val="00332069"/>
    <w:rsid w:val="003324EA"/>
    <w:rsid w:val="00332E5A"/>
    <w:rsid w:val="00333206"/>
    <w:rsid w:val="00333786"/>
    <w:rsid w:val="00334456"/>
    <w:rsid w:val="0033471D"/>
    <w:rsid w:val="00335D9E"/>
    <w:rsid w:val="00335DCC"/>
    <w:rsid w:val="00336F9E"/>
    <w:rsid w:val="0033747E"/>
    <w:rsid w:val="00337505"/>
    <w:rsid w:val="0034042D"/>
    <w:rsid w:val="003409D1"/>
    <w:rsid w:val="00340EE7"/>
    <w:rsid w:val="00340F5F"/>
    <w:rsid w:val="00341768"/>
    <w:rsid w:val="00343352"/>
    <w:rsid w:val="003436CB"/>
    <w:rsid w:val="00343E66"/>
    <w:rsid w:val="00343F1E"/>
    <w:rsid w:val="00343F57"/>
    <w:rsid w:val="0034410C"/>
    <w:rsid w:val="00344179"/>
    <w:rsid w:val="0034432E"/>
    <w:rsid w:val="003452E0"/>
    <w:rsid w:val="003457ED"/>
    <w:rsid w:val="00345D2D"/>
    <w:rsid w:val="00345E75"/>
    <w:rsid w:val="00345F98"/>
    <w:rsid w:val="00346489"/>
    <w:rsid w:val="0034672B"/>
    <w:rsid w:val="00346AC8"/>
    <w:rsid w:val="00346E7A"/>
    <w:rsid w:val="00347274"/>
    <w:rsid w:val="003472C0"/>
    <w:rsid w:val="00347449"/>
    <w:rsid w:val="0035001E"/>
    <w:rsid w:val="00350D84"/>
    <w:rsid w:val="00350EE7"/>
    <w:rsid w:val="00351ECF"/>
    <w:rsid w:val="00352F3F"/>
    <w:rsid w:val="0035307C"/>
    <w:rsid w:val="003535AE"/>
    <w:rsid w:val="00353CB9"/>
    <w:rsid w:val="00353D5C"/>
    <w:rsid w:val="00353FB1"/>
    <w:rsid w:val="003548E6"/>
    <w:rsid w:val="00355B06"/>
    <w:rsid w:val="00355ED5"/>
    <w:rsid w:val="00355FB3"/>
    <w:rsid w:val="003567B1"/>
    <w:rsid w:val="00356CCB"/>
    <w:rsid w:val="003577E5"/>
    <w:rsid w:val="003604FF"/>
    <w:rsid w:val="003613AB"/>
    <w:rsid w:val="0036156A"/>
    <w:rsid w:val="00361A96"/>
    <w:rsid w:val="003628BF"/>
    <w:rsid w:val="00362907"/>
    <w:rsid w:val="00362A36"/>
    <w:rsid w:val="00363725"/>
    <w:rsid w:val="00363ECA"/>
    <w:rsid w:val="00364626"/>
    <w:rsid w:val="00364C87"/>
    <w:rsid w:val="0036561F"/>
    <w:rsid w:val="003656E5"/>
    <w:rsid w:val="00365A45"/>
    <w:rsid w:val="00365A96"/>
    <w:rsid w:val="00365B4A"/>
    <w:rsid w:val="00365BDC"/>
    <w:rsid w:val="00365BF7"/>
    <w:rsid w:val="003660A8"/>
    <w:rsid w:val="003668F6"/>
    <w:rsid w:val="00366CD7"/>
    <w:rsid w:val="00366F66"/>
    <w:rsid w:val="0036703A"/>
    <w:rsid w:val="003672EF"/>
    <w:rsid w:val="00367A21"/>
    <w:rsid w:val="00367B12"/>
    <w:rsid w:val="00370EC9"/>
    <w:rsid w:val="00371CC6"/>
    <w:rsid w:val="00371F6B"/>
    <w:rsid w:val="0037255E"/>
    <w:rsid w:val="0037258F"/>
    <w:rsid w:val="00372B9A"/>
    <w:rsid w:val="00373A3A"/>
    <w:rsid w:val="00373F7A"/>
    <w:rsid w:val="0037433D"/>
    <w:rsid w:val="003753A4"/>
    <w:rsid w:val="00376485"/>
    <w:rsid w:val="00376D56"/>
    <w:rsid w:val="00376E4F"/>
    <w:rsid w:val="00376EA6"/>
    <w:rsid w:val="003770F7"/>
    <w:rsid w:val="003775C9"/>
    <w:rsid w:val="0037792E"/>
    <w:rsid w:val="00377E01"/>
    <w:rsid w:val="00377E07"/>
    <w:rsid w:val="003802B6"/>
    <w:rsid w:val="0038046C"/>
    <w:rsid w:val="0038076A"/>
    <w:rsid w:val="00380C27"/>
    <w:rsid w:val="003812E3"/>
    <w:rsid w:val="003813F5"/>
    <w:rsid w:val="00381DC4"/>
    <w:rsid w:val="003823DB"/>
    <w:rsid w:val="00383123"/>
    <w:rsid w:val="0038317E"/>
    <w:rsid w:val="00383358"/>
    <w:rsid w:val="00383897"/>
    <w:rsid w:val="003838BF"/>
    <w:rsid w:val="00383B6E"/>
    <w:rsid w:val="00383E7E"/>
    <w:rsid w:val="00384251"/>
    <w:rsid w:val="00384525"/>
    <w:rsid w:val="00384753"/>
    <w:rsid w:val="003854A8"/>
    <w:rsid w:val="0038555E"/>
    <w:rsid w:val="003860C6"/>
    <w:rsid w:val="00387036"/>
    <w:rsid w:val="00390303"/>
    <w:rsid w:val="003905F1"/>
    <w:rsid w:val="003906E6"/>
    <w:rsid w:val="00390810"/>
    <w:rsid w:val="00390A19"/>
    <w:rsid w:val="00392205"/>
    <w:rsid w:val="0039221B"/>
    <w:rsid w:val="003922DA"/>
    <w:rsid w:val="0039321E"/>
    <w:rsid w:val="00393F90"/>
    <w:rsid w:val="00395547"/>
    <w:rsid w:val="0039619C"/>
    <w:rsid w:val="003973CC"/>
    <w:rsid w:val="003A0699"/>
    <w:rsid w:val="003A12BF"/>
    <w:rsid w:val="003A156F"/>
    <w:rsid w:val="003A1B53"/>
    <w:rsid w:val="003A2DA6"/>
    <w:rsid w:val="003A46A1"/>
    <w:rsid w:val="003A4850"/>
    <w:rsid w:val="003A545E"/>
    <w:rsid w:val="003A578C"/>
    <w:rsid w:val="003A599D"/>
    <w:rsid w:val="003A5CB5"/>
    <w:rsid w:val="003A665C"/>
    <w:rsid w:val="003A671A"/>
    <w:rsid w:val="003A68FF"/>
    <w:rsid w:val="003B0019"/>
    <w:rsid w:val="003B18AA"/>
    <w:rsid w:val="003B2028"/>
    <w:rsid w:val="003B2B7D"/>
    <w:rsid w:val="003B4A76"/>
    <w:rsid w:val="003B4CBA"/>
    <w:rsid w:val="003B4FAF"/>
    <w:rsid w:val="003B5623"/>
    <w:rsid w:val="003B5C00"/>
    <w:rsid w:val="003B613D"/>
    <w:rsid w:val="003B657C"/>
    <w:rsid w:val="003B765A"/>
    <w:rsid w:val="003B7828"/>
    <w:rsid w:val="003C0175"/>
    <w:rsid w:val="003C018C"/>
    <w:rsid w:val="003C1DAE"/>
    <w:rsid w:val="003C2FE4"/>
    <w:rsid w:val="003C4CEC"/>
    <w:rsid w:val="003C52AC"/>
    <w:rsid w:val="003C55ED"/>
    <w:rsid w:val="003C7E31"/>
    <w:rsid w:val="003C7F8C"/>
    <w:rsid w:val="003D068B"/>
    <w:rsid w:val="003D0952"/>
    <w:rsid w:val="003D0AF3"/>
    <w:rsid w:val="003D10AD"/>
    <w:rsid w:val="003D17D5"/>
    <w:rsid w:val="003D1A76"/>
    <w:rsid w:val="003D243F"/>
    <w:rsid w:val="003D3534"/>
    <w:rsid w:val="003D3B15"/>
    <w:rsid w:val="003D4A79"/>
    <w:rsid w:val="003D504A"/>
    <w:rsid w:val="003D5D89"/>
    <w:rsid w:val="003D5FD0"/>
    <w:rsid w:val="003D7206"/>
    <w:rsid w:val="003E0E09"/>
    <w:rsid w:val="003E1FF1"/>
    <w:rsid w:val="003E20D2"/>
    <w:rsid w:val="003E28FB"/>
    <w:rsid w:val="003E2B79"/>
    <w:rsid w:val="003E3156"/>
    <w:rsid w:val="003E3526"/>
    <w:rsid w:val="003E45FB"/>
    <w:rsid w:val="003E47A4"/>
    <w:rsid w:val="003E4BF6"/>
    <w:rsid w:val="003E5C00"/>
    <w:rsid w:val="003E652E"/>
    <w:rsid w:val="003F0043"/>
    <w:rsid w:val="003F09D8"/>
    <w:rsid w:val="003F1527"/>
    <w:rsid w:val="003F20C6"/>
    <w:rsid w:val="003F3506"/>
    <w:rsid w:val="003F44AA"/>
    <w:rsid w:val="003F459B"/>
    <w:rsid w:val="003F4B67"/>
    <w:rsid w:val="003F5285"/>
    <w:rsid w:val="003F54FF"/>
    <w:rsid w:val="003F5737"/>
    <w:rsid w:val="003F6090"/>
    <w:rsid w:val="003F643C"/>
    <w:rsid w:val="003F6902"/>
    <w:rsid w:val="003F6BA1"/>
    <w:rsid w:val="003F6FA9"/>
    <w:rsid w:val="003F729E"/>
    <w:rsid w:val="004006F2"/>
    <w:rsid w:val="00400943"/>
    <w:rsid w:val="00400FE2"/>
    <w:rsid w:val="00401237"/>
    <w:rsid w:val="004018C7"/>
    <w:rsid w:val="004027C2"/>
    <w:rsid w:val="004032AA"/>
    <w:rsid w:val="004035C4"/>
    <w:rsid w:val="004038D0"/>
    <w:rsid w:val="00403C4B"/>
    <w:rsid w:val="00403FB8"/>
    <w:rsid w:val="00405019"/>
    <w:rsid w:val="00405650"/>
    <w:rsid w:val="0040566E"/>
    <w:rsid w:val="00406516"/>
    <w:rsid w:val="0040746B"/>
    <w:rsid w:val="0040762E"/>
    <w:rsid w:val="0040764A"/>
    <w:rsid w:val="00407680"/>
    <w:rsid w:val="00410455"/>
    <w:rsid w:val="00410546"/>
    <w:rsid w:val="00410E81"/>
    <w:rsid w:val="004118E1"/>
    <w:rsid w:val="0041197D"/>
    <w:rsid w:val="004125EA"/>
    <w:rsid w:val="00412871"/>
    <w:rsid w:val="00413401"/>
    <w:rsid w:val="004139A9"/>
    <w:rsid w:val="00413B74"/>
    <w:rsid w:val="004141A5"/>
    <w:rsid w:val="00414A13"/>
    <w:rsid w:val="00414A3C"/>
    <w:rsid w:val="00414A51"/>
    <w:rsid w:val="00414DAA"/>
    <w:rsid w:val="004151E4"/>
    <w:rsid w:val="00415D67"/>
    <w:rsid w:val="00416C98"/>
    <w:rsid w:val="0041759B"/>
    <w:rsid w:val="004175E2"/>
    <w:rsid w:val="0041778E"/>
    <w:rsid w:val="00420139"/>
    <w:rsid w:val="004206C5"/>
    <w:rsid w:val="0042257F"/>
    <w:rsid w:val="00422D8B"/>
    <w:rsid w:val="00422EB5"/>
    <w:rsid w:val="0042325B"/>
    <w:rsid w:val="0042339C"/>
    <w:rsid w:val="004233E2"/>
    <w:rsid w:val="00423827"/>
    <w:rsid w:val="00423AE6"/>
    <w:rsid w:val="00423CA7"/>
    <w:rsid w:val="0042455F"/>
    <w:rsid w:val="00424A78"/>
    <w:rsid w:val="00425460"/>
    <w:rsid w:val="00425A33"/>
    <w:rsid w:val="00425F7A"/>
    <w:rsid w:val="00426967"/>
    <w:rsid w:val="00426B6F"/>
    <w:rsid w:val="0042707A"/>
    <w:rsid w:val="00427699"/>
    <w:rsid w:val="0042782C"/>
    <w:rsid w:val="00427868"/>
    <w:rsid w:val="00427E85"/>
    <w:rsid w:val="00430535"/>
    <w:rsid w:val="004306AD"/>
    <w:rsid w:val="00430E13"/>
    <w:rsid w:val="004310A4"/>
    <w:rsid w:val="00431F31"/>
    <w:rsid w:val="004322AB"/>
    <w:rsid w:val="00433C89"/>
    <w:rsid w:val="004344F4"/>
    <w:rsid w:val="00434B51"/>
    <w:rsid w:val="0043531B"/>
    <w:rsid w:val="00435332"/>
    <w:rsid w:val="004354AC"/>
    <w:rsid w:val="00435A6A"/>
    <w:rsid w:val="0043687D"/>
    <w:rsid w:val="00436DB7"/>
    <w:rsid w:val="00437140"/>
    <w:rsid w:val="00440ED5"/>
    <w:rsid w:val="004419C7"/>
    <w:rsid w:val="00441D06"/>
    <w:rsid w:val="004421CD"/>
    <w:rsid w:val="004423E6"/>
    <w:rsid w:val="004424D2"/>
    <w:rsid w:val="00443950"/>
    <w:rsid w:val="00444054"/>
    <w:rsid w:val="004442CC"/>
    <w:rsid w:val="00446793"/>
    <w:rsid w:val="00446B19"/>
    <w:rsid w:val="00446E6E"/>
    <w:rsid w:val="00447096"/>
    <w:rsid w:val="0045031F"/>
    <w:rsid w:val="00452B98"/>
    <w:rsid w:val="00452D20"/>
    <w:rsid w:val="0045383E"/>
    <w:rsid w:val="00454310"/>
    <w:rsid w:val="00454768"/>
    <w:rsid w:val="00454878"/>
    <w:rsid w:val="00455050"/>
    <w:rsid w:val="00455197"/>
    <w:rsid w:val="00455655"/>
    <w:rsid w:val="00457179"/>
    <w:rsid w:val="0045758A"/>
    <w:rsid w:val="00457719"/>
    <w:rsid w:val="00457E34"/>
    <w:rsid w:val="00460500"/>
    <w:rsid w:val="00462AC0"/>
    <w:rsid w:val="00462D77"/>
    <w:rsid w:val="00463F12"/>
    <w:rsid w:val="00464547"/>
    <w:rsid w:val="0046485E"/>
    <w:rsid w:val="00464F18"/>
    <w:rsid w:val="004651FD"/>
    <w:rsid w:val="004657BE"/>
    <w:rsid w:val="0046647F"/>
    <w:rsid w:val="004665F0"/>
    <w:rsid w:val="00466A21"/>
    <w:rsid w:val="00466C19"/>
    <w:rsid w:val="004674AA"/>
    <w:rsid w:val="00467D49"/>
    <w:rsid w:val="0047044E"/>
    <w:rsid w:val="00470F9C"/>
    <w:rsid w:val="00471307"/>
    <w:rsid w:val="004720F3"/>
    <w:rsid w:val="004723F2"/>
    <w:rsid w:val="00473979"/>
    <w:rsid w:val="004739DB"/>
    <w:rsid w:val="00473B74"/>
    <w:rsid w:val="00473BA7"/>
    <w:rsid w:val="004741A4"/>
    <w:rsid w:val="0047468E"/>
    <w:rsid w:val="00474ECF"/>
    <w:rsid w:val="00475D23"/>
    <w:rsid w:val="004768EF"/>
    <w:rsid w:val="00476D71"/>
    <w:rsid w:val="00476E40"/>
    <w:rsid w:val="004770B0"/>
    <w:rsid w:val="004776DD"/>
    <w:rsid w:val="00480431"/>
    <w:rsid w:val="00481254"/>
    <w:rsid w:val="0048176C"/>
    <w:rsid w:val="00481AB5"/>
    <w:rsid w:val="00482BAD"/>
    <w:rsid w:val="00483383"/>
    <w:rsid w:val="004836A3"/>
    <w:rsid w:val="00483FEF"/>
    <w:rsid w:val="004842DC"/>
    <w:rsid w:val="004843B9"/>
    <w:rsid w:val="004863AE"/>
    <w:rsid w:val="00486536"/>
    <w:rsid w:val="00486575"/>
    <w:rsid w:val="00486E54"/>
    <w:rsid w:val="004875D0"/>
    <w:rsid w:val="0048774F"/>
    <w:rsid w:val="004878E2"/>
    <w:rsid w:val="004879A0"/>
    <w:rsid w:val="00487C41"/>
    <w:rsid w:val="00490DFF"/>
    <w:rsid w:val="004919D8"/>
    <w:rsid w:val="004921BF"/>
    <w:rsid w:val="00492A73"/>
    <w:rsid w:val="0049326A"/>
    <w:rsid w:val="004939A1"/>
    <w:rsid w:val="00493A3F"/>
    <w:rsid w:val="00494030"/>
    <w:rsid w:val="00494057"/>
    <w:rsid w:val="00494588"/>
    <w:rsid w:val="0049491E"/>
    <w:rsid w:val="00494F17"/>
    <w:rsid w:val="00495A5E"/>
    <w:rsid w:val="004964AB"/>
    <w:rsid w:val="00496953"/>
    <w:rsid w:val="004969E2"/>
    <w:rsid w:val="00496B32"/>
    <w:rsid w:val="00496B74"/>
    <w:rsid w:val="00497028"/>
    <w:rsid w:val="004979E4"/>
    <w:rsid w:val="00497B54"/>
    <w:rsid w:val="00497F94"/>
    <w:rsid w:val="004A0200"/>
    <w:rsid w:val="004A0909"/>
    <w:rsid w:val="004A09D7"/>
    <w:rsid w:val="004A0A32"/>
    <w:rsid w:val="004A0EBB"/>
    <w:rsid w:val="004A1781"/>
    <w:rsid w:val="004A18F8"/>
    <w:rsid w:val="004A1CDD"/>
    <w:rsid w:val="004A1E05"/>
    <w:rsid w:val="004A2510"/>
    <w:rsid w:val="004A2590"/>
    <w:rsid w:val="004A2CE8"/>
    <w:rsid w:val="004A2EBA"/>
    <w:rsid w:val="004A2FF0"/>
    <w:rsid w:val="004A37AA"/>
    <w:rsid w:val="004A3E2B"/>
    <w:rsid w:val="004A48CA"/>
    <w:rsid w:val="004A4B00"/>
    <w:rsid w:val="004A4C5A"/>
    <w:rsid w:val="004A4CB2"/>
    <w:rsid w:val="004A5443"/>
    <w:rsid w:val="004A6174"/>
    <w:rsid w:val="004A6260"/>
    <w:rsid w:val="004B0A7E"/>
    <w:rsid w:val="004B0FA4"/>
    <w:rsid w:val="004B18B5"/>
    <w:rsid w:val="004B2654"/>
    <w:rsid w:val="004B360F"/>
    <w:rsid w:val="004B3A70"/>
    <w:rsid w:val="004B420F"/>
    <w:rsid w:val="004B435A"/>
    <w:rsid w:val="004B566E"/>
    <w:rsid w:val="004B59DE"/>
    <w:rsid w:val="004B68BD"/>
    <w:rsid w:val="004B6B32"/>
    <w:rsid w:val="004B7DBF"/>
    <w:rsid w:val="004C0912"/>
    <w:rsid w:val="004C264F"/>
    <w:rsid w:val="004C41E3"/>
    <w:rsid w:val="004C4393"/>
    <w:rsid w:val="004C543F"/>
    <w:rsid w:val="004C55FB"/>
    <w:rsid w:val="004C6254"/>
    <w:rsid w:val="004C74D9"/>
    <w:rsid w:val="004C7955"/>
    <w:rsid w:val="004D0071"/>
    <w:rsid w:val="004D0A33"/>
    <w:rsid w:val="004D110F"/>
    <w:rsid w:val="004D1110"/>
    <w:rsid w:val="004D1249"/>
    <w:rsid w:val="004D1A1D"/>
    <w:rsid w:val="004D2164"/>
    <w:rsid w:val="004D21D1"/>
    <w:rsid w:val="004D3CB2"/>
    <w:rsid w:val="004D463E"/>
    <w:rsid w:val="004D46DE"/>
    <w:rsid w:val="004D5109"/>
    <w:rsid w:val="004D6AFF"/>
    <w:rsid w:val="004D75E9"/>
    <w:rsid w:val="004D7A72"/>
    <w:rsid w:val="004E0081"/>
    <w:rsid w:val="004E0417"/>
    <w:rsid w:val="004E0548"/>
    <w:rsid w:val="004E08F0"/>
    <w:rsid w:val="004E09F1"/>
    <w:rsid w:val="004E0CF0"/>
    <w:rsid w:val="004E0F8B"/>
    <w:rsid w:val="004E1CF1"/>
    <w:rsid w:val="004E2C7C"/>
    <w:rsid w:val="004E31BF"/>
    <w:rsid w:val="004E4397"/>
    <w:rsid w:val="004E4720"/>
    <w:rsid w:val="004E4D34"/>
    <w:rsid w:val="004E5006"/>
    <w:rsid w:val="004E529D"/>
    <w:rsid w:val="004E5B33"/>
    <w:rsid w:val="004E6095"/>
    <w:rsid w:val="004E64B9"/>
    <w:rsid w:val="004E67DD"/>
    <w:rsid w:val="004E6A89"/>
    <w:rsid w:val="004E7248"/>
    <w:rsid w:val="004E79AA"/>
    <w:rsid w:val="004F1037"/>
    <w:rsid w:val="004F1350"/>
    <w:rsid w:val="004F13A7"/>
    <w:rsid w:val="004F1F6E"/>
    <w:rsid w:val="004F28DA"/>
    <w:rsid w:val="004F2A9E"/>
    <w:rsid w:val="004F2CF4"/>
    <w:rsid w:val="004F3220"/>
    <w:rsid w:val="004F50AB"/>
    <w:rsid w:val="00500F65"/>
    <w:rsid w:val="005011D5"/>
    <w:rsid w:val="00501449"/>
    <w:rsid w:val="0050153D"/>
    <w:rsid w:val="0050263B"/>
    <w:rsid w:val="005027FF"/>
    <w:rsid w:val="00502D4C"/>
    <w:rsid w:val="00504B87"/>
    <w:rsid w:val="00504DF6"/>
    <w:rsid w:val="0050578D"/>
    <w:rsid w:val="00506DC4"/>
    <w:rsid w:val="00507700"/>
    <w:rsid w:val="005103B6"/>
    <w:rsid w:val="0051072E"/>
    <w:rsid w:val="00510809"/>
    <w:rsid w:val="00510AFB"/>
    <w:rsid w:val="0051177D"/>
    <w:rsid w:val="00511B56"/>
    <w:rsid w:val="00511DA2"/>
    <w:rsid w:val="005126E3"/>
    <w:rsid w:val="005127F0"/>
    <w:rsid w:val="00513142"/>
    <w:rsid w:val="005135B2"/>
    <w:rsid w:val="0051443A"/>
    <w:rsid w:val="00515629"/>
    <w:rsid w:val="00516E39"/>
    <w:rsid w:val="00517250"/>
    <w:rsid w:val="00517BC7"/>
    <w:rsid w:val="00517F77"/>
    <w:rsid w:val="00520765"/>
    <w:rsid w:val="00521B7B"/>
    <w:rsid w:val="0052253D"/>
    <w:rsid w:val="00522EF8"/>
    <w:rsid w:val="00525378"/>
    <w:rsid w:val="00525C09"/>
    <w:rsid w:val="00525F6B"/>
    <w:rsid w:val="00526188"/>
    <w:rsid w:val="005264A5"/>
    <w:rsid w:val="00527B55"/>
    <w:rsid w:val="005308B6"/>
    <w:rsid w:val="0053092E"/>
    <w:rsid w:val="00530F3B"/>
    <w:rsid w:val="005324FE"/>
    <w:rsid w:val="00532959"/>
    <w:rsid w:val="0053297C"/>
    <w:rsid w:val="00533383"/>
    <w:rsid w:val="00533508"/>
    <w:rsid w:val="00535117"/>
    <w:rsid w:val="00535436"/>
    <w:rsid w:val="0053563D"/>
    <w:rsid w:val="00535F21"/>
    <w:rsid w:val="00535FA0"/>
    <w:rsid w:val="0053675C"/>
    <w:rsid w:val="00537050"/>
    <w:rsid w:val="005378A7"/>
    <w:rsid w:val="00537DFC"/>
    <w:rsid w:val="00540F53"/>
    <w:rsid w:val="00541284"/>
    <w:rsid w:val="0054186F"/>
    <w:rsid w:val="00541A80"/>
    <w:rsid w:val="00543E40"/>
    <w:rsid w:val="0054557F"/>
    <w:rsid w:val="00545C2B"/>
    <w:rsid w:val="00546517"/>
    <w:rsid w:val="00546992"/>
    <w:rsid w:val="00546BD9"/>
    <w:rsid w:val="005471A6"/>
    <w:rsid w:val="005471C7"/>
    <w:rsid w:val="00547B7E"/>
    <w:rsid w:val="005508B2"/>
    <w:rsid w:val="00551CF4"/>
    <w:rsid w:val="00551E80"/>
    <w:rsid w:val="0055218B"/>
    <w:rsid w:val="005537D3"/>
    <w:rsid w:val="00554895"/>
    <w:rsid w:val="00554D84"/>
    <w:rsid w:val="00555005"/>
    <w:rsid w:val="00555233"/>
    <w:rsid w:val="0055527D"/>
    <w:rsid w:val="005554D1"/>
    <w:rsid w:val="00555A17"/>
    <w:rsid w:val="0055665A"/>
    <w:rsid w:val="005575D2"/>
    <w:rsid w:val="00557986"/>
    <w:rsid w:val="0055799D"/>
    <w:rsid w:val="00557A0D"/>
    <w:rsid w:val="00557C79"/>
    <w:rsid w:val="00557F9D"/>
    <w:rsid w:val="00560AA2"/>
    <w:rsid w:val="00560DA8"/>
    <w:rsid w:val="00561A05"/>
    <w:rsid w:val="00561AA8"/>
    <w:rsid w:val="00561DF2"/>
    <w:rsid w:val="00562094"/>
    <w:rsid w:val="0056289B"/>
    <w:rsid w:val="00562B0E"/>
    <w:rsid w:val="00563589"/>
    <w:rsid w:val="0056399A"/>
    <w:rsid w:val="005653A4"/>
    <w:rsid w:val="00565AD0"/>
    <w:rsid w:val="00566161"/>
    <w:rsid w:val="00567AB1"/>
    <w:rsid w:val="0057189F"/>
    <w:rsid w:val="00571C7F"/>
    <w:rsid w:val="005727BE"/>
    <w:rsid w:val="00574AFF"/>
    <w:rsid w:val="00574D35"/>
    <w:rsid w:val="00575874"/>
    <w:rsid w:val="005764F2"/>
    <w:rsid w:val="005774E1"/>
    <w:rsid w:val="005778CD"/>
    <w:rsid w:val="005778D0"/>
    <w:rsid w:val="00577A38"/>
    <w:rsid w:val="00577F5F"/>
    <w:rsid w:val="00580B13"/>
    <w:rsid w:val="00580B88"/>
    <w:rsid w:val="00580CC6"/>
    <w:rsid w:val="0058161C"/>
    <w:rsid w:val="00581C0F"/>
    <w:rsid w:val="00582274"/>
    <w:rsid w:val="0058235C"/>
    <w:rsid w:val="005825F4"/>
    <w:rsid w:val="005826AA"/>
    <w:rsid w:val="00582703"/>
    <w:rsid w:val="0058274B"/>
    <w:rsid w:val="00582EA2"/>
    <w:rsid w:val="00582FD9"/>
    <w:rsid w:val="0058371C"/>
    <w:rsid w:val="00583869"/>
    <w:rsid w:val="005849D3"/>
    <w:rsid w:val="00585D43"/>
    <w:rsid w:val="00585E08"/>
    <w:rsid w:val="0058696E"/>
    <w:rsid w:val="005870E1"/>
    <w:rsid w:val="00587723"/>
    <w:rsid w:val="00587A08"/>
    <w:rsid w:val="00587BC3"/>
    <w:rsid w:val="00587EB9"/>
    <w:rsid w:val="00590384"/>
    <w:rsid w:val="00590976"/>
    <w:rsid w:val="00592478"/>
    <w:rsid w:val="0059278E"/>
    <w:rsid w:val="005927A4"/>
    <w:rsid w:val="0059280C"/>
    <w:rsid w:val="00594407"/>
    <w:rsid w:val="00594FB4"/>
    <w:rsid w:val="005954E0"/>
    <w:rsid w:val="00595E50"/>
    <w:rsid w:val="005966A5"/>
    <w:rsid w:val="0059678C"/>
    <w:rsid w:val="00596DB7"/>
    <w:rsid w:val="005A0216"/>
    <w:rsid w:val="005A0353"/>
    <w:rsid w:val="005A08D8"/>
    <w:rsid w:val="005A0900"/>
    <w:rsid w:val="005A2F39"/>
    <w:rsid w:val="005A348F"/>
    <w:rsid w:val="005A38EB"/>
    <w:rsid w:val="005A39E5"/>
    <w:rsid w:val="005A4824"/>
    <w:rsid w:val="005A4FCA"/>
    <w:rsid w:val="005A511C"/>
    <w:rsid w:val="005A5ABD"/>
    <w:rsid w:val="005A5F10"/>
    <w:rsid w:val="005A6AA8"/>
    <w:rsid w:val="005A767E"/>
    <w:rsid w:val="005B1C27"/>
    <w:rsid w:val="005B26B2"/>
    <w:rsid w:val="005B2E42"/>
    <w:rsid w:val="005B3C7E"/>
    <w:rsid w:val="005B3F26"/>
    <w:rsid w:val="005B53A4"/>
    <w:rsid w:val="005B6424"/>
    <w:rsid w:val="005B671F"/>
    <w:rsid w:val="005B68F7"/>
    <w:rsid w:val="005B6B14"/>
    <w:rsid w:val="005B7957"/>
    <w:rsid w:val="005B7A92"/>
    <w:rsid w:val="005C0268"/>
    <w:rsid w:val="005C02BF"/>
    <w:rsid w:val="005C032F"/>
    <w:rsid w:val="005C0430"/>
    <w:rsid w:val="005C05A5"/>
    <w:rsid w:val="005C13D0"/>
    <w:rsid w:val="005C19AC"/>
    <w:rsid w:val="005C1A94"/>
    <w:rsid w:val="005C1D92"/>
    <w:rsid w:val="005C1FA8"/>
    <w:rsid w:val="005C1FCD"/>
    <w:rsid w:val="005C219D"/>
    <w:rsid w:val="005C2221"/>
    <w:rsid w:val="005C229E"/>
    <w:rsid w:val="005C2C48"/>
    <w:rsid w:val="005C3D29"/>
    <w:rsid w:val="005C3EBC"/>
    <w:rsid w:val="005C41BD"/>
    <w:rsid w:val="005C4B50"/>
    <w:rsid w:val="005C57E0"/>
    <w:rsid w:val="005C6C3B"/>
    <w:rsid w:val="005D00AD"/>
    <w:rsid w:val="005D00F9"/>
    <w:rsid w:val="005D1186"/>
    <w:rsid w:val="005D1D2F"/>
    <w:rsid w:val="005D254D"/>
    <w:rsid w:val="005D2850"/>
    <w:rsid w:val="005D2A58"/>
    <w:rsid w:val="005D2C33"/>
    <w:rsid w:val="005D2D72"/>
    <w:rsid w:val="005D31F1"/>
    <w:rsid w:val="005D33E9"/>
    <w:rsid w:val="005D3429"/>
    <w:rsid w:val="005D35DE"/>
    <w:rsid w:val="005D3DC7"/>
    <w:rsid w:val="005D3E06"/>
    <w:rsid w:val="005D4831"/>
    <w:rsid w:val="005D4DDE"/>
    <w:rsid w:val="005D558E"/>
    <w:rsid w:val="005D55EE"/>
    <w:rsid w:val="005D59F6"/>
    <w:rsid w:val="005D5D66"/>
    <w:rsid w:val="005D6E4D"/>
    <w:rsid w:val="005D7417"/>
    <w:rsid w:val="005D7821"/>
    <w:rsid w:val="005E0C6C"/>
    <w:rsid w:val="005E0ECB"/>
    <w:rsid w:val="005E1293"/>
    <w:rsid w:val="005E1E45"/>
    <w:rsid w:val="005E2526"/>
    <w:rsid w:val="005E2744"/>
    <w:rsid w:val="005E3200"/>
    <w:rsid w:val="005E3A82"/>
    <w:rsid w:val="005E3BBA"/>
    <w:rsid w:val="005E538B"/>
    <w:rsid w:val="005E5669"/>
    <w:rsid w:val="005E5D2E"/>
    <w:rsid w:val="005E63CE"/>
    <w:rsid w:val="005E7632"/>
    <w:rsid w:val="005E7CA1"/>
    <w:rsid w:val="005F0110"/>
    <w:rsid w:val="005F1D56"/>
    <w:rsid w:val="005F382B"/>
    <w:rsid w:val="005F4419"/>
    <w:rsid w:val="005F44FB"/>
    <w:rsid w:val="005F47DD"/>
    <w:rsid w:val="005F4B82"/>
    <w:rsid w:val="005F4F7D"/>
    <w:rsid w:val="005F503D"/>
    <w:rsid w:val="005F512C"/>
    <w:rsid w:val="005F57CA"/>
    <w:rsid w:val="005F644B"/>
    <w:rsid w:val="005F6A13"/>
    <w:rsid w:val="005F7775"/>
    <w:rsid w:val="005F7C46"/>
    <w:rsid w:val="006000B6"/>
    <w:rsid w:val="00600147"/>
    <w:rsid w:val="006001D1"/>
    <w:rsid w:val="0060140D"/>
    <w:rsid w:val="006028B0"/>
    <w:rsid w:val="00603034"/>
    <w:rsid w:val="00603491"/>
    <w:rsid w:val="006038A5"/>
    <w:rsid w:val="0060402B"/>
    <w:rsid w:val="00604323"/>
    <w:rsid w:val="00604656"/>
    <w:rsid w:val="00605240"/>
    <w:rsid w:val="0060546A"/>
    <w:rsid w:val="00605E60"/>
    <w:rsid w:val="00606332"/>
    <w:rsid w:val="00607006"/>
    <w:rsid w:val="006074CB"/>
    <w:rsid w:val="00607B84"/>
    <w:rsid w:val="006103CC"/>
    <w:rsid w:val="0061150E"/>
    <w:rsid w:val="0061184F"/>
    <w:rsid w:val="0061229C"/>
    <w:rsid w:val="00612EC7"/>
    <w:rsid w:val="0061350B"/>
    <w:rsid w:val="00613A13"/>
    <w:rsid w:val="00613ECE"/>
    <w:rsid w:val="006144DB"/>
    <w:rsid w:val="00614774"/>
    <w:rsid w:val="006149EC"/>
    <w:rsid w:val="00614BFF"/>
    <w:rsid w:val="00614F3F"/>
    <w:rsid w:val="006152D7"/>
    <w:rsid w:val="006157D1"/>
    <w:rsid w:val="0061657D"/>
    <w:rsid w:val="00616BF8"/>
    <w:rsid w:val="00617215"/>
    <w:rsid w:val="00620F8C"/>
    <w:rsid w:val="006210FE"/>
    <w:rsid w:val="006219A7"/>
    <w:rsid w:val="00621AB4"/>
    <w:rsid w:val="00622142"/>
    <w:rsid w:val="00622794"/>
    <w:rsid w:val="00622A4F"/>
    <w:rsid w:val="00623A47"/>
    <w:rsid w:val="00623ECF"/>
    <w:rsid w:val="00624365"/>
    <w:rsid w:val="0062483A"/>
    <w:rsid w:val="00625BA7"/>
    <w:rsid w:val="00625EBD"/>
    <w:rsid w:val="00626758"/>
    <w:rsid w:val="006277F3"/>
    <w:rsid w:val="00627FA3"/>
    <w:rsid w:val="006301E1"/>
    <w:rsid w:val="006303B5"/>
    <w:rsid w:val="00630654"/>
    <w:rsid w:val="00631423"/>
    <w:rsid w:val="0063167F"/>
    <w:rsid w:val="00631B5C"/>
    <w:rsid w:val="00631C37"/>
    <w:rsid w:val="00631E4E"/>
    <w:rsid w:val="0063354B"/>
    <w:rsid w:val="0063406B"/>
    <w:rsid w:val="00634420"/>
    <w:rsid w:val="00634CA7"/>
    <w:rsid w:val="00634F4E"/>
    <w:rsid w:val="00635B48"/>
    <w:rsid w:val="00635B63"/>
    <w:rsid w:val="006367D3"/>
    <w:rsid w:val="006369C7"/>
    <w:rsid w:val="006374C9"/>
    <w:rsid w:val="00637A58"/>
    <w:rsid w:val="00637B67"/>
    <w:rsid w:val="00637E95"/>
    <w:rsid w:val="00640E6E"/>
    <w:rsid w:val="006411B8"/>
    <w:rsid w:val="0064122A"/>
    <w:rsid w:val="00641C63"/>
    <w:rsid w:val="006428E8"/>
    <w:rsid w:val="00642FA6"/>
    <w:rsid w:val="006431AF"/>
    <w:rsid w:val="00643350"/>
    <w:rsid w:val="006434C8"/>
    <w:rsid w:val="00643D2D"/>
    <w:rsid w:val="0064411E"/>
    <w:rsid w:val="00644194"/>
    <w:rsid w:val="00645704"/>
    <w:rsid w:val="00645DC3"/>
    <w:rsid w:val="006460DC"/>
    <w:rsid w:val="0064680B"/>
    <w:rsid w:val="0065000A"/>
    <w:rsid w:val="00650912"/>
    <w:rsid w:val="00650C34"/>
    <w:rsid w:val="00650DBC"/>
    <w:rsid w:val="00651E9C"/>
    <w:rsid w:val="00652586"/>
    <w:rsid w:val="0065319F"/>
    <w:rsid w:val="00653B28"/>
    <w:rsid w:val="00653C1E"/>
    <w:rsid w:val="00653F3B"/>
    <w:rsid w:val="00654455"/>
    <w:rsid w:val="00654592"/>
    <w:rsid w:val="00654FB5"/>
    <w:rsid w:val="0065529D"/>
    <w:rsid w:val="00655884"/>
    <w:rsid w:val="00655FC8"/>
    <w:rsid w:val="00656013"/>
    <w:rsid w:val="00656875"/>
    <w:rsid w:val="006571D0"/>
    <w:rsid w:val="006573F8"/>
    <w:rsid w:val="006577B8"/>
    <w:rsid w:val="00657D84"/>
    <w:rsid w:val="00660B82"/>
    <w:rsid w:val="00661320"/>
    <w:rsid w:val="006630DD"/>
    <w:rsid w:val="006634CB"/>
    <w:rsid w:val="00663D44"/>
    <w:rsid w:val="00663E1A"/>
    <w:rsid w:val="00663E41"/>
    <w:rsid w:val="00664726"/>
    <w:rsid w:val="00664732"/>
    <w:rsid w:val="00664B40"/>
    <w:rsid w:val="00665051"/>
    <w:rsid w:val="006655DA"/>
    <w:rsid w:val="006656A1"/>
    <w:rsid w:val="00665DF9"/>
    <w:rsid w:val="00666B05"/>
    <w:rsid w:val="00670F52"/>
    <w:rsid w:val="00671967"/>
    <w:rsid w:val="00671E98"/>
    <w:rsid w:val="00673DA3"/>
    <w:rsid w:val="0067474A"/>
    <w:rsid w:val="00674A4E"/>
    <w:rsid w:val="00674B96"/>
    <w:rsid w:val="006751E2"/>
    <w:rsid w:val="00675CDD"/>
    <w:rsid w:val="006761DD"/>
    <w:rsid w:val="00676292"/>
    <w:rsid w:val="006764C6"/>
    <w:rsid w:val="00676741"/>
    <w:rsid w:val="00676DA8"/>
    <w:rsid w:val="00676EA7"/>
    <w:rsid w:val="00681336"/>
    <w:rsid w:val="006816B5"/>
    <w:rsid w:val="00681AED"/>
    <w:rsid w:val="006829C3"/>
    <w:rsid w:val="00683327"/>
    <w:rsid w:val="00683631"/>
    <w:rsid w:val="00683ECD"/>
    <w:rsid w:val="00683F7F"/>
    <w:rsid w:val="00684419"/>
    <w:rsid w:val="00684690"/>
    <w:rsid w:val="00684B36"/>
    <w:rsid w:val="00684BA2"/>
    <w:rsid w:val="00684E5F"/>
    <w:rsid w:val="00684EEE"/>
    <w:rsid w:val="006852C0"/>
    <w:rsid w:val="00686008"/>
    <w:rsid w:val="006866B6"/>
    <w:rsid w:val="00686873"/>
    <w:rsid w:val="00686BF4"/>
    <w:rsid w:val="00686DD3"/>
    <w:rsid w:val="00687C6F"/>
    <w:rsid w:val="00687F2C"/>
    <w:rsid w:val="00687F38"/>
    <w:rsid w:val="00687F7F"/>
    <w:rsid w:val="00690FF1"/>
    <w:rsid w:val="006913F1"/>
    <w:rsid w:val="0069190D"/>
    <w:rsid w:val="0069238F"/>
    <w:rsid w:val="0069249F"/>
    <w:rsid w:val="00692988"/>
    <w:rsid w:val="00692D9F"/>
    <w:rsid w:val="00693131"/>
    <w:rsid w:val="006938EC"/>
    <w:rsid w:val="00693DEF"/>
    <w:rsid w:val="00693E71"/>
    <w:rsid w:val="006943C5"/>
    <w:rsid w:val="00694C90"/>
    <w:rsid w:val="006953D1"/>
    <w:rsid w:val="00695985"/>
    <w:rsid w:val="006959E4"/>
    <w:rsid w:val="00695CBD"/>
    <w:rsid w:val="00695DA4"/>
    <w:rsid w:val="00696395"/>
    <w:rsid w:val="00696AA3"/>
    <w:rsid w:val="00696FAE"/>
    <w:rsid w:val="00696FDE"/>
    <w:rsid w:val="006974D8"/>
    <w:rsid w:val="00697B40"/>
    <w:rsid w:val="006A00EE"/>
    <w:rsid w:val="006A0103"/>
    <w:rsid w:val="006A0DD2"/>
    <w:rsid w:val="006A1443"/>
    <w:rsid w:val="006A1679"/>
    <w:rsid w:val="006A1984"/>
    <w:rsid w:val="006A2458"/>
    <w:rsid w:val="006A3712"/>
    <w:rsid w:val="006A37D2"/>
    <w:rsid w:val="006A3A03"/>
    <w:rsid w:val="006A4BAF"/>
    <w:rsid w:val="006A505D"/>
    <w:rsid w:val="006A580F"/>
    <w:rsid w:val="006A6A25"/>
    <w:rsid w:val="006B0BD8"/>
    <w:rsid w:val="006B0D35"/>
    <w:rsid w:val="006B134C"/>
    <w:rsid w:val="006B1D57"/>
    <w:rsid w:val="006B20C9"/>
    <w:rsid w:val="006B2672"/>
    <w:rsid w:val="006B2DE5"/>
    <w:rsid w:val="006B3F1B"/>
    <w:rsid w:val="006B629D"/>
    <w:rsid w:val="006B6314"/>
    <w:rsid w:val="006B6544"/>
    <w:rsid w:val="006B66BE"/>
    <w:rsid w:val="006B6731"/>
    <w:rsid w:val="006B6AFC"/>
    <w:rsid w:val="006B6F96"/>
    <w:rsid w:val="006B75A8"/>
    <w:rsid w:val="006B779F"/>
    <w:rsid w:val="006B7EBA"/>
    <w:rsid w:val="006C06A8"/>
    <w:rsid w:val="006C16AC"/>
    <w:rsid w:val="006C1A9A"/>
    <w:rsid w:val="006C1CB5"/>
    <w:rsid w:val="006C2259"/>
    <w:rsid w:val="006C2646"/>
    <w:rsid w:val="006C2BCC"/>
    <w:rsid w:val="006C30DF"/>
    <w:rsid w:val="006C3AD3"/>
    <w:rsid w:val="006C5355"/>
    <w:rsid w:val="006C5563"/>
    <w:rsid w:val="006C558D"/>
    <w:rsid w:val="006C5910"/>
    <w:rsid w:val="006C64F0"/>
    <w:rsid w:val="006C7C65"/>
    <w:rsid w:val="006C7EC5"/>
    <w:rsid w:val="006D026D"/>
    <w:rsid w:val="006D059F"/>
    <w:rsid w:val="006D0B87"/>
    <w:rsid w:val="006D14BA"/>
    <w:rsid w:val="006D171F"/>
    <w:rsid w:val="006D2814"/>
    <w:rsid w:val="006D2D79"/>
    <w:rsid w:val="006D4ECE"/>
    <w:rsid w:val="006D60AF"/>
    <w:rsid w:val="006D67BD"/>
    <w:rsid w:val="006D6FCF"/>
    <w:rsid w:val="006D7417"/>
    <w:rsid w:val="006D7925"/>
    <w:rsid w:val="006E0539"/>
    <w:rsid w:val="006E0B44"/>
    <w:rsid w:val="006E0BAB"/>
    <w:rsid w:val="006E1AEE"/>
    <w:rsid w:val="006E1E23"/>
    <w:rsid w:val="006E1EBD"/>
    <w:rsid w:val="006E1FFE"/>
    <w:rsid w:val="006E2354"/>
    <w:rsid w:val="006E2379"/>
    <w:rsid w:val="006E2AE0"/>
    <w:rsid w:val="006E2C77"/>
    <w:rsid w:val="006E3A1F"/>
    <w:rsid w:val="006E3C52"/>
    <w:rsid w:val="006E3EDE"/>
    <w:rsid w:val="006E47E1"/>
    <w:rsid w:val="006E49BC"/>
    <w:rsid w:val="006E4CF7"/>
    <w:rsid w:val="006E52B0"/>
    <w:rsid w:val="006E5997"/>
    <w:rsid w:val="006E5B3D"/>
    <w:rsid w:val="006E5EEB"/>
    <w:rsid w:val="006E60AD"/>
    <w:rsid w:val="006E6C52"/>
    <w:rsid w:val="006E6F23"/>
    <w:rsid w:val="006E70E9"/>
    <w:rsid w:val="006E77BA"/>
    <w:rsid w:val="006F07BA"/>
    <w:rsid w:val="006F106D"/>
    <w:rsid w:val="006F259C"/>
    <w:rsid w:val="006F2729"/>
    <w:rsid w:val="006F61D9"/>
    <w:rsid w:val="006F653C"/>
    <w:rsid w:val="006F6FD0"/>
    <w:rsid w:val="006F755B"/>
    <w:rsid w:val="006F7941"/>
    <w:rsid w:val="007000F2"/>
    <w:rsid w:val="007003BC"/>
    <w:rsid w:val="007007FD"/>
    <w:rsid w:val="00700C6B"/>
    <w:rsid w:val="007011D3"/>
    <w:rsid w:val="00701739"/>
    <w:rsid w:val="007019A9"/>
    <w:rsid w:val="00702D5C"/>
    <w:rsid w:val="0070319B"/>
    <w:rsid w:val="007037CE"/>
    <w:rsid w:val="00703FB4"/>
    <w:rsid w:val="007040A6"/>
    <w:rsid w:val="0070479D"/>
    <w:rsid w:val="00704AB3"/>
    <w:rsid w:val="00704D40"/>
    <w:rsid w:val="00704DDB"/>
    <w:rsid w:val="00705B27"/>
    <w:rsid w:val="00705DC0"/>
    <w:rsid w:val="00705DED"/>
    <w:rsid w:val="0070611D"/>
    <w:rsid w:val="00706748"/>
    <w:rsid w:val="00706E37"/>
    <w:rsid w:val="00707A2F"/>
    <w:rsid w:val="00707D25"/>
    <w:rsid w:val="0071012A"/>
    <w:rsid w:val="007123A1"/>
    <w:rsid w:val="007131B4"/>
    <w:rsid w:val="0071363F"/>
    <w:rsid w:val="00713A40"/>
    <w:rsid w:val="00713B26"/>
    <w:rsid w:val="00713D39"/>
    <w:rsid w:val="007140AD"/>
    <w:rsid w:val="0071418D"/>
    <w:rsid w:val="0071476A"/>
    <w:rsid w:val="00714960"/>
    <w:rsid w:val="00714E26"/>
    <w:rsid w:val="007158B7"/>
    <w:rsid w:val="00715A69"/>
    <w:rsid w:val="00715CC8"/>
    <w:rsid w:val="00716D63"/>
    <w:rsid w:val="0071787E"/>
    <w:rsid w:val="00717A6E"/>
    <w:rsid w:val="00717BC8"/>
    <w:rsid w:val="00720797"/>
    <w:rsid w:val="00720AB3"/>
    <w:rsid w:val="00720CAB"/>
    <w:rsid w:val="00720FAE"/>
    <w:rsid w:val="00721505"/>
    <w:rsid w:val="0072164F"/>
    <w:rsid w:val="00721B33"/>
    <w:rsid w:val="00721EB3"/>
    <w:rsid w:val="007220C3"/>
    <w:rsid w:val="0072214C"/>
    <w:rsid w:val="0072234A"/>
    <w:rsid w:val="0072328B"/>
    <w:rsid w:val="00724028"/>
    <w:rsid w:val="0072488B"/>
    <w:rsid w:val="00724D55"/>
    <w:rsid w:val="0072547B"/>
    <w:rsid w:val="00725755"/>
    <w:rsid w:val="00725F14"/>
    <w:rsid w:val="00727256"/>
    <w:rsid w:val="00730614"/>
    <w:rsid w:val="00731B82"/>
    <w:rsid w:val="00732382"/>
    <w:rsid w:val="00732554"/>
    <w:rsid w:val="0073327D"/>
    <w:rsid w:val="00733557"/>
    <w:rsid w:val="00734F6A"/>
    <w:rsid w:val="00735B4E"/>
    <w:rsid w:val="00735DC6"/>
    <w:rsid w:val="00736A6E"/>
    <w:rsid w:val="00740097"/>
    <w:rsid w:val="007400B9"/>
    <w:rsid w:val="007401EF"/>
    <w:rsid w:val="00741089"/>
    <w:rsid w:val="00741895"/>
    <w:rsid w:val="00741971"/>
    <w:rsid w:val="00741991"/>
    <w:rsid w:val="0074249C"/>
    <w:rsid w:val="007448C1"/>
    <w:rsid w:val="007449FF"/>
    <w:rsid w:val="00744BC9"/>
    <w:rsid w:val="00745732"/>
    <w:rsid w:val="0074637C"/>
    <w:rsid w:val="00747353"/>
    <w:rsid w:val="007474CE"/>
    <w:rsid w:val="00747DE9"/>
    <w:rsid w:val="00747F50"/>
    <w:rsid w:val="00750386"/>
    <w:rsid w:val="00750723"/>
    <w:rsid w:val="00750F10"/>
    <w:rsid w:val="0075147D"/>
    <w:rsid w:val="00751686"/>
    <w:rsid w:val="007517C6"/>
    <w:rsid w:val="007530AE"/>
    <w:rsid w:val="007533B1"/>
    <w:rsid w:val="007534EC"/>
    <w:rsid w:val="00753D63"/>
    <w:rsid w:val="00753D79"/>
    <w:rsid w:val="00755B87"/>
    <w:rsid w:val="00755D7F"/>
    <w:rsid w:val="00755E35"/>
    <w:rsid w:val="007560BF"/>
    <w:rsid w:val="00756706"/>
    <w:rsid w:val="00756A01"/>
    <w:rsid w:val="0075723B"/>
    <w:rsid w:val="007572D5"/>
    <w:rsid w:val="0075764F"/>
    <w:rsid w:val="00757D59"/>
    <w:rsid w:val="00760090"/>
    <w:rsid w:val="00760FAB"/>
    <w:rsid w:val="007610D8"/>
    <w:rsid w:val="00761CB1"/>
    <w:rsid w:val="00762B1C"/>
    <w:rsid w:val="00762C3A"/>
    <w:rsid w:val="00763543"/>
    <w:rsid w:val="00763797"/>
    <w:rsid w:val="007638EB"/>
    <w:rsid w:val="00763F3D"/>
    <w:rsid w:val="00764C04"/>
    <w:rsid w:val="00764D30"/>
    <w:rsid w:val="00764E3D"/>
    <w:rsid w:val="0076525E"/>
    <w:rsid w:val="0076529D"/>
    <w:rsid w:val="00766372"/>
    <w:rsid w:val="00770140"/>
    <w:rsid w:val="00771484"/>
    <w:rsid w:val="00771571"/>
    <w:rsid w:val="0077239B"/>
    <w:rsid w:val="007725B8"/>
    <w:rsid w:val="00772BBE"/>
    <w:rsid w:val="00773603"/>
    <w:rsid w:val="00773E12"/>
    <w:rsid w:val="00774325"/>
    <w:rsid w:val="00775411"/>
    <w:rsid w:val="007763E7"/>
    <w:rsid w:val="0077739A"/>
    <w:rsid w:val="00777B07"/>
    <w:rsid w:val="00777BC6"/>
    <w:rsid w:val="0078003F"/>
    <w:rsid w:val="00780048"/>
    <w:rsid w:val="00780FDE"/>
    <w:rsid w:val="0078243F"/>
    <w:rsid w:val="00782864"/>
    <w:rsid w:val="00782B22"/>
    <w:rsid w:val="00783403"/>
    <w:rsid w:val="007837DD"/>
    <w:rsid w:val="007845BB"/>
    <w:rsid w:val="00784BE8"/>
    <w:rsid w:val="00785221"/>
    <w:rsid w:val="007862AC"/>
    <w:rsid w:val="00787C9E"/>
    <w:rsid w:val="00790325"/>
    <w:rsid w:val="00790A9E"/>
    <w:rsid w:val="00791515"/>
    <w:rsid w:val="00792148"/>
    <w:rsid w:val="00793A30"/>
    <w:rsid w:val="00793C29"/>
    <w:rsid w:val="00793DFE"/>
    <w:rsid w:val="00794C71"/>
    <w:rsid w:val="00794C8C"/>
    <w:rsid w:val="00794EB6"/>
    <w:rsid w:val="00794F5F"/>
    <w:rsid w:val="007953D9"/>
    <w:rsid w:val="00795505"/>
    <w:rsid w:val="00795688"/>
    <w:rsid w:val="00795878"/>
    <w:rsid w:val="00796BC5"/>
    <w:rsid w:val="007975B2"/>
    <w:rsid w:val="007A0364"/>
    <w:rsid w:val="007A13E4"/>
    <w:rsid w:val="007A1CBE"/>
    <w:rsid w:val="007A25C3"/>
    <w:rsid w:val="007A27C2"/>
    <w:rsid w:val="007A2BB6"/>
    <w:rsid w:val="007A2BCD"/>
    <w:rsid w:val="007A314A"/>
    <w:rsid w:val="007A36A1"/>
    <w:rsid w:val="007A5110"/>
    <w:rsid w:val="007A5EF3"/>
    <w:rsid w:val="007A6113"/>
    <w:rsid w:val="007A7198"/>
    <w:rsid w:val="007A7747"/>
    <w:rsid w:val="007B0BD8"/>
    <w:rsid w:val="007B0E24"/>
    <w:rsid w:val="007B1BAB"/>
    <w:rsid w:val="007B1DF7"/>
    <w:rsid w:val="007B3538"/>
    <w:rsid w:val="007B3F1C"/>
    <w:rsid w:val="007B3F97"/>
    <w:rsid w:val="007B46C1"/>
    <w:rsid w:val="007B5096"/>
    <w:rsid w:val="007B518D"/>
    <w:rsid w:val="007B537B"/>
    <w:rsid w:val="007B585D"/>
    <w:rsid w:val="007B6C0B"/>
    <w:rsid w:val="007B7750"/>
    <w:rsid w:val="007B7B05"/>
    <w:rsid w:val="007B7CAD"/>
    <w:rsid w:val="007C1350"/>
    <w:rsid w:val="007C1703"/>
    <w:rsid w:val="007C1827"/>
    <w:rsid w:val="007C2094"/>
    <w:rsid w:val="007C285F"/>
    <w:rsid w:val="007C3601"/>
    <w:rsid w:val="007C389D"/>
    <w:rsid w:val="007C45B4"/>
    <w:rsid w:val="007C482B"/>
    <w:rsid w:val="007C49CF"/>
    <w:rsid w:val="007C4A59"/>
    <w:rsid w:val="007C4C6A"/>
    <w:rsid w:val="007C52C6"/>
    <w:rsid w:val="007C5ADA"/>
    <w:rsid w:val="007C5E38"/>
    <w:rsid w:val="007C6472"/>
    <w:rsid w:val="007C6717"/>
    <w:rsid w:val="007C6D71"/>
    <w:rsid w:val="007C6F16"/>
    <w:rsid w:val="007C7AFC"/>
    <w:rsid w:val="007C7B6C"/>
    <w:rsid w:val="007D04D7"/>
    <w:rsid w:val="007D054B"/>
    <w:rsid w:val="007D069F"/>
    <w:rsid w:val="007D0F14"/>
    <w:rsid w:val="007D11C2"/>
    <w:rsid w:val="007D23FD"/>
    <w:rsid w:val="007D2F60"/>
    <w:rsid w:val="007D38B4"/>
    <w:rsid w:val="007D38DA"/>
    <w:rsid w:val="007D3C19"/>
    <w:rsid w:val="007D440E"/>
    <w:rsid w:val="007D65E3"/>
    <w:rsid w:val="007D67EB"/>
    <w:rsid w:val="007D7D57"/>
    <w:rsid w:val="007E098E"/>
    <w:rsid w:val="007E0EC5"/>
    <w:rsid w:val="007E134D"/>
    <w:rsid w:val="007E163F"/>
    <w:rsid w:val="007E170B"/>
    <w:rsid w:val="007E1772"/>
    <w:rsid w:val="007E1886"/>
    <w:rsid w:val="007E32AC"/>
    <w:rsid w:val="007E32BD"/>
    <w:rsid w:val="007E35C9"/>
    <w:rsid w:val="007E3631"/>
    <w:rsid w:val="007E371B"/>
    <w:rsid w:val="007E5EDA"/>
    <w:rsid w:val="007E6913"/>
    <w:rsid w:val="007E7164"/>
    <w:rsid w:val="007E7507"/>
    <w:rsid w:val="007E76FC"/>
    <w:rsid w:val="007E77FF"/>
    <w:rsid w:val="007F01B8"/>
    <w:rsid w:val="007F022F"/>
    <w:rsid w:val="007F0508"/>
    <w:rsid w:val="007F2532"/>
    <w:rsid w:val="007F2A1B"/>
    <w:rsid w:val="007F2AA8"/>
    <w:rsid w:val="007F2EE1"/>
    <w:rsid w:val="007F2F4D"/>
    <w:rsid w:val="007F3409"/>
    <w:rsid w:val="007F473D"/>
    <w:rsid w:val="007F5118"/>
    <w:rsid w:val="007F51EE"/>
    <w:rsid w:val="007F53CA"/>
    <w:rsid w:val="007F5E36"/>
    <w:rsid w:val="007F6284"/>
    <w:rsid w:val="007F6DB4"/>
    <w:rsid w:val="0080158D"/>
    <w:rsid w:val="00801D28"/>
    <w:rsid w:val="0080268D"/>
    <w:rsid w:val="008034CF"/>
    <w:rsid w:val="008037D8"/>
    <w:rsid w:val="0080411B"/>
    <w:rsid w:val="0080421B"/>
    <w:rsid w:val="00804526"/>
    <w:rsid w:val="00804902"/>
    <w:rsid w:val="00804A37"/>
    <w:rsid w:val="00804A6B"/>
    <w:rsid w:val="00805832"/>
    <w:rsid w:val="00805D97"/>
    <w:rsid w:val="008073A4"/>
    <w:rsid w:val="00810017"/>
    <w:rsid w:val="008103A4"/>
    <w:rsid w:val="0081219C"/>
    <w:rsid w:val="008123A3"/>
    <w:rsid w:val="008123AC"/>
    <w:rsid w:val="00812BA5"/>
    <w:rsid w:val="00812E61"/>
    <w:rsid w:val="00813554"/>
    <w:rsid w:val="0081387E"/>
    <w:rsid w:val="0081389A"/>
    <w:rsid w:val="0081438A"/>
    <w:rsid w:val="0081504E"/>
    <w:rsid w:val="00815108"/>
    <w:rsid w:val="00815AEA"/>
    <w:rsid w:val="00815D60"/>
    <w:rsid w:val="008171FA"/>
    <w:rsid w:val="00817E31"/>
    <w:rsid w:val="008208FA"/>
    <w:rsid w:val="00820B33"/>
    <w:rsid w:val="00820C00"/>
    <w:rsid w:val="0082236F"/>
    <w:rsid w:val="0082269A"/>
    <w:rsid w:val="0082281B"/>
    <w:rsid w:val="00822DC7"/>
    <w:rsid w:val="00823084"/>
    <w:rsid w:val="008242F1"/>
    <w:rsid w:val="00824509"/>
    <w:rsid w:val="0082536B"/>
    <w:rsid w:val="00825B9E"/>
    <w:rsid w:val="008268D8"/>
    <w:rsid w:val="00827422"/>
    <w:rsid w:val="00827C3A"/>
    <w:rsid w:val="008308D7"/>
    <w:rsid w:val="008313A1"/>
    <w:rsid w:val="00831A3F"/>
    <w:rsid w:val="00831AD8"/>
    <w:rsid w:val="00831D14"/>
    <w:rsid w:val="008323E1"/>
    <w:rsid w:val="0083259E"/>
    <w:rsid w:val="008325AC"/>
    <w:rsid w:val="008326A6"/>
    <w:rsid w:val="008328AB"/>
    <w:rsid w:val="00832972"/>
    <w:rsid w:val="008330E1"/>
    <w:rsid w:val="00833714"/>
    <w:rsid w:val="00833AF4"/>
    <w:rsid w:val="0083453E"/>
    <w:rsid w:val="00834A03"/>
    <w:rsid w:val="00834FA1"/>
    <w:rsid w:val="008363A7"/>
    <w:rsid w:val="00836A03"/>
    <w:rsid w:val="00836BBB"/>
    <w:rsid w:val="00837727"/>
    <w:rsid w:val="008377DA"/>
    <w:rsid w:val="008378E3"/>
    <w:rsid w:val="00837EEE"/>
    <w:rsid w:val="00837F2B"/>
    <w:rsid w:val="00840047"/>
    <w:rsid w:val="00840789"/>
    <w:rsid w:val="00840B01"/>
    <w:rsid w:val="0084106C"/>
    <w:rsid w:val="00842057"/>
    <w:rsid w:val="008425B8"/>
    <w:rsid w:val="00842754"/>
    <w:rsid w:val="0084290B"/>
    <w:rsid w:val="00842A97"/>
    <w:rsid w:val="00842B70"/>
    <w:rsid w:val="00842D92"/>
    <w:rsid w:val="00843077"/>
    <w:rsid w:val="00845721"/>
    <w:rsid w:val="00845D5F"/>
    <w:rsid w:val="00845E95"/>
    <w:rsid w:val="00846149"/>
    <w:rsid w:val="008462B0"/>
    <w:rsid w:val="00846348"/>
    <w:rsid w:val="00846356"/>
    <w:rsid w:val="00847709"/>
    <w:rsid w:val="0085047D"/>
    <w:rsid w:val="0085069A"/>
    <w:rsid w:val="00850EFE"/>
    <w:rsid w:val="00853FD8"/>
    <w:rsid w:val="008540AA"/>
    <w:rsid w:val="00854D8F"/>
    <w:rsid w:val="008559C6"/>
    <w:rsid w:val="00861151"/>
    <w:rsid w:val="00861AD0"/>
    <w:rsid w:val="00861AD1"/>
    <w:rsid w:val="0086244B"/>
    <w:rsid w:val="008630A0"/>
    <w:rsid w:val="00863190"/>
    <w:rsid w:val="008650CE"/>
    <w:rsid w:val="00865228"/>
    <w:rsid w:val="00865760"/>
    <w:rsid w:val="0086713E"/>
    <w:rsid w:val="00870594"/>
    <w:rsid w:val="0087208A"/>
    <w:rsid w:val="0087259E"/>
    <w:rsid w:val="00872BAB"/>
    <w:rsid w:val="00873665"/>
    <w:rsid w:val="00874991"/>
    <w:rsid w:val="008762C2"/>
    <w:rsid w:val="00876D3B"/>
    <w:rsid w:val="00876F4E"/>
    <w:rsid w:val="0087714E"/>
    <w:rsid w:val="0087722E"/>
    <w:rsid w:val="00881476"/>
    <w:rsid w:val="008816CB"/>
    <w:rsid w:val="00884AFE"/>
    <w:rsid w:val="00884E5A"/>
    <w:rsid w:val="0088550C"/>
    <w:rsid w:val="00885AC0"/>
    <w:rsid w:val="00886022"/>
    <w:rsid w:val="00886167"/>
    <w:rsid w:val="00887215"/>
    <w:rsid w:val="00891C43"/>
    <w:rsid w:val="0089220D"/>
    <w:rsid w:val="008922F3"/>
    <w:rsid w:val="00892ACB"/>
    <w:rsid w:val="008930B9"/>
    <w:rsid w:val="008930ED"/>
    <w:rsid w:val="00893CF8"/>
    <w:rsid w:val="00894C5A"/>
    <w:rsid w:val="008970D3"/>
    <w:rsid w:val="008973D6"/>
    <w:rsid w:val="008A067C"/>
    <w:rsid w:val="008A0B83"/>
    <w:rsid w:val="008A1309"/>
    <w:rsid w:val="008A2500"/>
    <w:rsid w:val="008A2620"/>
    <w:rsid w:val="008A2D26"/>
    <w:rsid w:val="008A38E8"/>
    <w:rsid w:val="008A3980"/>
    <w:rsid w:val="008A3BEF"/>
    <w:rsid w:val="008A43A4"/>
    <w:rsid w:val="008A4EEE"/>
    <w:rsid w:val="008A557B"/>
    <w:rsid w:val="008A5C76"/>
    <w:rsid w:val="008A623A"/>
    <w:rsid w:val="008A6C93"/>
    <w:rsid w:val="008A701D"/>
    <w:rsid w:val="008A7E7E"/>
    <w:rsid w:val="008B17F7"/>
    <w:rsid w:val="008B1C5E"/>
    <w:rsid w:val="008B2CAE"/>
    <w:rsid w:val="008B49D4"/>
    <w:rsid w:val="008B4D20"/>
    <w:rsid w:val="008B5B4D"/>
    <w:rsid w:val="008B6116"/>
    <w:rsid w:val="008B6154"/>
    <w:rsid w:val="008B7BE6"/>
    <w:rsid w:val="008B7F52"/>
    <w:rsid w:val="008C0332"/>
    <w:rsid w:val="008C0392"/>
    <w:rsid w:val="008C219C"/>
    <w:rsid w:val="008C2746"/>
    <w:rsid w:val="008C28CC"/>
    <w:rsid w:val="008C3002"/>
    <w:rsid w:val="008C3623"/>
    <w:rsid w:val="008C4747"/>
    <w:rsid w:val="008C51AD"/>
    <w:rsid w:val="008C5C94"/>
    <w:rsid w:val="008C6358"/>
    <w:rsid w:val="008C6A6C"/>
    <w:rsid w:val="008C7132"/>
    <w:rsid w:val="008C733F"/>
    <w:rsid w:val="008D01D9"/>
    <w:rsid w:val="008D0A73"/>
    <w:rsid w:val="008D1775"/>
    <w:rsid w:val="008D1906"/>
    <w:rsid w:val="008D19F1"/>
    <w:rsid w:val="008D266F"/>
    <w:rsid w:val="008D2725"/>
    <w:rsid w:val="008D2DA5"/>
    <w:rsid w:val="008D2E17"/>
    <w:rsid w:val="008D36C9"/>
    <w:rsid w:val="008D3A2A"/>
    <w:rsid w:val="008D4EB4"/>
    <w:rsid w:val="008D4ED1"/>
    <w:rsid w:val="008D5A0D"/>
    <w:rsid w:val="008D5D25"/>
    <w:rsid w:val="008D62F4"/>
    <w:rsid w:val="008D6381"/>
    <w:rsid w:val="008D6E87"/>
    <w:rsid w:val="008D7087"/>
    <w:rsid w:val="008E00A7"/>
    <w:rsid w:val="008E069D"/>
    <w:rsid w:val="008E0F3D"/>
    <w:rsid w:val="008E13A2"/>
    <w:rsid w:val="008E1EB6"/>
    <w:rsid w:val="008E2253"/>
    <w:rsid w:val="008E2333"/>
    <w:rsid w:val="008E2508"/>
    <w:rsid w:val="008E2E3E"/>
    <w:rsid w:val="008E3781"/>
    <w:rsid w:val="008E403A"/>
    <w:rsid w:val="008E40A0"/>
    <w:rsid w:val="008E47DC"/>
    <w:rsid w:val="008E4DF1"/>
    <w:rsid w:val="008E50F1"/>
    <w:rsid w:val="008E5547"/>
    <w:rsid w:val="008E63C8"/>
    <w:rsid w:val="008F03DE"/>
    <w:rsid w:val="008F0721"/>
    <w:rsid w:val="008F2106"/>
    <w:rsid w:val="008F2217"/>
    <w:rsid w:val="008F26A0"/>
    <w:rsid w:val="008F2713"/>
    <w:rsid w:val="008F392E"/>
    <w:rsid w:val="008F45D6"/>
    <w:rsid w:val="008F4980"/>
    <w:rsid w:val="008F4F28"/>
    <w:rsid w:val="008F54BA"/>
    <w:rsid w:val="008F6166"/>
    <w:rsid w:val="00900D49"/>
    <w:rsid w:val="009010F6"/>
    <w:rsid w:val="00901BB3"/>
    <w:rsid w:val="00902542"/>
    <w:rsid w:val="009033FB"/>
    <w:rsid w:val="009037B7"/>
    <w:rsid w:val="009038C1"/>
    <w:rsid w:val="009047D9"/>
    <w:rsid w:val="00905002"/>
    <w:rsid w:val="00905659"/>
    <w:rsid w:val="00906AEE"/>
    <w:rsid w:val="009071EB"/>
    <w:rsid w:val="00907B12"/>
    <w:rsid w:val="00907C30"/>
    <w:rsid w:val="00907FC6"/>
    <w:rsid w:val="009105F4"/>
    <w:rsid w:val="00911152"/>
    <w:rsid w:val="009132D0"/>
    <w:rsid w:val="0091520A"/>
    <w:rsid w:val="00915AEA"/>
    <w:rsid w:val="00915BB2"/>
    <w:rsid w:val="0091629B"/>
    <w:rsid w:val="009168D2"/>
    <w:rsid w:val="009169EF"/>
    <w:rsid w:val="009171C7"/>
    <w:rsid w:val="00917CA0"/>
    <w:rsid w:val="0092032E"/>
    <w:rsid w:val="009209E7"/>
    <w:rsid w:val="00920ADD"/>
    <w:rsid w:val="00920DE3"/>
    <w:rsid w:val="00921BDB"/>
    <w:rsid w:val="00921D5C"/>
    <w:rsid w:val="00923FD7"/>
    <w:rsid w:val="009244A3"/>
    <w:rsid w:val="0092521F"/>
    <w:rsid w:val="00925D67"/>
    <w:rsid w:val="00926126"/>
    <w:rsid w:val="00926426"/>
    <w:rsid w:val="00926772"/>
    <w:rsid w:val="00926D88"/>
    <w:rsid w:val="00931B54"/>
    <w:rsid w:val="00931DDE"/>
    <w:rsid w:val="00932412"/>
    <w:rsid w:val="0093263C"/>
    <w:rsid w:val="00932B08"/>
    <w:rsid w:val="00932E47"/>
    <w:rsid w:val="009340F1"/>
    <w:rsid w:val="009343D9"/>
    <w:rsid w:val="00934FDA"/>
    <w:rsid w:val="009362E5"/>
    <w:rsid w:val="009377CA"/>
    <w:rsid w:val="00937C16"/>
    <w:rsid w:val="00940109"/>
    <w:rsid w:val="009403EE"/>
    <w:rsid w:val="00940609"/>
    <w:rsid w:val="009409B6"/>
    <w:rsid w:val="00940C21"/>
    <w:rsid w:val="009415BF"/>
    <w:rsid w:val="00941E73"/>
    <w:rsid w:val="009435C0"/>
    <w:rsid w:val="00943615"/>
    <w:rsid w:val="00943F57"/>
    <w:rsid w:val="00944232"/>
    <w:rsid w:val="009447B0"/>
    <w:rsid w:val="00945282"/>
    <w:rsid w:val="00945450"/>
    <w:rsid w:val="00945B33"/>
    <w:rsid w:val="00945BC2"/>
    <w:rsid w:val="00946164"/>
    <w:rsid w:val="0094631D"/>
    <w:rsid w:val="00946443"/>
    <w:rsid w:val="00946CE3"/>
    <w:rsid w:val="0094730C"/>
    <w:rsid w:val="0095018A"/>
    <w:rsid w:val="009503D7"/>
    <w:rsid w:val="00950B2D"/>
    <w:rsid w:val="00951070"/>
    <w:rsid w:val="009513CD"/>
    <w:rsid w:val="00951B9F"/>
    <w:rsid w:val="009537DD"/>
    <w:rsid w:val="00953D2D"/>
    <w:rsid w:val="00955655"/>
    <w:rsid w:val="00956598"/>
    <w:rsid w:val="009569C3"/>
    <w:rsid w:val="00956C78"/>
    <w:rsid w:val="00957403"/>
    <w:rsid w:val="00960374"/>
    <w:rsid w:val="009605BE"/>
    <w:rsid w:val="00960961"/>
    <w:rsid w:val="00960C8C"/>
    <w:rsid w:val="00960EB3"/>
    <w:rsid w:val="00961A68"/>
    <w:rsid w:val="00961D38"/>
    <w:rsid w:val="00961FB5"/>
    <w:rsid w:val="0096276F"/>
    <w:rsid w:val="00963023"/>
    <w:rsid w:val="00963DBA"/>
    <w:rsid w:val="00964311"/>
    <w:rsid w:val="009648D8"/>
    <w:rsid w:val="00965F4C"/>
    <w:rsid w:val="009668E1"/>
    <w:rsid w:val="00966BE0"/>
    <w:rsid w:val="0096717D"/>
    <w:rsid w:val="00967750"/>
    <w:rsid w:val="00970297"/>
    <w:rsid w:val="00970779"/>
    <w:rsid w:val="009718E3"/>
    <w:rsid w:val="00971E18"/>
    <w:rsid w:val="0097220E"/>
    <w:rsid w:val="00972677"/>
    <w:rsid w:val="00972B12"/>
    <w:rsid w:val="00972C08"/>
    <w:rsid w:val="00972FD8"/>
    <w:rsid w:val="0097351A"/>
    <w:rsid w:val="009739B3"/>
    <w:rsid w:val="009743EB"/>
    <w:rsid w:val="00974AFD"/>
    <w:rsid w:val="0097563D"/>
    <w:rsid w:val="00975799"/>
    <w:rsid w:val="0097621D"/>
    <w:rsid w:val="0097628A"/>
    <w:rsid w:val="00976739"/>
    <w:rsid w:val="00976DFF"/>
    <w:rsid w:val="009773D9"/>
    <w:rsid w:val="0098138C"/>
    <w:rsid w:val="00981558"/>
    <w:rsid w:val="009815B8"/>
    <w:rsid w:val="00981E45"/>
    <w:rsid w:val="00982025"/>
    <w:rsid w:val="00982867"/>
    <w:rsid w:val="00982BBB"/>
    <w:rsid w:val="0098313C"/>
    <w:rsid w:val="00983376"/>
    <w:rsid w:val="0098389B"/>
    <w:rsid w:val="00983DDE"/>
    <w:rsid w:val="00984379"/>
    <w:rsid w:val="009845F2"/>
    <w:rsid w:val="00984A55"/>
    <w:rsid w:val="00985140"/>
    <w:rsid w:val="009851A1"/>
    <w:rsid w:val="009854F9"/>
    <w:rsid w:val="00985EDC"/>
    <w:rsid w:val="0098672B"/>
    <w:rsid w:val="00986961"/>
    <w:rsid w:val="00986AC3"/>
    <w:rsid w:val="00987A44"/>
    <w:rsid w:val="00987DA0"/>
    <w:rsid w:val="00990728"/>
    <w:rsid w:val="00991034"/>
    <w:rsid w:val="009917E7"/>
    <w:rsid w:val="00991942"/>
    <w:rsid w:val="0099278B"/>
    <w:rsid w:val="00992965"/>
    <w:rsid w:val="00992A72"/>
    <w:rsid w:val="00992ED1"/>
    <w:rsid w:val="0099440E"/>
    <w:rsid w:val="009947BF"/>
    <w:rsid w:val="00994B9D"/>
    <w:rsid w:val="0099526F"/>
    <w:rsid w:val="00995BA5"/>
    <w:rsid w:val="00995D11"/>
    <w:rsid w:val="00995F1E"/>
    <w:rsid w:val="00996CB1"/>
    <w:rsid w:val="00997340"/>
    <w:rsid w:val="009973F1"/>
    <w:rsid w:val="00997603"/>
    <w:rsid w:val="00997CD5"/>
    <w:rsid w:val="00997F08"/>
    <w:rsid w:val="009A0238"/>
    <w:rsid w:val="009A03C1"/>
    <w:rsid w:val="009A116D"/>
    <w:rsid w:val="009A117F"/>
    <w:rsid w:val="009A128E"/>
    <w:rsid w:val="009A20C7"/>
    <w:rsid w:val="009A36E5"/>
    <w:rsid w:val="009A3E6A"/>
    <w:rsid w:val="009A41E2"/>
    <w:rsid w:val="009A46BE"/>
    <w:rsid w:val="009A570B"/>
    <w:rsid w:val="009A5C56"/>
    <w:rsid w:val="009A6270"/>
    <w:rsid w:val="009A649F"/>
    <w:rsid w:val="009A65EA"/>
    <w:rsid w:val="009A6741"/>
    <w:rsid w:val="009A6A52"/>
    <w:rsid w:val="009A6B43"/>
    <w:rsid w:val="009A6F08"/>
    <w:rsid w:val="009A6F89"/>
    <w:rsid w:val="009B0C08"/>
    <w:rsid w:val="009B1979"/>
    <w:rsid w:val="009B1AF9"/>
    <w:rsid w:val="009B2021"/>
    <w:rsid w:val="009B23CD"/>
    <w:rsid w:val="009B27F7"/>
    <w:rsid w:val="009B3218"/>
    <w:rsid w:val="009B36AF"/>
    <w:rsid w:val="009B3F2E"/>
    <w:rsid w:val="009B4139"/>
    <w:rsid w:val="009B4549"/>
    <w:rsid w:val="009B4582"/>
    <w:rsid w:val="009B54A8"/>
    <w:rsid w:val="009B579A"/>
    <w:rsid w:val="009B6A9C"/>
    <w:rsid w:val="009B74A8"/>
    <w:rsid w:val="009C06AF"/>
    <w:rsid w:val="009C0780"/>
    <w:rsid w:val="009C10C1"/>
    <w:rsid w:val="009C11D6"/>
    <w:rsid w:val="009C16B5"/>
    <w:rsid w:val="009C17D3"/>
    <w:rsid w:val="009C1AF7"/>
    <w:rsid w:val="009C1CF4"/>
    <w:rsid w:val="009C2443"/>
    <w:rsid w:val="009C2733"/>
    <w:rsid w:val="009C2A45"/>
    <w:rsid w:val="009C30AD"/>
    <w:rsid w:val="009C31EA"/>
    <w:rsid w:val="009C4EED"/>
    <w:rsid w:val="009C4FE4"/>
    <w:rsid w:val="009C5230"/>
    <w:rsid w:val="009C52D2"/>
    <w:rsid w:val="009C61CB"/>
    <w:rsid w:val="009C7D5D"/>
    <w:rsid w:val="009D0048"/>
    <w:rsid w:val="009D053D"/>
    <w:rsid w:val="009D08BD"/>
    <w:rsid w:val="009D0D2E"/>
    <w:rsid w:val="009D1039"/>
    <w:rsid w:val="009D14FB"/>
    <w:rsid w:val="009D1508"/>
    <w:rsid w:val="009D1919"/>
    <w:rsid w:val="009D1D1D"/>
    <w:rsid w:val="009D26EE"/>
    <w:rsid w:val="009D27EF"/>
    <w:rsid w:val="009D3B03"/>
    <w:rsid w:val="009D48AB"/>
    <w:rsid w:val="009D4A4F"/>
    <w:rsid w:val="009D4D89"/>
    <w:rsid w:val="009D4DA5"/>
    <w:rsid w:val="009D6BB9"/>
    <w:rsid w:val="009D6D16"/>
    <w:rsid w:val="009D7466"/>
    <w:rsid w:val="009D77EC"/>
    <w:rsid w:val="009D787B"/>
    <w:rsid w:val="009D7D70"/>
    <w:rsid w:val="009E03C6"/>
    <w:rsid w:val="009E0A0F"/>
    <w:rsid w:val="009E0D73"/>
    <w:rsid w:val="009E19CB"/>
    <w:rsid w:val="009E278C"/>
    <w:rsid w:val="009E356E"/>
    <w:rsid w:val="009E3F16"/>
    <w:rsid w:val="009E55AB"/>
    <w:rsid w:val="009E63CF"/>
    <w:rsid w:val="009E6CFE"/>
    <w:rsid w:val="009E7717"/>
    <w:rsid w:val="009E7979"/>
    <w:rsid w:val="009E7CED"/>
    <w:rsid w:val="009E7DDB"/>
    <w:rsid w:val="009F009F"/>
    <w:rsid w:val="009F0237"/>
    <w:rsid w:val="009F0275"/>
    <w:rsid w:val="009F06C9"/>
    <w:rsid w:val="009F087F"/>
    <w:rsid w:val="009F22DA"/>
    <w:rsid w:val="009F3566"/>
    <w:rsid w:val="009F3F9A"/>
    <w:rsid w:val="009F53F6"/>
    <w:rsid w:val="009F5817"/>
    <w:rsid w:val="009F62AA"/>
    <w:rsid w:val="009F6593"/>
    <w:rsid w:val="009F667E"/>
    <w:rsid w:val="009F6E99"/>
    <w:rsid w:val="009F7B3F"/>
    <w:rsid w:val="009F7C56"/>
    <w:rsid w:val="00A00C7C"/>
    <w:rsid w:val="00A010DE"/>
    <w:rsid w:val="00A02291"/>
    <w:rsid w:val="00A02B93"/>
    <w:rsid w:val="00A03673"/>
    <w:rsid w:val="00A03741"/>
    <w:rsid w:val="00A05677"/>
    <w:rsid w:val="00A06450"/>
    <w:rsid w:val="00A06CC6"/>
    <w:rsid w:val="00A07B2A"/>
    <w:rsid w:val="00A07BF2"/>
    <w:rsid w:val="00A07F27"/>
    <w:rsid w:val="00A1016F"/>
    <w:rsid w:val="00A1084E"/>
    <w:rsid w:val="00A12255"/>
    <w:rsid w:val="00A12468"/>
    <w:rsid w:val="00A1292B"/>
    <w:rsid w:val="00A13663"/>
    <w:rsid w:val="00A13994"/>
    <w:rsid w:val="00A14701"/>
    <w:rsid w:val="00A15712"/>
    <w:rsid w:val="00A15CCF"/>
    <w:rsid w:val="00A16ECE"/>
    <w:rsid w:val="00A202A7"/>
    <w:rsid w:val="00A2065D"/>
    <w:rsid w:val="00A21846"/>
    <w:rsid w:val="00A21E11"/>
    <w:rsid w:val="00A221CF"/>
    <w:rsid w:val="00A226DC"/>
    <w:rsid w:val="00A229A3"/>
    <w:rsid w:val="00A22CA9"/>
    <w:rsid w:val="00A22D4B"/>
    <w:rsid w:val="00A22E4A"/>
    <w:rsid w:val="00A23CD5"/>
    <w:rsid w:val="00A24397"/>
    <w:rsid w:val="00A24793"/>
    <w:rsid w:val="00A24D9A"/>
    <w:rsid w:val="00A26270"/>
    <w:rsid w:val="00A26D53"/>
    <w:rsid w:val="00A2735A"/>
    <w:rsid w:val="00A278E3"/>
    <w:rsid w:val="00A30AE8"/>
    <w:rsid w:val="00A31C63"/>
    <w:rsid w:val="00A31F00"/>
    <w:rsid w:val="00A32644"/>
    <w:rsid w:val="00A339E4"/>
    <w:rsid w:val="00A33F7F"/>
    <w:rsid w:val="00A341F3"/>
    <w:rsid w:val="00A34391"/>
    <w:rsid w:val="00A349C8"/>
    <w:rsid w:val="00A35458"/>
    <w:rsid w:val="00A35793"/>
    <w:rsid w:val="00A35E93"/>
    <w:rsid w:val="00A3616F"/>
    <w:rsid w:val="00A374FD"/>
    <w:rsid w:val="00A3796E"/>
    <w:rsid w:val="00A37F6C"/>
    <w:rsid w:val="00A40FD7"/>
    <w:rsid w:val="00A419C2"/>
    <w:rsid w:val="00A42C1C"/>
    <w:rsid w:val="00A42FBC"/>
    <w:rsid w:val="00A447EA"/>
    <w:rsid w:val="00A4533E"/>
    <w:rsid w:val="00A45C5A"/>
    <w:rsid w:val="00A472F7"/>
    <w:rsid w:val="00A50182"/>
    <w:rsid w:val="00A51181"/>
    <w:rsid w:val="00A514D3"/>
    <w:rsid w:val="00A517F8"/>
    <w:rsid w:val="00A51A76"/>
    <w:rsid w:val="00A51FBE"/>
    <w:rsid w:val="00A52502"/>
    <w:rsid w:val="00A52593"/>
    <w:rsid w:val="00A52948"/>
    <w:rsid w:val="00A53707"/>
    <w:rsid w:val="00A53A42"/>
    <w:rsid w:val="00A547CA"/>
    <w:rsid w:val="00A54880"/>
    <w:rsid w:val="00A555C5"/>
    <w:rsid w:val="00A566CA"/>
    <w:rsid w:val="00A5681A"/>
    <w:rsid w:val="00A56F3B"/>
    <w:rsid w:val="00A570A2"/>
    <w:rsid w:val="00A5711C"/>
    <w:rsid w:val="00A5729D"/>
    <w:rsid w:val="00A572C6"/>
    <w:rsid w:val="00A608CF"/>
    <w:rsid w:val="00A61A19"/>
    <w:rsid w:val="00A62B3E"/>
    <w:rsid w:val="00A6347F"/>
    <w:rsid w:val="00A634B9"/>
    <w:rsid w:val="00A63B3F"/>
    <w:rsid w:val="00A657E2"/>
    <w:rsid w:val="00A658E4"/>
    <w:rsid w:val="00A663DE"/>
    <w:rsid w:val="00A66DFD"/>
    <w:rsid w:val="00A67045"/>
    <w:rsid w:val="00A67466"/>
    <w:rsid w:val="00A70CCE"/>
    <w:rsid w:val="00A70F61"/>
    <w:rsid w:val="00A711DA"/>
    <w:rsid w:val="00A714A7"/>
    <w:rsid w:val="00A71FBA"/>
    <w:rsid w:val="00A73667"/>
    <w:rsid w:val="00A73CFB"/>
    <w:rsid w:val="00A7418C"/>
    <w:rsid w:val="00A7434D"/>
    <w:rsid w:val="00A74E9F"/>
    <w:rsid w:val="00A76734"/>
    <w:rsid w:val="00A77256"/>
    <w:rsid w:val="00A7754E"/>
    <w:rsid w:val="00A77669"/>
    <w:rsid w:val="00A801EF"/>
    <w:rsid w:val="00A80E25"/>
    <w:rsid w:val="00A80E3F"/>
    <w:rsid w:val="00A81768"/>
    <w:rsid w:val="00A828AE"/>
    <w:rsid w:val="00A82A3C"/>
    <w:rsid w:val="00A82D85"/>
    <w:rsid w:val="00A835A5"/>
    <w:rsid w:val="00A83A97"/>
    <w:rsid w:val="00A845AC"/>
    <w:rsid w:val="00A84839"/>
    <w:rsid w:val="00A85926"/>
    <w:rsid w:val="00A85DA2"/>
    <w:rsid w:val="00A863B4"/>
    <w:rsid w:val="00A86E09"/>
    <w:rsid w:val="00A87107"/>
    <w:rsid w:val="00A87B7B"/>
    <w:rsid w:val="00A91099"/>
    <w:rsid w:val="00A914F9"/>
    <w:rsid w:val="00A91604"/>
    <w:rsid w:val="00A91969"/>
    <w:rsid w:val="00A92A1C"/>
    <w:rsid w:val="00A93198"/>
    <w:rsid w:val="00A93496"/>
    <w:rsid w:val="00A93830"/>
    <w:rsid w:val="00A93AF4"/>
    <w:rsid w:val="00A95595"/>
    <w:rsid w:val="00A9583F"/>
    <w:rsid w:val="00A962F5"/>
    <w:rsid w:val="00A96363"/>
    <w:rsid w:val="00A9640A"/>
    <w:rsid w:val="00A96AA6"/>
    <w:rsid w:val="00A96AAE"/>
    <w:rsid w:val="00A96B57"/>
    <w:rsid w:val="00A97D63"/>
    <w:rsid w:val="00AA093C"/>
    <w:rsid w:val="00AA0FC1"/>
    <w:rsid w:val="00AA14B2"/>
    <w:rsid w:val="00AA3C41"/>
    <w:rsid w:val="00AA3CD3"/>
    <w:rsid w:val="00AA4DA9"/>
    <w:rsid w:val="00AA4E9A"/>
    <w:rsid w:val="00AA4F26"/>
    <w:rsid w:val="00AA5868"/>
    <w:rsid w:val="00AA6906"/>
    <w:rsid w:val="00AA6BEC"/>
    <w:rsid w:val="00AA7941"/>
    <w:rsid w:val="00AA7B36"/>
    <w:rsid w:val="00AA7D5A"/>
    <w:rsid w:val="00AB0110"/>
    <w:rsid w:val="00AB0170"/>
    <w:rsid w:val="00AB17D8"/>
    <w:rsid w:val="00AB1B52"/>
    <w:rsid w:val="00AB3752"/>
    <w:rsid w:val="00AB3A68"/>
    <w:rsid w:val="00AB4128"/>
    <w:rsid w:val="00AB46D2"/>
    <w:rsid w:val="00AB4711"/>
    <w:rsid w:val="00AB4824"/>
    <w:rsid w:val="00AB4A21"/>
    <w:rsid w:val="00AB5B73"/>
    <w:rsid w:val="00AB6DD9"/>
    <w:rsid w:val="00AC07AA"/>
    <w:rsid w:val="00AC2697"/>
    <w:rsid w:val="00AC2C30"/>
    <w:rsid w:val="00AC47FC"/>
    <w:rsid w:val="00AC5146"/>
    <w:rsid w:val="00AC54C5"/>
    <w:rsid w:val="00AC5554"/>
    <w:rsid w:val="00AC5756"/>
    <w:rsid w:val="00AC5A02"/>
    <w:rsid w:val="00AC605F"/>
    <w:rsid w:val="00AC62D5"/>
    <w:rsid w:val="00AC655F"/>
    <w:rsid w:val="00AC6D22"/>
    <w:rsid w:val="00AC71D1"/>
    <w:rsid w:val="00AC7CD0"/>
    <w:rsid w:val="00AD01F1"/>
    <w:rsid w:val="00AD09DC"/>
    <w:rsid w:val="00AD1237"/>
    <w:rsid w:val="00AD2BB3"/>
    <w:rsid w:val="00AD2D5C"/>
    <w:rsid w:val="00AD4C93"/>
    <w:rsid w:val="00AD4D9F"/>
    <w:rsid w:val="00AD4F4E"/>
    <w:rsid w:val="00AD50DC"/>
    <w:rsid w:val="00AD6116"/>
    <w:rsid w:val="00AD63BC"/>
    <w:rsid w:val="00AD645B"/>
    <w:rsid w:val="00AD6B96"/>
    <w:rsid w:val="00AD6E0A"/>
    <w:rsid w:val="00AE07D8"/>
    <w:rsid w:val="00AE09D3"/>
    <w:rsid w:val="00AE1307"/>
    <w:rsid w:val="00AE164E"/>
    <w:rsid w:val="00AE2267"/>
    <w:rsid w:val="00AE2357"/>
    <w:rsid w:val="00AE24B6"/>
    <w:rsid w:val="00AE3E66"/>
    <w:rsid w:val="00AE41A3"/>
    <w:rsid w:val="00AE4478"/>
    <w:rsid w:val="00AE4CAE"/>
    <w:rsid w:val="00AE5074"/>
    <w:rsid w:val="00AE50CC"/>
    <w:rsid w:val="00AE53CC"/>
    <w:rsid w:val="00AE5461"/>
    <w:rsid w:val="00AE57EE"/>
    <w:rsid w:val="00AE586D"/>
    <w:rsid w:val="00AE6315"/>
    <w:rsid w:val="00AE6358"/>
    <w:rsid w:val="00AE6781"/>
    <w:rsid w:val="00AE7F83"/>
    <w:rsid w:val="00AF0545"/>
    <w:rsid w:val="00AF1011"/>
    <w:rsid w:val="00AF1303"/>
    <w:rsid w:val="00AF13D2"/>
    <w:rsid w:val="00AF17F4"/>
    <w:rsid w:val="00AF2F99"/>
    <w:rsid w:val="00AF31FD"/>
    <w:rsid w:val="00AF3D46"/>
    <w:rsid w:val="00AF3FE8"/>
    <w:rsid w:val="00AF4F8D"/>
    <w:rsid w:val="00AF5174"/>
    <w:rsid w:val="00AF580C"/>
    <w:rsid w:val="00AF6E4A"/>
    <w:rsid w:val="00AF6E66"/>
    <w:rsid w:val="00AF72F7"/>
    <w:rsid w:val="00AF7422"/>
    <w:rsid w:val="00AF7470"/>
    <w:rsid w:val="00AF7DE0"/>
    <w:rsid w:val="00B00593"/>
    <w:rsid w:val="00B00A20"/>
    <w:rsid w:val="00B00BC9"/>
    <w:rsid w:val="00B00E77"/>
    <w:rsid w:val="00B0101B"/>
    <w:rsid w:val="00B010F4"/>
    <w:rsid w:val="00B01419"/>
    <w:rsid w:val="00B01591"/>
    <w:rsid w:val="00B017B8"/>
    <w:rsid w:val="00B019A4"/>
    <w:rsid w:val="00B024AE"/>
    <w:rsid w:val="00B03343"/>
    <w:rsid w:val="00B03792"/>
    <w:rsid w:val="00B04147"/>
    <w:rsid w:val="00B041FB"/>
    <w:rsid w:val="00B0552C"/>
    <w:rsid w:val="00B056D8"/>
    <w:rsid w:val="00B0571A"/>
    <w:rsid w:val="00B05E7C"/>
    <w:rsid w:val="00B05EDA"/>
    <w:rsid w:val="00B06051"/>
    <w:rsid w:val="00B07508"/>
    <w:rsid w:val="00B0750C"/>
    <w:rsid w:val="00B07795"/>
    <w:rsid w:val="00B1076C"/>
    <w:rsid w:val="00B1154A"/>
    <w:rsid w:val="00B1175D"/>
    <w:rsid w:val="00B11818"/>
    <w:rsid w:val="00B11C68"/>
    <w:rsid w:val="00B11E05"/>
    <w:rsid w:val="00B11F87"/>
    <w:rsid w:val="00B12222"/>
    <w:rsid w:val="00B12B39"/>
    <w:rsid w:val="00B15C4D"/>
    <w:rsid w:val="00B16254"/>
    <w:rsid w:val="00B165AD"/>
    <w:rsid w:val="00B202CE"/>
    <w:rsid w:val="00B20312"/>
    <w:rsid w:val="00B207FA"/>
    <w:rsid w:val="00B209B1"/>
    <w:rsid w:val="00B20D61"/>
    <w:rsid w:val="00B20D7C"/>
    <w:rsid w:val="00B22277"/>
    <w:rsid w:val="00B22782"/>
    <w:rsid w:val="00B23CA9"/>
    <w:rsid w:val="00B23CD3"/>
    <w:rsid w:val="00B24560"/>
    <w:rsid w:val="00B24CCA"/>
    <w:rsid w:val="00B26A12"/>
    <w:rsid w:val="00B279C3"/>
    <w:rsid w:val="00B27E22"/>
    <w:rsid w:val="00B30779"/>
    <w:rsid w:val="00B3079F"/>
    <w:rsid w:val="00B307B8"/>
    <w:rsid w:val="00B3094B"/>
    <w:rsid w:val="00B31052"/>
    <w:rsid w:val="00B31AE9"/>
    <w:rsid w:val="00B33281"/>
    <w:rsid w:val="00B333C3"/>
    <w:rsid w:val="00B3364B"/>
    <w:rsid w:val="00B33A9F"/>
    <w:rsid w:val="00B33C0C"/>
    <w:rsid w:val="00B347B8"/>
    <w:rsid w:val="00B34D84"/>
    <w:rsid w:val="00B34FA8"/>
    <w:rsid w:val="00B35533"/>
    <w:rsid w:val="00B35534"/>
    <w:rsid w:val="00B355B1"/>
    <w:rsid w:val="00B35847"/>
    <w:rsid w:val="00B4089D"/>
    <w:rsid w:val="00B408D9"/>
    <w:rsid w:val="00B411DC"/>
    <w:rsid w:val="00B41624"/>
    <w:rsid w:val="00B41D03"/>
    <w:rsid w:val="00B422A6"/>
    <w:rsid w:val="00B4250A"/>
    <w:rsid w:val="00B42B19"/>
    <w:rsid w:val="00B432E2"/>
    <w:rsid w:val="00B433E6"/>
    <w:rsid w:val="00B438F8"/>
    <w:rsid w:val="00B43F78"/>
    <w:rsid w:val="00B4422F"/>
    <w:rsid w:val="00B4427A"/>
    <w:rsid w:val="00B445EB"/>
    <w:rsid w:val="00B45C01"/>
    <w:rsid w:val="00B45E1E"/>
    <w:rsid w:val="00B46F27"/>
    <w:rsid w:val="00B47994"/>
    <w:rsid w:val="00B503D2"/>
    <w:rsid w:val="00B503DD"/>
    <w:rsid w:val="00B50535"/>
    <w:rsid w:val="00B50D95"/>
    <w:rsid w:val="00B52628"/>
    <w:rsid w:val="00B52712"/>
    <w:rsid w:val="00B537D3"/>
    <w:rsid w:val="00B53A27"/>
    <w:rsid w:val="00B53A32"/>
    <w:rsid w:val="00B5412C"/>
    <w:rsid w:val="00B54136"/>
    <w:rsid w:val="00B546EC"/>
    <w:rsid w:val="00B54DD8"/>
    <w:rsid w:val="00B54EFE"/>
    <w:rsid w:val="00B6027D"/>
    <w:rsid w:val="00B61083"/>
    <w:rsid w:val="00B623D2"/>
    <w:rsid w:val="00B627D8"/>
    <w:rsid w:val="00B62992"/>
    <w:rsid w:val="00B62DA8"/>
    <w:rsid w:val="00B62F76"/>
    <w:rsid w:val="00B63C07"/>
    <w:rsid w:val="00B63E0E"/>
    <w:rsid w:val="00B6460D"/>
    <w:rsid w:val="00B649A1"/>
    <w:rsid w:val="00B658D5"/>
    <w:rsid w:val="00B65DDC"/>
    <w:rsid w:val="00B7035C"/>
    <w:rsid w:val="00B706A8"/>
    <w:rsid w:val="00B71683"/>
    <w:rsid w:val="00B71DC8"/>
    <w:rsid w:val="00B7291D"/>
    <w:rsid w:val="00B7395B"/>
    <w:rsid w:val="00B73B19"/>
    <w:rsid w:val="00B73D16"/>
    <w:rsid w:val="00B73DEA"/>
    <w:rsid w:val="00B740C0"/>
    <w:rsid w:val="00B743E8"/>
    <w:rsid w:val="00B74851"/>
    <w:rsid w:val="00B74ADF"/>
    <w:rsid w:val="00B74F2B"/>
    <w:rsid w:val="00B751DD"/>
    <w:rsid w:val="00B7534F"/>
    <w:rsid w:val="00B75AC1"/>
    <w:rsid w:val="00B75B9A"/>
    <w:rsid w:val="00B75C9D"/>
    <w:rsid w:val="00B75EE2"/>
    <w:rsid w:val="00B76B7E"/>
    <w:rsid w:val="00B80489"/>
    <w:rsid w:val="00B80BFE"/>
    <w:rsid w:val="00B82BE3"/>
    <w:rsid w:val="00B82C3F"/>
    <w:rsid w:val="00B833E7"/>
    <w:rsid w:val="00B83B9E"/>
    <w:rsid w:val="00B83CF2"/>
    <w:rsid w:val="00B83DFA"/>
    <w:rsid w:val="00B85064"/>
    <w:rsid w:val="00B8553D"/>
    <w:rsid w:val="00B8751D"/>
    <w:rsid w:val="00B87BB6"/>
    <w:rsid w:val="00B87DDA"/>
    <w:rsid w:val="00B90013"/>
    <w:rsid w:val="00B90A10"/>
    <w:rsid w:val="00B90E45"/>
    <w:rsid w:val="00B9184C"/>
    <w:rsid w:val="00B92E31"/>
    <w:rsid w:val="00B92F26"/>
    <w:rsid w:val="00B93CCA"/>
    <w:rsid w:val="00B949AE"/>
    <w:rsid w:val="00B94E10"/>
    <w:rsid w:val="00B94F29"/>
    <w:rsid w:val="00B9556B"/>
    <w:rsid w:val="00B96E35"/>
    <w:rsid w:val="00B96E5F"/>
    <w:rsid w:val="00B978B0"/>
    <w:rsid w:val="00BA09DA"/>
    <w:rsid w:val="00BA0AEC"/>
    <w:rsid w:val="00BA13B4"/>
    <w:rsid w:val="00BA17E0"/>
    <w:rsid w:val="00BA1C95"/>
    <w:rsid w:val="00BA1DB8"/>
    <w:rsid w:val="00BA21D3"/>
    <w:rsid w:val="00BA39A0"/>
    <w:rsid w:val="00BA3B8F"/>
    <w:rsid w:val="00BA3C1D"/>
    <w:rsid w:val="00BA4783"/>
    <w:rsid w:val="00BA497A"/>
    <w:rsid w:val="00BA4B44"/>
    <w:rsid w:val="00BA562A"/>
    <w:rsid w:val="00BA5E5C"/>
    <w:rsid w:val="00BA6B97"/>
    <w:rsid w:val="00BA6C3B"/>
    <w:rsid w:val="00BA734D"/>
    <w:rsid w:val="00BA766F"/>
    <w:rsid w:val="00BB0823"/>
    <w:rsid w:val="00BB0C2A"/>
    <w:rsid w:val="00BB193D"/>
    <w:rsid w:val="00BB1F7B"/>
    <w:rsid w:val="00BB2D20"/>
    <w:rsid w:val="00BB2EFC"/>
    <w:rsid w:val="00BB34A8"/>
    <w:rsid w:val="00BB3B80"/>
    <w:rsid w:val="00BB5A09"/>
    <w:rsid w:val="00BB5FEE"/>
    <w:rsid w:val="00BB619A"/>
    <w:rsid w:val="00BB779B"/>
    <w:rsid w:val="00BB7E40"/>
    <w:rsid w:val="00BC027B"/>
    <w:rsid w:val="00BC1330"/>
    <w:rsid w:val="00BC1520"/>
    <w:rsid w:val="00BC303A"/>
    <w:rsid w:val="00BC3459"/>
    <w:rsid w:val="00BC34A5"/>
    <w:rsid w:val="00BC37E4"/>
    <w:rsid w:val="00BC40DB"/>
    <w:rsid w:val="00BC43E4"/>
    <w:rsid w:val="00BC4CD0"/>
    <w:rsid w:val="00BC55A3"/>
    <w:rsid w:val="00BC58D3"/>
    <w:rsid w:val="00BC5AF2"/>
    <w:rsid w:val="00BC5DAC"/>
    <w:rsid w:val="00BD100A"/>
    <w:rsid w:val="00BD12AB"/>
    <w:rsid w:val="00BD12ED"/>
    <w:rsid w:val="00BD1305"/>
    <w:rsid w:val="00BD179F"/>
    <w:rsid w:val="00BD1ACE"/>
    <w:rsid w:val="00BD1C0C"/>
    <w:rsid w:val="00BD2279"/>
    <w:rsid w:val="00BD2EDC"/>
    <w:rsid w:val="00BD3DD3"/>
    <w:rsid w:val="00BD4E95"/>
    <w:rsid w:val="00BD54AD"/>
    <w:rsid w:val="00BD5B48"/>
    <w:rsid w:val="00BD6509"/>
    <w:rsid w:val="00BD6B6C"/>
    <w:rsid w:val="00BD6F5B"/>
    <w:rsid w:val="00BD7B61"/>
    <w:rsid w:val="00BE0C1D"/>
    <w:rsid w:val="00BE0D3B"/>
    <w:rsid w:val="00BE24BC"/>
    <w:rsid w:val="00BE2674"/>
    <w:rsid w:val="00BE313E"/>
    <w:rsid w:val="00BE31C5"/>
    <w:rsid w:val="00BE3E1F"/>
    <w:rsid w:val="00BE4899"/>
    <w:rsid w:val="00BE4C3E"/>
    <w:rsid w:val="00BE4E34"/>
    <w:rsid w:val="00BE602F"/>
    <w:rsid w:val="00BE68BB"/>
    <w:rsid w:val="00BE6E63"/>
    <w:rsid w:val="00BF0C58"/>
    <w:rsid w:val="00BF1447"/>
    <w:rsid w:val="00BF239F"/>
    <w:rsid w:val="00BF2493"/>
    <w:rsid w:val="00BF304F"/>
    <w:rsid w:val="00BF3905"/>
    <w:rsid w:val="00BF4BBE"/>
    <w:rsid w:val="00BF4D28"/>
    <w:rsid w:val="00BF53EA"/>
    <w:rsid w:val="00BF6075"/>
    <w:rsid w:val="00BF69AF"/>
    <w:rsid w:val="00BF6AE3"/>
    <w:rsid w:val="00BF7577"/>
    <w:rsid w:val="00BF7DBA"/>
    <w:rsid w:val="00BF7E2E"/>
    <w:rsid w:val="00BF7F25"/>
    <w:rsid w:val="00C0032F"/>
    <w:rsid w:val="00C00E9C"/>
    <w:rsid w:val="00C011FD"/>
    <w:rsid w:val="00C015B6"/>
    <w:rsid w:val="00C02F6C"/>
    <w:rsid w:val="00C030A5"/>
    <w:rsid w:val="00C0399C"/>
    <w:rsid w:val="00C03B9B"/>
    <w:rsid w:val="00C04506"/>
    <w:rsid w:val="00C05C02"/>
    <w:rsid w:val="00C06DD4"/>
    <w:rsid w:val="00C0703F"/>
    <w:rsid w:val="00C1007D"/>
    <w:rsid w:val="00C10F93"/>
    <w:rsid w:val="00C11484"/>
    <w:rsid w:val="00C11A21"/>
    <w:rsid w:val="00C11A3F"/>
    <w:rsid w:val="00C11CAA"/>
    <w:rsid w:val="00C11D25"/>
    <w:rsid w:val="00C122A3"/>
    <w:rsid w:val="00C12805"/>
    <w:rsid w:val="00C13382"/>
    <w:rsid w:val="00C139B2"/>
    <w:rsid w:val="00C148B9"/>
    <w:rsid w:val="00C14C4A"/>
    <w:rsid w:val="00C15098"/>
    <w:rsid w:val="00C1510C"/>
    <w:rsid w:val="00C15872"/>
    <w:rsid w:val="00C15950"/>
    <w:rsid w:val="00C15ACE"/>
    <w:rsid w:val="00C17116"/>
    <w:rsid w:val="00C201FA"/>
    <w:rsid w:val="00C20823"/>
    <w:rsid w:val="00C20A80"/>
    <w:rsid w:val="00C21143"/>
    <w:rsid w:val="00C211A7"/>
    <w:rsid w:val="00C21831"/>
    <w:rsid w:val="00C21978"/>
    <w:rsid w:val="00C22303"/>
    <w:rsid w:val="00C22349"/>
    <w:rsid w:val="00C22D6B"/>
    <w:rsid w:val="00C22DC1"/>
    <w:rsid w:val="00C22ECE"/>
    <w:rsid w:val="00C234FB"/>
    <w:rsid w:val="00C2471E"/>
    <w:rsid w:val="00C26714"/>
    <w:rsid w:val="00C2761B"/>
    <w:rsid w:val="00C27A7D"/>
    <w:rsid w:val="00C3008D"/>
    <w:rsid w:val="00C303A8"/>
    <w:rsid w:val="00C3067F"/>
    <w:rsid w:val="00C30B78"/>
    <w:rsid w:val="00C32288"/>
    <w:rsid w:val="00C323F8"/>
    <w:rsid w:val="00C32E6F"/>
    <w:rsid w:val="00C33026"/>
    <w:rsid w:val="00C34145"/>
    <w:rsid w:val="00C34A1B"/>
    <w:rsid w:val="00C34DEC"/>
    <w:rsid w:val="00C35C17"/>
    <w:rsid w:val="00C36289"/>
    <w:rsid w:val="00C374D0"/>
    <w:rsid w:val="00C37555"/>
    <w:rsid w:val="00C37B5A"/>
    <w:rsid w:val="00C40A11"/>
    <w:rsid w:val="00C41186"/>
    <w:rsid w:val="00C41B10"/>
    <w:rsid w:val="00C41B4D"/>
    <w:rsid w:val="00C41DD9"/>
    <w:rsid w:val="00C421E9"/>
    <w:rsid w:val="00C42FB7"/>
    <w:rsid w:val="00C436F4"/>
    <w:rsid w:val="00C43E4C"/>
    <w:rsid w:val="00C44B0A"/>
    <w:rsid w:val="00C478A9"/>
    <w:rsid w:val="00C47ABA"/>
    <w:rsid w:val="00C47F92"/>
    <w:rsid w:val="00C5002F"/>
    <w:rsid w:val="00C50567"/>
    <w:rsid w:val="00C51CF4"/>
    <w:rsid w:val="00C51EED"/>
    <w:rsid w:val="00C51F30"/>
    <w:rsid w:val="00C525F3"/>
    <w:rsid w:val="00C5520E"/>
    <w:rsid w:val="00C55285"/>
    <w:rsid w:val="00C5539F"/>
    <w:rsid w:val="00C55AF0"/>
    <w:rsid w:val="00C56933"/>
    <w:rsid w:val="00C56FA0"/>
    <w:rsid w:val="00C57BD0"/>
    <w:rsid w:val="00C60156"/>
    <w:rsid w:val="00C604B1"/>
    <w:rsid w:val="00C61431"/>
    <w:rsid w:val="00C61528"/>
    <w:rsid w:val="00C616C7"/>
    <w:rsid w:val="00C6271F"/>
    <w:rsid w:val="00C629EF"/>
    <w:rsid w:val="00C63530"/>
    <w:rsid w:val="00C64630"/>
    <w:rsid w:val="00C650B4"/>
    <w:rsid w:val="00C665BB"/>
    <w:rsid w:val="00C67D29"/>
    <w:rsid w:val="00C701CB"/>
    <w:rsid w:val="00C7030D"/>
    <w:rsid w:val="00C704BF"/>
    <w:rsid w:val="00C704E6"/>
    <w:rsid w:val="00C71DBF"/>
    <w:rsid w:val="00C71E09"/>
    <w:rsid w:val="00C72139"/>
    <w:rsid w:val="00C72491"/>
    <w:rsid w:val="00C72F2D"/>
    <w:rsid w:val="00C73500"/>
    <w:rsid w:val="00C7412B"/>
    <w:rsid w:val="00C742AF"/>
    <w:rsid w:val="00C744E9"/>
    <w:rsid w:val="00C74715"/>
    <w:rsid w:val="00C755FA"/>
    <w:rsid w:val="00C7745E"/>
    <w:rsid w:val="00C774B6"/>
    <w:rsid w:val="00C77ADD"/>
    <w:rsid w:val="00C77D54"/>
    <w:rsid w:val="00C813E2"/>
    <w:rsid w:val="00C81F24"/>
    <w:rsid w:val="00C82DC6"/>
    <w:rsid w:val="00C83C03"/>
    <w:rsid w:val="00C84917"/>
    <w:rsid w:val="00C8585F"/>
    <w:rsid w:val="00C86886"/>
    <w:rsid w:val="00C8701F"/>
    <w:rsid w:val="00C87964"/>
    <w:rsid w:val="00C90650"/>
    <w:rsid w:val="00C90D79"/>
    <w:rsid w:val="00C91802"/>
    <w:rsid w:val="00C92184"/>
    <w:rsid w:val="00C9321D"/>
    <w:rsid w:val="00C932C6"/>
    <w:rsid w:val="00C93C39"/>
    <w:rsid w:val="00C949B6"/>
    <w:rsid w:val="00C95429"/>
    <w:rsid w:val="00C9580B"/>
    <w:rsid w:val="00C95CBD"/>
    <w:rsid w:val="00C96DE4"/>
    <w:rsid w:val="00CA01FB"/>
    <w:rsid w:val="00CA0358"/>
    <w:rsid w:val="00CA0569"/>
    <w:rsid w:val="00CA06DE"/>
    <w:rsid w:val="00CA0BCB"/>
    <w:rsid w:val="00CA0CF7"/>
    <w:rsid w:val="00CA0EC5"/>
    <w:rsid w:val="00CA0F6D"/>
    <w:rsid w:val="00CA123D"/>
    <w:rsid w:val="00CA188A"/>
    <w:rsid w:val="00CA27A3"/>
    <w:rsid w:val="00CA2B05"/>
    <w:rsid w:val="00CA349C"/>
    <w:rsid w:val="00CA3FA8"/>
    <w:rsid w:val="00CA438D"/>
    <w:rsid w:val="00CA4614"/>
    <w:rsid w:val="00CA5E53"/>
    <w:rsid w:val="00CA60DE"/>
    <w:rsid w:val="00CA70FD"/>
    <w:rsid w:val="00CA736D"/>
    <w:rsid w:val="00CA7796"/>
    <w:rsid w:val="00CA7BDF"/>
    <w:rsid w:val="00CB0441"/>
    <w:rsid w:val="00CB0CC3"/>
    <w:rsid w:val="00CB1132"/>
    <w:rsid w:val="00CB136B"/>
    <w:rsid w:val="00CB1C52"/>
    <w:rsid w:val="00CB1D79"/>
    <w:rsid w:val="00CB1E9F"/>
    <w:rsid w:val="00CB28B6"/>
    <w:rsid w:val="00CB307B"/>
    <w:rsid w:val="00CB3599"/>
    <w:rsid w:val="00CB3B44"/>
    <w:rsid w:val="00CB3D1C"/>
    <w:rsid w:val="00CB4039"/>
    <w:rsid w:val="00CB5345"/>
    <w:rsid w:val="00CB5643"/>
    <w:rsid w:val="00CB56FA"/>
    <w:rsid w:val="00CB5781"/>
    <w:rsid w:val="00CB5F7A"/>
    <w:rsid w:val="00CB6942"/>
    <w:rsid w:val="00CB6A1F"/>
    <w:rsid w:val="00CB6CF9"/>
    <w:rsid w:val="00CB7349"/>
    <w:rsid w:val="00CB7799"/>
    <w:rsid w:val="00CC07D4"/>
    <w:rsid w:val="00CC0AA8"/>
    <w:rsid w:val="00CC0E06"/>
    <w:rsid w:val="00CC1264"/>
    <w:rsid w:val="00CC1376"/>
    <w:rsid w:val="00CC2286"/>
    <w:rsid w:val="00CC38EA"/>
    <w:rsid w:val="00CC3E29"/>
    <w:rsid w:val="00CC452B"/>
    <w:rsid w:val="00CC48DC"/>
    <w:rsid w:val="00CC5E18"/>
    <w:rsid w:val="00CC6275"/>
    <w:rsid w:val="00CC62D0"/>
    <w:rsid w:val="00CC6360"/>
    <w:rsid w:val="00CC64B6"/>
    <w:rsid w:val="00CC7304"/>
    <w:rsid w:val="00CC7370"/>
    <w:rsid w:val="00CC77F1"/>
    <w:rsid w:val="00CC7C64"/>
    <w:rsid w:val="00CC7FE5"/>
    <w:rsid w:val="00CD02CC"/>
    <w:rsid w:val="00CD02CF"/>
    <w:rsid w:val="00CD0832"/>
    <w:rsid w:val="00CD13B9"/>
    <w:rsid w:val="00CD243B"/>
    <w:rsid w:val="00CD2BD3"/>
    <w:rsid w:val="00CD3352"/>
    <w:rsid w:val="00CD335A"/>
    <w:rsid w:val="00CD353D"/>
    <w:rsid w:val="00CD3579"/>
    <w:rsid w:val="00CD3D7F"/>
    <w:rsid w:val="00CD3E71"/>
    <w:rsid w:val="00CD3FED"/>
    <w:rsid w:val="00CD44EE"/>
    <w:rsid w:val="00CD4542"/>
    <w:rsid w:val="00CD4585"/>
    <w:rsid w:val="00CD466D"/>
    <w:rsid w:val="00CD5028"/>
    <w:rsid w:val="00CD57C1"/>
    <w:rsid w:val="00CD5BA8"/>
    <w:rsid w:val="00CD5E11"/>
    <w:rsid w:val="00CD6306"/>
    <w:rsid w:val="00CD6939"/>
    <w:rsid w:val="00CD6CB2"/>
    <w:rsid w:val="00CD7217"/>
    <w:rsid w:val="00CD749A"/>
    <w:rsid w:val="00CD762E"/>
    <w:rsid w:val="00CD7CA6"/>
    <w:rsid w:val="00CE008B"/>
    <w:rsid w:val="00CE01E0"/>
    <w:rsid w:val="00CE05FB"/>
    <w:rsid w:val="00CE155C"/>
    <w:rsid w:val="00CE1BEF"/>
    <w:rsid w:val="00CE29C6"/>
    <w:rsid w:val="00CE2C6B"/>
    <w:rsid w:val="00CE4584"/>
    <w:rsid w:val="00CE4841"/>
    <w:rsid w:val="00CE484D"/>
    <w:rsid w:val="00CE4ABA"/>
    <w:rsid w:val="00CE5099"/>
    <w:rsid w:val="00CE56BC"/>
    <w:rsid w:val="00CE6155"/>
    <w:rsid w:val="00CE6ABC"/>
    <w:rsid w:val="00CE7162"/>
    <w:rsid w:val="00CE73B7"/>
    <w:rsid w:val="00CE7DEB"/>
    <w:rsid w:val="00CE7EDB"/>
    <w:rsid w:val="00CF037B"/>
    <w:rsid w:val="00CF0B81"/>
    <w:rsid w:val="00CF0BFD"/>
    <w:rsid w:val="00CF110A"/>
    <w:rsid w:val="00CF15A8"/>
    <w:rsid w:val="00CF187A"/>
    <w:rsid w:val="00CF190E"/>
    <w:rsid w:val="00CF1A49"/>
    <w:rsid w:val="00CF1E13"/>
    <w:rsid w:val="00CF2555"/>
    <w:rsid w:val="00CF2FF6"/>
    <w:rsid w:val="00CF35B1"/>
    <w:rsid w:val="00CF3D8D"/>
    <w:rsid w:val="00CF58C9"/>
    <w:rsid w:val="00CF5D9C"/>
    <w:rsid w:val="00CF6D1B"/>
    <w:rsid w:val="00CF7296"/>
    <w:rsid w:val="00CF72D0"/>
    <w:rsid w:val="00CF7B83"/>
    <w:rsid w:val="00CF7C4C"/>
    <w:rsid w:val="00CF7D1C"/>
    <w:rsid w:val="00CF7DBF"/>
    <w:rsid w:val="00D0067A"/>
    <w:rsid w:val="00D01644"/>
    <w:rsid w:val="00D01CF0"/>
    <w:rsid w:val="00D01D02"/>
    <w:rsid w:val="00D0283D"/>
    <w:rsid w:val="00D02960"/>
    <w:rsid w:val="00D03304"/>
    <w:rsid w:val="00D0355F"/>
    <w:rsid w:val="00D042EE"/>
    <w:rsid w:val="00D06595"/>
    <w:rsid w:val="00D06BEF"/>
    <w:rsid w:val="00D06DF1"/>
    <w:rsid w:val="00D0740A"/>
    <w:rsid w:val="00D07791"/>
    <w:rsid w:val="00D0785C"/>
    <w:rsid w:val="00D079DB"/>
    <w:rsid w:val="00D10281"/>
    <w:rsid w:val="00D107B4"/>
    <w:rsid w:val="00D108EB"/>
    <w:rsid w:val="00D11743"/>
    <w:rsid w:val="00D1193B"/>
    <w:rsid w:val="00D12C6C"/>
    <w:rsid w:val="00D12EC5"/>
    <w:rsid w:val="00D131DD"/>
    <w:rsid w:val="00D1325F"/>
    <w:rsid w:val="00D13407"/>
    <w:rsid w:val="00D15726"/>
    <w:rsid w:val="00D15ADC"/>
    <w:rsid w:val="00D16356"/>
    <w:rsid w:val="00D16926"/>
    <w:rsid w:val="00D17102"/>
    <w:rsid w:val="00D173D5"/>
    <w:rsid w:val="00D17939"/>
    <w:rsid w:val="00D206D1"/>
    <w:rsid w:val="00D20E4E"/>
    <w:rsid w:val="00D2101E"/>
    <w:rsid w:val="00D21A68"/>
    <w:rsid w:val="00D21D1C"/>
    <w:rsid w:val="00D224B0"/>
    <w:rsid w:val="00D23389"/>
    <w:rsid w:val="00D23A5D"/>
    <w:rsid w:val="00D24233"/>
    <w:rsid w:val="00D24618"/>
    <w:rsid w:val="00D246E9"/>
    <w:rsid w:val="00D24869"/>
    <w:rsid w:val="00D248F1"/>
    <w:rsid w:val="00D24EB4"/>
    <w:rsid w:val="00D2562C"/>
    <w:rsid w:val="00D25730"/>
    <w:rsid w:val="00D2608D"/>
    <w:rsid w:val="00D269F8"/>
    <w:rsid w:val="00D26AA8"/>
    <w:rsid w:val="00D26CA2"/>
    <w:rsid w:val="00D27744"/>
    <w:rsid w:val="00D2795B"/>
    <w:rsid w:val="00D27D7E"/>
    <w:rsid w:val="00D27E2B"/>
    <w:rsid w:val="00D311F4"/>
    <w:rsid w:val="00D316FE"/>
    <w:rsid w:val="00D31C29"/>
    <w:rsid w:val="00D31D8D"/>
    <w:rsid w:val="00D32ADA"/>
    <w:rsid w:val="00D32D2B"/>
    <w:rsid w:val="00D32E0E"/>
    <w:rsid w:val="00D3351F"/>
    <w:rsid w:val="00D33A90"/>
    <w:rsid w:val="00D33E15"/>
    <w:rsid w:val="00D34CD9"/>
    <w:rsid w:val="00D35403"/>
    <w:rsid w:val="00D3584C"/>
    <w:rsid w:val="00D3679B"/>
    <w:rsid w:val="00D3691B"/>
    <w:rsid w:val="00D3697D"/>
    <w:rsid w:val="00D370EE"/>
    <w:rsid w:val="00D3739F"/>
    <w:rsid w:val="00D375F9"/>
    <w:rsid w:val="00D409E5"/>
    <w:rsid w:val="00D40A0E"/>
    <w:rsid w:val="00D40C7C"/>
    <w:rsid w:val="00D40DD9"/>
    <w:rsid w:val="00D41190"/>
    <w:rsid w:val="00D4160C"/>
    <w:rsid w:val="00D417B3"/>
    <w:rsid w:val="00D41D2F"/>
    <w:rsid w:val="00D42141"/>
    <w:rsid w:val="00D437AD"/>
    <w:rsid w:val="00D43E03"/>
    <w:rsid w:val="00D44237"/>
    <w:rsid w:val="00D449A4"/>
    <w:rsid w:val="00D4533A"/>
    <w:rsid w:val="00D45857"/>
    <w:rsid w:val="00D459DB"/>
    <w:rsid w:val="00D46F79"/>
    <w:rsid w:val="00D50CB7"/>
    <w:rsid w:val="00D512A4"/>
    <w:rsid w:val="00D51307"/>
    <w:rsid w:val="00D51BBE"/>
    <w:rsid w:val="00D51D50"/>
    <w:rsid w:val="00D51EFC"/>
    <w:rsid w:val="00D52B12"/>
    <w:rsid w:val="00D52E0F"/>
    <w:rsid w:val="00D53870"/>
    <w:rsid w:val="00D539AC"/>
    <w:rsid w:val="00D561D4"/>
    <w:rsid w:val="00D56201"/>
    <w:rsid w:val="00D56267"/>
    <w:rsid w:val="00D57606"/>
    <w:rsid w:val="00D60CAD"/>
    <w:rsid w:val="00D60D3D"/>
    <w:rsid w:val="00D60DB5"/>
    <w:rsid w:val="00D60E28"/>
    <w:rsid w:val="00D60E4B"/>
    <w:rsid w:val="00D61B1E"/>
    <w:rsid w:val="00D6230A"/>
    <w:rsid w:val="00D62BED"/>
    <w:rsid w:val="00D62F59"/>
    <w:rsid w:val="00D63030"/>
    <w:rsid w:val="00D636F2"/>
    <w:rsid w:val="00D643D0"/>
    <w:rsid w:val="00D6561F"/>
    <w:rsid w:val="00D65F43"/>
    <w:rsid w:val="00D6672E"/>
    <w:rsid w:val="00D7012D"/>
    <w:rsid w:val="00D7112B"/>
    <w:rsid w:val="00D7206D"/>
    <w:rsid w:val="00D744B5"/>
    <w:rsid w:val="00D74D0A"/>
    <w:rsid w:val="00D75305"/>
    <w:rsid w:val="00D75B9B"/>
    <w:rsid w:val="00D76399"/>
    <w:rsid w:val="00D76498"/>
    <w:rsid w:val="00D764DB"/>
    <w:rsid w:val="00D76659"/>
    <w:rsid w:val="00D77651"/>
    <w:rsid w:val="00D806CF"/>
    <w:rsid w:val="00D80DC2"/>
    <w:rsid w:val="00D81F27"/>
    <w:rsid w:val="00D8201E"/>
    <w:rsid w:val="00D85738"/>
    <w:rsid w:val="00D870B5"/>
    <w:rsid w:val="00D874FB"/>
    <w:rsid w:val="00D876D7"/>
    <w:rsid w:val="00D877BA"/>
    <w:rsid w:val="00D87D42"/>
    <w:rsid w:val="00D90790"/>
    <w:rsid w:val="00D90B6B"/>
    <w:rsid w:val="00D91106"/>
    <w:rsid w:val="00D91F2B"/>
    <w:rsid w:val="00D92C03"/>
    <w:rsid w:val="00D92ECE"/>
    <w:rsid w:val="00D9312B"/>
    <w:rsid w:val="00D9341E"/>
    <w:rsid w:val="00D94F56"/>
    <w:rsid w:val="00D96AB8"/>
    <w:rsid w:val="00D97EF5"/>
    <w:rsid w:val="00DA0C86"/>
    <w:rsid w:val="00DA0DBC"/>
    <w:rsid w:val="00DA17EE"/>
    <w:rsid w:val="00DA1DFA"/>
    <w:rsid w:val="00DA20F8"/>
    <w:rsid w:val="00DA2ED6"/>
    <w:rsid w:val="00DA374B"/>
    <w:rsid w:val="00DA380A"/>
    <w:rsid w:val="00DA3C25"/>
    <w:rsid w:val="00DA4EF3"/>
    <w:rsid w:val="00DA5B57"/>
    <w:rsid w:val="00DA67F8"/>
    <w:rsid w:val="00DA6881"/>
    <w:rsid w:val="00DA68D4"/>
    <w:rsid w:val="00DA6EA0"/>
    <w:rsid w:val="00DA774A"/>
    <w:rsid w:val="00DB000D"/>
    <w:rsid w:val="00DB06AA"/>
    <w:rsid w:val="00DB0918"/>
    <w:rsid w:val="00DB14C0"/>
    <w:rsid w:val="00DB1925"/>
    <w:rsid w:val="00DB1C24"/>
    <w:rsid w:val="00DB3462"/>
    <w:rsid w:val="00DB3BFF"/>
    <w:rsid w:val="00DB4295"/>
    <w:rsid w:val="00DB4A35"/>
    <w:rsid w:val="00DB4BE3"/>
    <w:rsid w:val="00DB4BE4"/>
    <w:rsid w:val="00DB4E9A"/>
    <w:rsid w:val="00DB4E9D"/>
    <w:rsid w:val="00DB5045"/>
    <w:rsid w:val="00DB556F"/>
    <w:rsid w:val="00DB61FD"/>
    <w:rsid w:val="00DB627C"/>
    <w:rsid w:val="00DB62CC"/>
    <w:rsid w:val="00DB668A"/>
    <w:rsid w:val="00DB6A63"/>
    <w:rsid w:val="00DB7A43"/>
    <w:rsid w:val="00DC0119"/>
    <w:rsid w:val="00DC0D2B"/>
    <w:rsid w:val="00DC20FC"/>
    <w:rsid w:val="00DC237D"/>
    <w:rsid w:val="00DC520E"/>
    <w:rsid w:val="00DC5B35"/>
    <w:rsid w:val="00DC7185"/>
    <w:rsid w:val="00DC7598"/>
    <w:rsid w:val="00DD0376"/>
    <w:rsid w:val="00DD0925"/>
    <w:rsid w:val="00DD1B39"/>
    <w:rsid w:val="00DD20D7"/>
    <w:rsid w:val="00DD262C"/>
    <w:rsid w:val="00DD264A"/>
    <w:rsid w:val="00DD3424"/>
    <w:rsid w:val="00DD35C5"/>
    <w:rsid w:val="00DD4096"/>
    <w:rsid w:val="00DD44AF"/>
    <w:rsid w:val="00DD44D8"/>
    <w:rsid w:val="00DD451C"/>
    <w:rsid w:val="00DD4877"/>
    <w:rsid w:val="00DD4C8E"/>
    <w:rsid w:val="00DD52D6"/>
    <w:rsid w:val="00DD55F8"/>
    <w:rsid w:val="00DD5673"/>
    <w:rsid w:val="00DD5781"/>
    <w:rsid w:val="00DD5AFA"/>
    <w:rsid w:val="00DD627C"/>
    <w:rsid w:val="00DD748B"/>
    <w:rsid w:val="00DD7651"/>
    <w:rsid w:val="00DE00E6"/>
    <w:rsid w:val="00DE0E3A"/>
    <w:rsid w:val="00DE0E50"/>
    <w:rsid w:val="00DE1094"/>
    <w:rsid w:val="00DE13B3"/>
    <w:rsid w:val="00DE1402"/>
    <w:rsid w:val="00DE1D81"/>
    <w:rsid w:val="00DE20AA"/>
    <w:rsid w:val="00DE2491"/>
    <w:rsid w:val="00DE324B"/>
    <w:rsid w:val="00DE3274"/>
    <w:rsid w:val="00DE33BF"/>
    <w:rsid w:val="00DE388F"/>
    <w:rsid w:val="00DE3A48"/>
    <w:rsid w:val="00DE4C8F"/>
    <w:rsid w:val="00DE4D74"/>
    <w:rsid w:val="00DE535C"/>
    <w:rsid w:val="00DE5E2B"/>
    <w:rsid w:val="00DE6408"/>
    <w:rsid w:val="00DE67AE"/>
    <w:rsid w:val="00DE67B5"/>
    <w:rsid w:val="00DE73BC"/>
    <w:rsid w:val="00DF0C97"/>
    <w:rsid w:val="00DF1359"/>
    <w:rsid w:val="00DF146D"/>
    <w:rsid w:val="00DF14F3"/>
    <w:rsid w:val="00DF1981"/>
    <w:rsid w:val="00DF1F3E"/>
    <w:rsid w:val="00DF3168"/>
    <w:rsid w:val="00DF57D0"/>
    <w:rsid w:val="00DF58BD"/>
    <w:rsid w:val="00DF5EB3"/>
    <w:rsid w:val="00DF60C4"/>
    <w:rsid w:val="00DF61EF"/>
    <w:rsid w:val="00DF6CA2"/>
    <w:rsid w:val="00DF7989"/>
    <w:rsid w:val="00DF7ED1"/>
    <w:rsid w:val="00E000ED"/>
    <w:rsid w:val="00E0098A"/>
    <w:rsid w:val="00E00F28"/>
    <w:rsid w:val="00E01138"/>
    <w:rsid w:val="00E01B0B"/>
    <w:rsid w:val="00E02602"/>
    <w:rsid w:val="00E028ED"/>
    <w:rsid w:val="00E02E80"/>
    <w:rsid w:val="00E034C5"/>
    <w:rsid w:val="00E04081"/>
    <w:rsid w:val="00E04297"/>
    <w:rsid w:val="00E054C1"/>
    <w:rsid w:val="00E07083"/>
    <w:rsid w:val="00E07240"/>
    <w:rsid w:val="00E07B7D"/>
    <w:rsid w:val="00E07C9C"/>
    <w:rsid w:val="00E10AC1"/>
    <w:rsid w:val="00E10B2A"/>
    <w:rsid w:val="00E11F37"/>
    <w:rsid w:val="00E129DD"/>
    <w:rsid w:val="00E13119"/>
    <w:rsid w:val="00E131E3"/>
    <w:rsid w:val="00E13E94"/>
    <w:rsid w:val="00E1409B"/>
    <w:rsid w:val="00E14BBD"/>
    <w:rsid w:val="00E15133"/>
    <w:rsid w:val="00E15A27"/>
    <w:rsid w:val="00E16A15"/>
    <w:rsid w:val="00E179BF"/>
    <w:rsid w:val="00E2062A"/>
    <w:rsid w:val="00E20AEF"/>
    <w:rsid w:val="00E217F0"/>
    <w:rsid w:val="00E21ACC"/>
    <w:rsid w:val="00E223A5"/>
    <w:rsid w:val="00E228C8"/>
    <w:rsid w:val="00E22D90"/>
    <w:rsid w:val="00E23A94"/>
    <w:rsid w:val="00E23B2D"/>
    <w:rsid w:val="00E2431E"/>
    <w:rsid w:val="00E24333"/>
    <w:rsid w:val="00E24B39"/>
    <w:rsid w:val="00E2558C"/>
    <w:rsid w:val="00E265C3"/>
    <w:rsid w:val="00E27437"/>
    <w:rsid w:val="00E274CA"/>
    <w:rsid w:val="00E3085B"/>
    <w:rsid w:val="00E30897"/>
    <w:rsid w:val="00E308D8"/>
    <w:rsid w:val="00E3136B"/>
    <w:rsid w:val="00E313A9"/>
    <w:rsid w:val="00E31D37"/>
    <w:rsid w:val="00E33619"/>
    <w:rsid w:val="00E34048"/>
    <w:rsid w:val="00E34109"/>
    <w:rsid w:val="00E34E30"/>
    <w:rsid w:val="00E355A7"/>
    <w:rsid w:val="00E370A6"/>
    <w:rsid w:val="00E40E35"/>
    <w:rsid w:val="00E416A8"/>
    <w:rsid w:val="00E41F69"/>
    <w:rsid w:val="00E428F1"/>
    <w:rsid w:val="00E42D25"/>
    <w:rsid w:val="00E43D55"/>
    <w:rsid w:val="00E446CD"/>
    <w:rsid w:val="00E45035"/>
    <w:rsid w:val="00E455A0"/>
    <w:rsid w:val="00E45CF2"/>
    <w:rsid w:val="00E45E18"/>
    <w:rsid w:val="00E46777"/>
    <w:rsid w:val="00E47114"/>
    <w:rsid w:val="00E4781E"/>
    <w:rsid w:val="00E47F12"/>
    <w:rsid w:val="00E505F8"/>
    <w:rsid w:val="00E5092D"/>
    <w:rsid w:val="00E50B29"/>
    <w:rsid w:val="00E50FA3"/>
    <w:rsid w:val="00E512C9"/>
    <w:rsid w:val="00E51986"/>
    <w:rsid w:val="00E51993"/>
    <w:rsid w:val="00E51DC6"/>
    <w:rsid w:val="00E520AF"/>
    <w:rsid w:val="00E52BDA"/>
    <w:rsid w:val="00E52D59"/>
    <w:rsid w:val="00E53266"/>
    <w:rsid w:val="00E53958"/>
    <w:rsid w:val="00E5396F"/>
    <w:rsid w:val="00E53D02"/>
    <w:rsid w:val="00E53EC4"/>
    <w:rsid w:val="00E53FC1"/>
    <w:rsid w:val="00E544E0"/>
    <w:rsid w:val="00E5475C"/>
    <w:rsid w:val="00E54E48"/>
    <w:rsid w:val="00E54E52"/>
    <w:rsid w:val="00E5586B"/>
    <w:rsid w:val="00E562A6"/>
    <w:rsid w:val="00E569F3"/>
    <w:rsid w:val="00E5707A"/>
    <w:rsid w:val="00E57708"/>
    <w:rsid w:val="00E60980"/>
    <w:rsid w:val="00E62471"/>
    <w:rsid w:val="00E62554"/>
    <w:rsid w:val="00E62627"/>
    <w:rsid w:val="00E62B52"/>
    <w:rsid w:val="00E63132"/>
    <w:rsid w:val="00E6366C"/>
    <w:rsid w:val="00E63949"/>
    <w:rsid w:val="00E63E7E"/>
    <w:rsid w:val="00E642A0"/>
    <w:rsid w:val="00E64D2C"/>
    <w:rsid w:val="00E66687"/>
    <w:rsid w:val="00E6680C"/>
    <w:rsid w:val="00E66C48"/>
    <w:rsid w:val="00E67146"/>
    <w:rsid w:val="00E6715C"/>
    <w:rsid w:val="00E6744E"/>
    <w:rsid w:val="00E67ADF"/>
    <w:rsid w:val="00E7100A"/>
    <w:rsid w:val="00E71194"/>
    <w:rsid w:val="00E72176"/>
    <w:rsid w:val="00E721B1"/>
    <w:rsid w:val="00E72211"/>
    <w:rsid w:val="00E72FD4"/>
    <w:rsid w:val="00E742B6"/>
    <w:rsid w:val="00E74D5F"/>
    <w:rsid w:val="00E752F3"/>
    <w:rsid w:val="00E755D9"/>
    <w:rsid w:val="00E75718"/>
    <w:rsid w:val="00E75E1D"/>
    <w:rsid w:val="00E76354"/>
    <w:rsid w:val="00E764DC"/>
    <w:rsid w:val="00E7663B"/>
    <w:rsid w:val="00E771F2"/>
    <w:rsid w:val="00E77737"/>
    <w:rsid w:val="00E801E9"/>
    <w:rsid w:val="00E80F5B"/>
    <w:rsid w:val="00E81451"/>
    <w:rsid w:val="00E8248B"/>
    <w:rsid w:val="00E831E4"/>
    <w:rsid w:val="00E83755"/>
    <w:rsid w:val="00E83D2A"/>
    <w:rsid w:val="00E846D2"/>
    <w:rsid w:val="00E84D07"/>
    <w:rsid w:val="00E852BE"/>
    <w:rsid w:val="00E856CE"/>
    <w:rsid w:val="00E8610C"/>
    <w:rsid w:val="00E86383"/>
    <w:rsid w:val="00E8643E"/>
    <w:rsid w:val="00E868C6"/>
    <w:rsid w:val="00E868FB"/>
    <w:rsid w:val="00E86AA7"/>
    <w:rsid w:val="00E872C1"/>
    <w:rsid w:val="00E87435"/>
    <w:rsid w:val="00E907FA"/>
    <w:rsid w:val="00E90ECD"/>
    <w:rsid w:val="00E911A3"/>
    <w:rsid w:val="00E91AD9"/>
    <w:rsid w:val="00E91DC3"/>
    <w:rsid w:val="00E921ED"/>
    <w:rsid w:val="00E92BC8"/>
    <w:rsid w:val="00E92EBD"/>
    <w:rsid w:val="00E94163"/>
    <w:rsid w:val="00E94B61"/>
    <w:rsid w:val="00E96C95"/>
    <w:rsid w:val="00E96EE5"/>
    <w:rsid w:val="00E97562"/>
    <w:rsid w:val="00EA030D"/>
    <w:rsid w:val="00EA03BF"/>
    <w:rsid w:val="00EA0986"/>
    <w:rsid w:val="00EA0EAD"/>
    <w:rsid w:val="00EA1DA2"/>
    <w:rsid w:val="00EA2DA4"/>
    <w:rsid w:val="00EA2E18"/>
    <w:rsid w:val="00EA3B75"/>
    <w:rsid w:val="00EA3E64"/>
    <w:rsid w:val="00EA4030"/>
    <w:rsid w:val="00EA4618"/>
    <w:rsid w:val="00EA54D2"/>
    <w:rsid w:val="00EA5A89"/>
    <w:rsid w:val="00EA5E1C"/>
    <w:rsid w:val="00EA60A7"/>
    <w:rsid w:val="00EA612F"/>
    <w:rsid w:val="00EA63B5"/>
    <w:rsid w:val="00EA656B"/>
    <w:rsid w:val="00EA66AA"/>
    <w:rsid w:val="00EA6FE9"/>
    <w:rsid w:val="00EA7016"/>
    <w:rsid w:val="00EA7EB9"/>
    <w:rsid w:val="00EA7F66"/>
    <w:rsid w:val="00EB01EB"/>
    <w:rsid w:val="00EB0AC3"/>
    <w:rsid w:val="00EB0B1C"/>
    <w:rsid w:val="00EB0C08"/>
    <w:rsid w:val="00EB0F7C"/>
    <w:rsid w:val="00EB14C6"/>
    <w:rsid w:val="00EB1A5D"/>
    <w:rsid w:val="00EB2564"/>
    <w:rsid w:val="00EB2587"/>
    <w:rsid w:val="00EB2784"/>
    <w:rsid w:val="00EB3F82"/>
    <w:rsid w:val="00EB414C"/>
    <w:rsid w:val="00EB4438"/>
    <w:rsid w:val="00EB4CF8"/>
    <w:rsid w:val="00EB5C32"/>
    <w:rsid w:val="00EB6DCB"/>
    <w:rsid w:val="00EB7448"/>
    <w:rsid w:val="00EB793C"/>
    <w:rsid w:val="00EB7E68"/>
    <w:rsid w:val="00EC0A5D"/>
    <w:rsid w:val="00EC0F2C"/>
    <w:rsid w:val="00EC13C5"/>
    <w:rsid w:val="00EC1616"/>
    <w:rsid w:val="00EC1DF7"/>
    <w:rsid w:val="00EC2633"/>
    <w:rsid w:val="00EC3AB8"/>
    <w:rsid w:val="00EC3C0B"/>
    <w:rsid w:val="00EC4A89"/>
    <w:rsid w:val="00EC4CC7"/>
    <w:rsid w:val="00EC5640"/>
    <w:rsid w:val="00EC6F99"/>
    <w:rsid w:val="00EC7A54"/>
    <w:rsid w:val="00ED1897"/>
    <w:rsid w:val="00ED1B12"/>
    <w:rsid w:val="00ED1DFF"/>
    <w:rsid w:val="00ED2263"/>
    <w:rsid w:val="00ED2AFC"/>
    <w:rsid w:val="00ED3456"/>
    <w:rsid w:val="00ED35B5"/>
    <w:rsid w:val="00ED36FA"/>
    <w:rsid w:val="00ED3C4E"/>
    <w:rsid w:val="00ED4002"/>
    <w:rsid w:val="00ED5EAA"/>
    <w:rsid w:val="00ED619D"/>
    <w:rsid w:val="00ED6A3B"/>
    <w:rsid w:val="00ED6AC3"/>
    <w:rsid w:val="00ED6C94"/>
    <w:rsid w:val="00ED77B4"/>
    <w:rsid w:val="00EE06D4"/>
    <w:rsid w:val="00EE11B4"/>
    <w:rsid w:val="00EE2005"/>
    <w:rsid w:val="00EE2A85"/>
    <w:rsid w:val="00EE2D3C"/>
    <w:rsid w:val="00EE2E43"/>
    <w:rsid w:val="00EE33DA"/>
    <w:rsid w:val="00EE3401"/>
    <w:rsid w:val="00EE35C1"/>
    <w:rsid w:val="00EE39A2"/>
    <w:rsid w:val="00EE5116"/>
    <w:rsid w:val="00EE5A26"/>
    <w:rsid w:val="00EE5AA7"/>
    <w:rsid w:val="00EE5E35"/>
    <w:rsid w:val="00EE62CB"/>
    <w:rsid w:val="00EE7284"/>
    <w:rsid w:val="00EF20CF"/>
    <w:rsid w:val="00EF213A"/>
    <w:rsid w:val="00EF2689"/>
    <w:rsid w:val="00EF2A33"/>
    <w:rsid w:val="00EF2A6A"/>
    <w:rsid w:val="00EF2FA6"/>
    <w:rsid w:val="00EF38F4"/>
    <w:rsid w:val="00EF3EF2"/>
    <w:rsid w:val="00EF3F20"/>
    <w:rsid w:val="00EF3F21"/>
    <w:rsid w:val="00EF43F2"/>
    <w:rsid w:val="00EF54AB"/>
    <w:rsid w:val="00EF7264"/>
    <w:rsid w:val="00EF7A03"/>
    <w:rsid w:val="00EF7CD8"/>
    <w:rsid w:val="00F0028C"/>
    <w:rsid w:val="00F0202C"/>
    <w:rsid w:val="00F0208E"/>
    <w:rsid w:val="00F0227A"/>
    <w:rsid w:val="00F02DA8"/>
    <w:rsid w:val="00F033B8"/>
    <w:rsid w:val="00F068F7"/>
    <w:rsid w:val="00F075B8"/>
    <w:rsid w:val="00F07E8A"/>
    <w:rsid w:val="00F10D3E"/>
    <w:rsid w:val="00F1251F"/>
    <w:rsid w:val="00F12A0B"/>
    <w:rsid w:val="00F12AE8"/>
    <w:rsid w:val="00F12DA7"/>
    <w:rsid w:val="00F1333B"/>
    <w:rsid w:val="00F136AF"/>
    <w:rsid w:val="00F15121"/>
    <w:rsid w:val="00F1656F"/>
    <w:rsid w:val="00F16A44"/>
    <w:rsid w:val="00F16D19"/>
    <w:rsid w:val="00F17802"/>
    <w:rsid w:val="00F1782E"/>
    <w:rsid w:val="00F17980"/>
    <w:rsid w:val="00F20947"/>
    <w:rsid w:val="00F20E1B"/>
    <w:rsid w:val="00F20E59"/>
    <w:rsid w:val="00F20F5F"/>
    <w:rsid w:val="00F21470"/>
    <w:rsid w:val="00F22CAA"/>
    <w:rsid w:val="00F22CD3"/>
    <w:rsid w:val="00F23BC4"/>
    <w:rsid w:val="00F2455B"/>
    <w:rsid w:val="00F245F1"/>
    <w:rsid w:val="00F24D02"/>
    <w:rsid w:val="00F24E03"/>
    <w:rsid w:val="00F25E43"/>
    <w:rsid w:val="00F266B7"/>
    <w:rsid w:val="00F30346"/>
    <w:rsid w:val="00F31563"/>
    <w:rsid w:val="00F31E47"/>
    <w:rsid w:val="00F323FC"/>
    <w:rsid w:val="00F32890"/>
    <w:rsid w:val="00F32918"/>
    <w:rsid w:val="00F331DD"/>
    <w:rsid w:val="00F34778"/>
    <w:rsid w:val="00F34D9B"/>
    <w:rsid w:val="00F36022"/>
    <w:rsid w:val="00F364F1"/>
    <w:rsid w:val="00F365BD"/>
    <w:rsid w:val="00F4037E"/>
    <w:rsid w:val="00F408C6"/>
    <w:rsid w:val="00F408EE"/>
    <w:rsid w:val="00F40E2B"/>
    <w:rsid w:val="00F411A5"/>
    <w:rsid w:val="00F4140A"/>
    <w:rsid w:val="00F4187F"/>
    <w:rsid w:val="00F428D6"/>
    <w:rsid w:val="00F430AC"/>
    <w:rsid w:val="00F44614"/>
    <w:rsid w:val="00F448A9"/>
    <w:rsid w:val="00F45D3A"/>
    <w:rsid w:val="00F45DDD"/>
    <w:rsid w:val="00F464BE"/>
    <w:rsid w:val="00F47474"/>
    <w:rsid w:val="00F47EC5"/>
    <w:rsid w:val="00F505DF"/>
    <w:rsid w:val="00F508B5"/>
    <w:rsid w:val="00F52043"/>
    <w:rsid w:val="00F53523"/>
    <w:rsid w:val="00F53CD2"/>
    <w:rsid w:val="00F53EC2"/>
    <w:rsid w:val="00F547BB"/>
    <w:rsid w:val="00F54FCB"/>
    <w:rsid w:val="00F550BF"/>
    <w:rsid w:val="00F55833"/>
    <w:rsid w:val="00F56245"/>
    <w:rsid w:val="00F56DBD"/>
    <w:rsid w:val="00F5752A"/>
    <w:rsid w:val="00F605F0"/>
    <w:rsid w:val="00F61407"/>
    <w:rsid w:val="00F623BA"/>
    <w:rsid w:val="00F627F6"/>
    <w:rsid w:val="00F62B9B"/>
    <w:rsid w:val="00F62FD4"/>
    <w:rsid w:val="00F63046"/>
    <w:rsid w:val="00F630B0"/>
    <w:rsid w:val="00F6342B"/>
    <w:rsid w:val="00F63D9F"/>
    <w:rsid w:val="00F65710"/>
    <w:rsid w:val="00F6585D"/>
    <w:rsid w:val="00F66227"/>
    <w:rsid w:val="00F663E0"/>
    <w:rsid w:val="00F6673A"/>
    <w:rsid w:val="00F67035"/>
    <w:rsid w:val="00F70A7E"/>
    <w:rsid w:val="00F7136F"/>
    <w:rsid w:val="00F71990"/>
    <w:rsid w:val="00F719EC"/>
    <w:rsid w:val="00F71BE9"/>
    <w:rsid w:val="00F71C33"/>
    <w:rsid w:val="00F72C5C"/>
    <w:rsid w:val="00F732B1"/>
    <w:rsid w:val="00F733DF"/>
    <w:rsid w:val="00F75BCC"/>
    <w:rsid w:val="00F7624A"/>
    <w:rsid w:val="00F76906"/>
    <w:rsid w:val="00F7716D"/>
    <w:rsid w:val="00F77281"/>
    <w:rsid w:val="00F7756A"/>
    <w:rsid w:val="00F805A5"/>
    <w:rsid w:val="00F80625"/>
    <w:rsid w:val="00F814DA"/>
    <w:rsid w:val="00F816A7"/>
    <w:rsid w:val="00F822F6"/>
    <w:rsid w:val="00F82A05"/>
    <w:rsid w:val="00F83DBD"/>
    <w:rsid w:val="00F83FFD"/>
    <w:rsid w:val="00F8432C"/>
    <w:rsid w:val="00F84976"/>
    <w:rsid w:val="00F84F42"/>
    <w:rsid w:val="00F85227"/>
    <w:rsid w:val="00F86432"/>
    <w:rsid w:val="00F87091"/>
    <w:rsid w:val="00F87350"/>
    <w:rsid w:val="00F87DDC"/>
    <w:rsid w:val="00F90207"/>
    <w:rsid w:val="00F907AC"/>
    <w:rsid w:val="00F91C3E"/>
    <w:rsid w:val="00F92EA8"/>
    <w:rsid w:val="00F92F02"/>
    <w:rsid w:val="00F93096"/>
    <w:rsid w:val="00F93970"/>
    <w:rsid w:val="00F944F0"/>
    <w:rsid w:val="00F949FB"/>
    <w:rsid w:val="00F94A82"/>
    <w:rsid w:val="00F94E91"/>
    <w:rsid w:val="00F958E8"/>
    <w:rsid w:val="00F96298"/>
    <w:rsid w:val="00F965FF"/>
    <w:rsid w:val="00F9676C"/>
    <w:rsid w:val="00F9720A"/>
    <w:rsid w:val="00F97D0B"/>
    <w:rsid w:val="00F97E56"/>
    <w:rsid w:val="00FA0E80"/>
    <w:rsid w:val="00FA12DC"/>
    <w:rsid w:val="00FA19C8"/>
    <w:rsid w:val="00FA1AE4"/>
    <w:rsid w:val="00FA36D6"/>
    <w:rsid w:val="00FA38FE"/>
    <w:rsid w:val="00FA51D2"/>
    <w:rsid w:val="00FA54F7"/>
    <w:rsid w:val="00FA5808"/>
    <w:rsid w:val="00FA708F"/>
    <w:rsid w:val="00FA71F6"/>
    <w:rsid w:val="00FA79E2"/>
    <w:rsid w:val="00FA7C47"/>
    <w:rsid w:val="00FB032B"/>
    <w:rsid w:val="00FB09B6"/>
    <w:rsid w:val="00FB09F1"/>
    <w:rsid w:val="00FB14AA"/>
    <w:rsid w:val="00FB1CFE"/>
    <w:rsid w:val="00FB1D03"/>
    <w:rsid w:val="00FB1D9C"/>
    <w:rsid w:val="00FB2DC4"/>
    <w:rsid w:val="00FB2E7D"/>
    <w:rsid w:val="00FB3362"/>
    <w:rsid w:val="00FB35B6"/>
    <w:rsid w:val="00FB430F"/>
    <w:rsid w:val="00FB4559"/>
    <w:rsid w:val="00FB467B"/>
    <w:rsid w:val="00FB54D5"/>
    <w:rsid w:val="00FB5FC7"/>
    <w:rsid w:val="00FB6035"/>
    <w:rsid w:val="00FB684D"/>
    <w:rsid w:val="00FB6928"/>
    <w:rsid w:val="00FB6C29"/>
    <w:rsid w:val="00FB6E1E"/>
    <w:rsid w:val="00FC00B1"/>
    <w:rsid w:val="00FC0169"/>
    <w:rsid w:val="00FC04F2"/>
    <w:rsid w:val="00FC08F9"/>
    <w:rsid w:val="00FC40AC"/>
    <w:rsid w:val="00FC4597"/>
    <w:rsid w:val="00FC48B8"/>
    <w:rsid w:val="00FC4EE2"/>
    <w:rsid w:val="00FC4F0B"/>
    <w:rsid w:val="00FC5929"/>
    <w:rsid w:val="00FC6864"/>
    <w:rsid w:val="00FC71F3"/>
    <w:rsid w:val="00FC7C92"/>
    <w:rsid w:val="00FC7E19"/>
    <w:rsid w:val="00FD05AC"/>
    <w:rsid w:val="00FD0C5C"/>
    <w:rsid w:val="00FD1430"/>
    <w:rsid w:val="00FD1CCD"/>
    <w:rsid w:val="00FD1CEA"/>
    <w:rsid w:val="00FD2784"/>
    <w:rsid w:val="00FD3220"/>
    <w:rsid w:val="00FD349A"/>
    <w:rsid w:val="00FD4841"/>
    <w:rsid w:val="00FD5190"/>
    <w:rsid w:val="00FD523B"/>
    <w:rsid w:val="00FD5A60"/>
    <w:rsid w:val="00FD5BC4"/>
    <w:rsid w:val="00FD61C2"/>
    <w:rsid w:val="00FD63DA"/>
    <w:rsid w:val="00FD665B"/>
    <w:rsid w:val="00FD688C"/>
    <w:rsid w:val="00FD6931"/>
    <w:rsid w:val="00FD7482"/>
    <w:rsid w:val="00FD7DE5"/>
    <w:rsid w:val="00FE0491"/>
    <w:rsid w:val="00FE097C"/>
    <w:rsid w:val="00FE14CC"/>
    <w:rsid w:val="00FE1547"/>
    <w:rsid w:val="00FE1E75"/>
    <w:rsid w:val="00FE2061"/>
    <w:rsid w:val="00FE3AA6"/>
    <w:rsid w:val="00FE3B3A"/>
    <w:rsid w:val="00FE4BDD"/>
    <w:rsid w:val="00FE5714"/>
    <w:rsid w:val="00FE62C5"/>
    <w:rsid w:val="00FE683D"/>
    <w:rsid w:val="00FE7C2D"/>
    <w:rsid w:val="00FE7C8D"/>
    <w:rsid w:val="00FF09EC"/>
    <w:rsid w:val="00FF0CE2"/>
    <w:rsid w:val="00FF3597"/>
    <w:rsid w:val="00FF3A81"/>
    <w:rsid w:val="00FF3F28"/>
    <w:rsid w:val="00FF4DCB"/>
    <w:rsid w:val="00FF61B7"/>
    <w:rsid w:val="00FF6515"/>
    <w:rsid w:val="00FF6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951"/>
  <w15:docId w15:val="{9614DB29-0A88-4AC7-A7FB-3F3C46BB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B6"/>
  </w:style>
  <w:style w:type="paragraph" w:styleId="Heading1">
    <w:name w:val="heading 1"/>
    <w:aliases w:val="Heading"/>
    <w:basedOn w:val="Normal"/>
    <w:next w:val="Normal"/>
    <w:link w:val="Heading1Char"/>
    <w:uiPriority w:val="9"/>
    <w:qFormat/>
    <w:rsid w:val="00E34109"/>
    <w:pPr>
      <w:keepNext/>
      <w:keepLines/>
      <w:spacing w:before="240" w:after="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32082D"/>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semiHidden/>
    <w:unhideWhenUsed/>
    <w:rsid w:val="003A545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374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34109"/>
    <w:rPr>
      <w:rFonts w:eastAsiaTheme="majorEastAsia" w:cstheme="majorBidi"/>
      <w:b/>
      <w:sz w:val="28"/>
      <w:szCs w:val="32"/>
    </w:rPr>
  </w:style>
  <w:style w:type="paragraph" w:styleId="Header">
    <w:name w:val="header"/>
    <w:basedOn w:val="Normal"/>
    <w:link w:val="HeaderChar"/>
    <w:uiPriority w:val="99"/>
    <w:unhideWhenUsed/>
    <w:rsid w:val="00E75718"/>
    <w:pPr>
      <w:tabs>
        <w:tab w:val="center" w:pos="4680"/>
        <w:tab w:val="right" w:pos="9360"/>
      </w:tabs>
      <w:spacing w:after="0" w:line="240" w:lineRule="auto"/>
    </w:pPr>
  </w:style>
  <w:style w:type="character" w:customStyle="1" w:styleId="Heading2Char">
    <w:name w:val="Heading 2 Char"/>
    <w:aliases w:val="Sub-Heading Char"/>
    <w:basedOn w:val="DefaultParagraphFont"/>
    <w:link w:val="Heading2"/>
    <w:uiPriority w:val="9"/>
    <w:rsid w:val="0032082D"/>
    <w:rPr>
      <w:rFonts w:eastAsiaTheme="majorEastAsia" w:cstheme="majorBidi"/>
      <w:i/>
      <w:szCs w:val="26"/>
    </w:rPr>
  </w:style>
  <w:style w:type="character" w:customStyle="1" w:styleId="HeaderChar">
    <w:name w:val="Header Char"/>
    <w:basedOn w:val="DefaultParagraphFont"/>
    <w:link w:val="Header"/>
    <w:uiPriority w:val="99"/>
    <w:rsid w:val="00E75718"/>
  </w:style>
  <w:style w:type="paragraph" w:styleId="Footer">
    <w:name w:val="footer"/>
    <w:basedOn w:val="Normal"/>
    <w:link w:val="FooterChar"/>
    <w:uiPriority w:val="99"/>
    <w:unhideWhenUsed/>
    <w:rsid w:val="00E75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18"/>
  </w:style>
  <w:style w:type="table" w:customStyle="1" w:styleId="TableGrid1">
    <w:name w:val="Table Grid1"/>
    <w:basedOn w:val="TableNormal"/>
    <w:uiPriority w:val="59"/>
    <w:rsid w:val="00CA779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25A3E"/>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25A3E"/>
    <w:pPr>
      <w:spacing w:after="100"/>
    </w:pPr>
  </w:style>
  <w:style w:type="character" w:styleId="Hyperlink">
    <w:name w:val="Hyperlink"/>
    <w:basedOn w:val="DefaultParagraphFont"/>
    <w:uiPriority w:val="99"/>
    <w:unhideWhenUsed/>
    <w:rsid w:val="00225A3E"/>
    <w:rPr>
      <w:color w:val="0563C1" w:themeColor="hyperlink"/>
      <w:u w:val="single"/>
    </w:rPr>
  </w:style>
  <w:style w:type="paragraph" w:styleId="TOC2">
    <w:name w:val="toc 2"/>
    <w:basedOn w:val="Normal"/>
    <w:next w:val="Normal"/>
    <w:autoRedefine/>
    <w:uiPriority w:val="39"/>
    <w:unhideWhenUsed/>
    <w:rsid w:val="00225A3E"/>
    <w:pPr>
      <w:spacing w:after="100" w:line="259" w:lineRule="auto"/>
      <w:ind w:left="220"/>
      <w:jc w:val="left"/>
    </w:pPr>
    <w:rPr>
      <w:rFonts w:asciiTheme="minorHAnsi" w:eastAsiaTheme="minorEastAsia" w:hAnsiTheme="minorHAnsi"/>
      <w:sz w:val="22"/>
      <w:szCs w:val="22"/>
    </w:rPr>
  </w:style>
  <w:style w:type="paragraph" w:styleId="TOC3">
    <w:name w:val="toc 3"/>
    <w:basedOn w:val="Normal"/>
    <w:next w:val="Normal"/>
    <w:autoRedefine/>
    <w:uiPriority w:val="39"/>
    <w:unhideWhenUsed/>
    <w:rsid w:val="00225A3E"/>
    <w:pPr>
      <w:spacing w:after="100" w:line="259" w:lineRule="auto"/>
      <w:ind w:left="440"/>
      <w:jc w:val="left"/>
    </w:pPr>
    <w:rPr>
      <w:rFonts w:asciiTheme="minorHAnsi" w:eastAsiaTheme="minorEastAsia" w:hAnsiTheme="minorHAnsi"/>
      <w:sz w:val="22"/>
      <w:szCs w:val="22"/>
    </w:rPr>
  </w:style>
  <w:style w:type="paragraph" w:styleId="Bibliography">
    <w:name w:val="Bibliography"/>
    <w:basedOn w:val="Normal"/>
    <w:next w:val="Normal"/>
    <w:uiPriority w:val="37"/>
    <w:unhideWhenUsed/>
    <w:rsid w:val="00853FD8"/>
  </w:style>
  <w:style w:type="character" w:customStyle="1" w:styleId="UnresolvedMention1">
    <w:name w:val="Unresolved Mention1"/>
    <w:basedOn w:val="DefaultParagraphFont"/>
    <w:uiPriority w:val="99"/>
    <w:semiHidden/>
    <w:unhideWhenUsed/>
    <w:rsid w:val="00E67ADF"/>
    <w:rPr>
      <w:color w:val="605E5C"/>
      <w:shd w:val="clear" w:color="auto" w:fill="E1DFDD"/>
    </w:rPr>
  </w:style>
  <w:style w:type="character" w:styleId="FollowedHyperlink">
    <w:name w:val="FollowedHyperlink"/>
    <w:basedOn w:val="DefaultParagraphFont"/>
    <w:uiPriority w:val="99"/>
    <w:semiHidden/>
    <w:unhideWhenUsed/>
    <w:rsid w:val="00CC77F1"/>
    <w:rPr>
      <w:color w:val="954F72" w:themeColor="followedHyperlink"/>
      <w:u w:val="single"/>
    </w:rPr>
  </w:style>
  <w:style w:type="paragraph" w:styleId="BodyText">
    <w:name w:val="Body Text"/>
    <w:basedOn w:val="Normal"/>
    <w:link w:val="BodyTextChar"/>
    <w:uiPriority w:val="1"/>
    <w:rsid w:val="006F755B"/>
    <w:pPr>
      <w:widowControl w:val="0"/>
      <w:autoSpaceDE w:val="0"/>
      <w:autoSpaceDN w:val="0"/>
      <w:spacing w:after="0" w:line="240" w:lineRule="auto"/>
      <w:jc w:val="left"/>
    </w:pPr>
    <w:rPr>
      <w:rFonts w:ascii="Arial" w:eastAsia="Arial" w:hAnsi="Arial" w:cs="Arial"/>
      <w:sz w:val="18"/>
      <w:szCs w:val="18"/>
    </w:rPr>
  </w:style>
  <w:style w:type="character" w:customStyle="1" w:styleId="BodyTextChar">
    <w:name w:val="Body Text Char"/>
    <w:basedOn w:val="DefaultParagraphFont"/>
    <w:link w:val="BodyText"/>
    <w:uiPriority w:val="1"/>
    <w:rsid w:val="006F755B"/>
    <w:rPr>
      <w:rFonts w:ascii="Arial" w:eastAsia="Arial" w:hAnsi="Arial" w:cs="Arial"/>
      <w:sz w:val="18"/>
      <w:szCs w:val="18"/>
    </w:rPr>
  </w:style>
  <w:style w:type="paragraph" w:styleId="Title">
    <w:name w:val="Title"/>
    <w:basedOn w:val="Normal"/>
    <w:link w:val="TitleChar"/>
    <w:uiPriority w:val="10"/>
    <w:qFormat/>
    <w:rsid w:val="006F755B"/>
    <w:pPr>
      <w:widowControl w:val="0"/>
      <w:autoSpaceDE w:val="0"/>
      <w:autoSpaceDN w:val="0"/>
      <w:spacing w:before="108" w:after="0" w:line="240" w:lineRule="auto"/>
      <w:ind w:left="359"/>
      <w:jc w:val="left"/>
    </w:pPr>
    <w:rPr>
      <w:rFonts w:ascii="Arial" w:eastAsia="Arial" w:hAnsi="Arial" w:cs="Arial"/>
      <w:sz w:val="52"/>
      <w:szCs w:val="52"/>
    </w:rPr>
  </w:style>
  <w:style w:type="character" w:customStyle="1" w:styleId="TitleChar">
    <w:name w:val="Title Char"/>
    <w:basedOn w:val="DefaultParagraphFont"/>
    <w:link w:val="Title"/>
    <w:uiPriority w:val="10"/>
    <w:rsid w:val="006F755B"/>
    <w:rPr>
      <w:rFonts w:ascii="Arial" w:eastAsia="Arial" w:hAnsi="Arial" w:cs="Arial"/>
      <w:sz w:val="52"/>
      <w:szCs w:val="52"/>
    </w:rPr>
  </w:style>
  <w:style w:type="paragraph" w:styleId="ListParagraph">
    <w:name w:val="List Paragraph"/>
    <w:basedOn w:val="Normal"/>
    <w:uiPriority w:val="1"/>
    <w:rsid w:val="006F755B"/>
    <w:pPr>
      <w:widowControl w:val="0"/>
      <w:autoSpaceDE w:val="0"/>
      <w:autoSpaceDN w:val="0"/>
      <w:spacing w:after="0" w:line="240" w:lineRule="auto"/>
      <w:ind w:left="680" w:hanging="321"/>
      <w:jc w:val="left"/>
    </w:pPr>
    <w:rPr>
      <w:rFonts w:ascii="Arial" w:eastAsia="Arial" w:hAnsi="Arial" w:cs="Arial"/>
      <w:sz w:val="22"/>
      <w:szCs w:val="22"/>
    </w:rPr>
  </w:style>
  <w:style w:type="paragraph" w:customStyle="1" w:styleId="TableParagraph">
    <w:name w:val="Table Paragraph"/>
    <w:basedOn w:val="Normal"/>
    <w:uiPriority w:val="1"/>
    <w:rsid w:val="006F755B"/>
    <w:pPr>
      <w:widowControl w:val="0"/>
      <w:autoSpaceDE w:val="0"/>
      <w:autoSpaceDN w:val="0"/>
      <w:spacing w:after="0" w:line="180" w:lineRule="exact"/>
      <w:jc w:val="left"/>
    </w:pPr>
    <w:rPr>
      <w:rFonts w:ascii="Arial" w:eastAsia="Arial" w:hAnsi="Arial" w:cs="Arial"/>
      <w:sz w:val="22"/>
      <w:szCs w:val="22"/>
    </w:rPr>
  </w:style>
  <w:style w:type="character" w:customStyle="1" w:styleId="synonym-link">
    <w:name w:val="synonym-link"/>
    <w:basedOn w:val="DefaultParagraphFont"/>
    <w:rsid w:val="00D3679B"/>
  </w:style>
  <w:style w:type="character" w:styleId="PlaceholderText">
    <w:name w:val="Placeholder Text"/>
    <w:basedOn w:val="DefaultParagraphFont"/>
    <w:uiPriority w:val="99"/>
    <w:semiHidden/>
    <w:rsid w:val="00F94E91"/>
    <w:rPr>
      <w:color w:val="808080"/>
    </w:rPr>
  </w:style>
  <w:style w:type="paragraph" w:styleId="TOC4">
    <w:name w:val="toc 4"/>
    <w:basedOn w:val="Normal"/>
    <w:next w:val="Normal"/>
    <w:autoRedefine/>
    <w:uiPriority w:val="39"/>
    <w:semiHidden/>
    <w:unhideWhenUsed/>
    <w:rsid w:val="00BD1ACE"/>
    <w:pPr>
      <w:spacing w:after="100"/>
      <w:ind w:left="720"/>
    </w:pPr>
  </w:style>
  <w:style w:type="paragraph" w:styleId="Caption">
    <w:name w:val="caption"/>
    <w:basedOn w:val="Normal"/>
    <w:next w:val="Normal"/>
    <w:uiPriority w:val="35"/>
    <w:unhideWhenUsed/>
    <w:qFormat/>
    <w:rsid w:val="007A2BC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D7628"/>
    <w:pPr>
      <w:spacing w:after="0"/>
    </w:pPr>
  </w:style>
  <w:style w:type="table" w:styleId="TableGrid">
    <w:name w:val="Table Grid"/>
    <w:basedOn w:val="TableNormal"/>
    <w:uiPriority w:val="39"/>
    <w:rsid w:val="00C2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545E"/>
    <w:rPr>
      <w:rFonts w:asciiTheme="majorHAnsi" w:eastAsiaTheme="majorEastAsia" w:hAnsiTheme="majorHAnsi" w:cstheme="majorBidi"/>
      <w:color w:val="1F3763" w:themeColor="accent1" w:themeShade="7F"/>
    </w:rPr>
  </w:style>
  <w:style w:type="character" w:customStyle="1" w:styleId="gd">
    <w:name w:val="gd"/>
    <w:basedOn w:val="DefaultParagraphFont"/>
    <w:rsid w:val="003A545E"/>
  </w:style>
  <w:style w:type="character" w:customStyle="1" w:styleId="MTEquationSection">
    <w:name w:val="MTEquationSection"/>
    <w:basedOn w:val="DefaultParagraphFont"/>
    <w:rsid w:val="00557986"/>
    <w:rPr>
      <w:rFonts w:eastAsia="Calibri"/>
      <w:b/>
      <w:bCs/>
      <w:vanish/>
      <w:color w:val="FF0000"/>
      <w:sz w:val="28"/>
      <w:szCs w:val="28"/>
      <w:lang w:val="en-SG" w:bidi="en-US"/>
    </w:rPr>
  </w:style>
  <w:style w:type="paragraph" w:customStyle="1" w:styleId="MTDisplayEquation">
    <w:name w:val="MTDisplayEquation"/>
    <w:basedOn w:val="Normal"/>
    <w:next w:val="Normal"/>
    <w:link w:val="MTDisplayEquationChar"/>
    <w:rsid w:val="00423AE6"/>
    <w:pPr>
      <w:tabs>
        <w:tab w:val="center" w:pos="4520"/>
        <w:tab w:val="right" w:pos="9020"/>
      </w:tabs>
      <w:spacing w:line="240" w:lineRule="auto"/>
    </w:pPr>
  </w:style>
  <w:style w:type="character" w:customStyle="1" w:styleId="MTDisplayEquationChar">
    <w:name w:val="MTDisplayEquation Char"/>
    <w:basedOn w:val="DefaultParagraphFont"/>
    <w:link w:val="MTDisplayEquation"/>
    <w:rsid w:val="00423AE6"/>
  </w:style>
  <w:style w:type="paragraph" w:styleId="EndnoteText">
    <w:name w:val="endnote text"/>
    <w:basedOn w:val="Normal"/>
    <w:link w:val="EndnoteTextChar"/>
    <w:uiPriority w:val="99"/>
    <w:semiHidden/>
    <w:unhideWhenUsed/>
    <w:rsid w:val="006531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319F"/>
    <w:rPr>
      <w:sz w:val="20"/>
      <w:szCs w:val="20"/>
    </w:rPr>
  </w:style>
  <w:style w:type="character" w:styleId="EndnoteReference">
    <w:name w:val="endnote reference"/>
    <w:basedOn w:val="DefaultParagraphFont"/>
    <w:uiPriority w:val="99"/>
    <w:semiHidden/>
    <w:unhideWhenUsed/>
    <w:rsid w:val="0065319F"/>
    <w:rPr>
      <w:vertAlign w:val="superscript"/>
    </w:rPr>
  </w:style>
  <w:style w:type="character" w:styleId="CommentReference">
    <w:name w:val="annotation reference"/>
    <w:basedOn w:val="DefaultParagraphFont"/>
    <w:uiPriority w:val="99"/>
    <w:semiHidden/>
    <w:unhideWhenUsed/>
    <w:rsid w:val="00390303"/>
    <w:rPr>
      <w:sz w:val="16"/>
      <w:szCs w:val="16"/>
    </w:rPr>
  </w:style>
  <w:style w:type="paragraph" w:styleId="CommentText">
    <w:name w:val="annotation text"/>
    <w:basedOn w:val="Normal"/>
    <w:link w:val="CommentTextChar"/>
    <w:uiPriority w:val="99"/>
    <w:unhideWhenUsed/>
    <w:rsid w:val="00390303"/>
    <w:pPr>
      <w:spacing w:line="240" w:lineRule="auto"/>
    </w:pPr>
    <w:rPr>
      <w:sz w:val="20"/>
      <w:szCs w:val="20"/>
    </w:rPr>
  </w:style>
  <w:style w:type="character" w:customStyle="1" w:styleId="CommentTextChar">
    <w:name w:val="Comment Text Char"/>
    <w:basedOn w:val="DefaultParagraphFont"/>
    <w:link w:val="CommentText"/>
    <w:uiPriority w:val="99"/>
    <w:rsid w:val="00390303"/>
    <w:rPr>
      <w:sz w:val="20"/>
      <w:szCs w:val="20"/>
    </w:rPr>
  </w:style>
  <w:style w:type="paragraph" w:styleId="CommentSubject">
    <w:name w:val="annotation subject"/>
    <w:basedOn w:val="CommentText"/>
    <w:next w:val="CommentText"/>
    <w:link w:val="CommentSubjectChar"/>
    <w:uiPriority w:val="99"/>
    <w:semiHidden/>
    <w:unhideWhenUsed/>
    <w:rsid w:val="00390303"/>
    <w:rPr>
      <w:b/>
      <w:bCs/>
    </w:rPr>
  </w:style>
  <w:style w:type="character" w:customStyle="1" w:styleId="CommentSubjectChar">
    <w:name w:val="Comment Subject Char"/>
    <w:basedOn w:val="CommentTextChar"/>
    <w:link w:val="CommentSubject"/>
    <w:uiPriority w:val="99"/>
    <w:semiHidden/>
    <w:rsid w:val="00390303"/>
    <w:rPr>
      <w:b/>
      <w:bCs/>
      <w:sz w:val="20"/>
      <w:szCs w:val="20"/>
    </w:rPr>
  </w:style>
  <w:style w:type="paragraph" w:styleId="BalloonText">
    <w:name w:val="Balloon Text"/>
    <w:basedOn w:val="Normal"/>
    <w:link w:val="BalloonTextChar"/>
    <w:uiPriority w:val="99"/>
    <w:semiHidden/>
    <w:unhideWhenUsed/>
    <w:rsid w:val="0039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03"/>
    <w:rPr>
      <w:rFonts w:ascii="Segoe UI" w:hAnsi="Segoe UI" w:cs="Segoe UI"/>
      <w:sz w:val="18"/>
      <w:szCs w:val="18"/>
    </w:rPr>
  </w:style>
  <w:style w:type="character" w:customStyle="1" w:styleId="UnresolvedMention2">
    <w:name w:val="Unresolved Mention2"/>
    <w:basedOn w:val="DefaultParagraphFont"/>
    <w:uiPriority w:val="99"/>
    <w:semiHidden/>
    <w:unhideWhenUsed/>
    <w:rsid w:val="0050263B"/>
    <w:rPr>
      <w:color w:val="605E5C"/>
      <w:shd w:val="clear" w:color="auto" w:fill="E1DFDD"/>
    </w:rPr>
  </w:style>
  <w:style w:type="paragraph" w:styleId="Revision">
    <w:name w:val="Revision"/>
    <w:hidden/>
    <w:uiPriority w:val="99"/>
    <w:semiHidden/>
    <w:rsid w:val="00D449A4"/>
    <w:pPr>
      <w:spacing w:after="0" w:line="240" w:lineRule="auto"/>
      <w:jc w:val="left"/>
    </w:pPr>
  </w:style>
  <w:style w:type="table" w:customStyle="1" w:styleId="GridTable1Light1">
    <w:name w:val="Grid Table 1 Light1"/>
    <w:basedOn w:val="TableNormal"/>
    <w:uiPriority w:val="46"/>
    <w:rsid w:val="005E3200"/>
    <w:pPr>
      <w:spacing w:after="0" w:line="240" w:lineRule="auto"/>
      <w:jc w:val="left"/>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C4E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EE2"/>
    <w:rPr>
      <w:sz w:val="20"/>
      <w:szCs w:val="20"/>
    </w:rPr>
  </w:style>
  <w:style w:type="character" w:styleId="FootnoteReference">
    <w:name w:val="footnote reference"/>
    <w:basedOn w:val="DefaultParagraphFont"/>
    <w:uiPriority w:val="99"/>
    <w:semiHidden/>
    <w:unhideWhenUsed/>
    <w:rsid w:val="00FC4EE2"/>
    <w:rPr>
      <w:vertAlign w:val="superscript"/>
    </w:rPr>
  </w:style>
  <w:style w:type="character" w:customStyle="1" w:styleId="Heading4Char">
    <w:name w:val="Heading 4 Char"/>
    <w:basedOn w:val="DefaultParagraphFont"/>
    <w:link w:val="Heading4"/>
    <w:uiPriority w:val="9"/>
    <w:rsid w:val="00A374F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E4D34"/>
    <w:pPr>
      <w:spacing w:before="100" w:beforeAutospacing="1" w:after="100" w:afterAutospacing="1" w:line="240" w:lineRule="auto"/>
      <w:jc w:val="left"/>
    </w:pPr>
    <w:rPr>
      <w:rFonts w:eastAsia="Times New Roman"/>
      <w:lang w:val="en-GB" w:eastAsia="en-GB"/>
    </w:rPr>
  </w:style>
  <w:style w:type="character" w:styleId="UnresolvedMention">
    <w:name w:val="Unresolved Mention"/>
    <w:basedOn w:val="DefaultParagraphFont"/>
    <w:uiPriority w:val="99"/>
    <w:semiHidden/>
    <w:unhideWhenUsed/>
    <w:rsid w:val="00B0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696">
      <w:bodyDiv w:val="1"/>
      <w:marLeft w:val="0"/>
      <w:marRight w:val="0"/>
      <w:marTop w:val="0"/>
      <w:marBottom w:val="0"/>
      <w:divBdr>
        <w:top w:val="none" w:sz="0" w:space="0" w:color="auto"/>
        <w:left w:val="none" w:sz="0" w:space="0" w:color="auto"/>
        <w:bottom w:val="none" w:sz="0" w:space="0" w:color="auto"/>
        <w:right w:val="none" w:sz="0" w:space="0" w:color="auto"/>
      </w:divBdr>
    </w:div>
    <w:div w:id="11079151">
      <w:bodyDiv w:val="1"/>
      <w:marLeft w:val="0"/>
      <w:marRight w:val="0"/>
      <w:marTop w:val="0"/>
      <w:marBottom w:val="0"/>
      <w:divBdr>
        <w:top w:val="none" w:sz="0" w:space="0" w:color="auto"/>
        <w:left w:val="none" w:sz="0" w:space="0" w:color="auto"/>
        <w:bottom w:val="none" w:sz="0" w:space="0" w:color="auto"/>
        <w:right w:val="none" w:sz="0" w:space="0" w:color="auto"/>
      </w:divBdr>
    </w:div>
    <w:div w:id="17852114">
      <w:bodyDiv w:val="1"/>
      <w:marLeft w:val="0"/>
      <w:marRight w:val="0"/>
      <w:marTop w:val="0"/>
      <w:marBottom w:val="0"/>
      <w:divBdr>
        <w:top w:val="none" w:sz="0" w:space="0" w:color="auto"/>
        <w:left w:val="none" w:sz="0" w:space="0" w:color="auto"/>
        <w:bottom w:val="none" w:sz="0" w:space="0" w:color="auto"/>
        <w:right w:val="none" w:sz="0" w:space="0" w:color="auto"/>
      </w:divBdr>
    </w:div>
    <w:div w:id="37511081">
      <w:bodyDiv w:val="1"/>
      <w:marLeft w:val="0"/>
      <w:marRight w:val="0"/>
      <w:marTop w:val="0"/>
      <w:marBottom w:val="0"/>
      <w:divBdr>
        <w:top w:val="none" w:sz="0" w:space="0" w:color="auto"/>
        <w:left w:val="none" w:sz="0" w:space="0" w:color="auto"/>
        <w:bottom w:val="none" w:sz="0" w:space="0" w:color="auto"/>
        <w:right w:val="none" w:sz="0" w:space="0" w:color="auto"/>
      </w:divBdr>
    </w:div>
    <w:div w:id="58403660">
      <w:bodyDiv w:val="1"/>
      <w:marLeft w:val="0"/>
      <w:marRight w:val="0"/>
      <w:marTop w:val="0"/>
      <w:marBottom w:val="0"/>
      <w:divBdr>
        <w:top w:val="none" w:sz="0" w:space="0" w:color="auto"/>
        <w:left w:val="none" w:sz="0" w:space="0" w:color="auto"/>
        <w:bottom w:val="none" w:sz="0" w:space="0" w:color="auto"/>
        <w:right w:val="none" w:sz="0" w:space="0" w:color="auto"/>
      </w:divBdr>
    </w:div>
    <w:div w:id="59914051">
      <w:bodyDiv w:val="1"/>
      <w:marLeft w:val="0"/>
      <w:marRight w:val="0"/>
      <w:marTop w:val="0"/>
      <w:marBottom w:val="0"/>
      <w:divBdr>
        <w:top w:val="none" w:sz="0" w:space="0" w:color="auto"/>
        <w:left w:val="none" w:sz="0" w:space="0" w:color="auto"/>
        <w:bottom w:val="none" w:sz="0" w:space="0" w:color="auto"/>
        <w:right w:val="none" w:sz="0" w:space="0" w:color="auto"/>
      </w:divBdr>
    </w:div>
    <w:div w:id="65734245">
      <w:bodyDiv w:val="1"/>
      <w:marLeft w:val="0"/>
      <w:marRight w:val="0"/>
      <w:marTop w:val="0"/>
      <w:marBottom w:val="0"/>
      <w:divBdr>
        <w:top w:val="none" w:sz="0" w:space="0" w:color="auto"/>
        <w:left w:val="none" w:sz="0" w:space="0" w:color="auto"/>
        <w:bottom w:val="none" w:sz="0" w:space="0" w:color="auto"/>
        <w:right w:val="none" w:sz="0" w:space="0" w:color="auto"/>
      </w:divBdr>
    </w:div>
    <w:div w:id="119035943">
      <w:bodyDiv w:val="1"/>
      <w:marLeft w:val="0"/>
      <w:marRight w:val="0"/>
      <w:marTop w:val="0"/>
      <w:marBottom w:val="0"/>
      <w:divBdr>
        <w:top w:val="none" w:sz="0" w:space="0" w:color="auto"/>
        <w:left w:val="none" w:sz="0" w:space="0" w:color="auto"/>
        <w:bottom w:val="none" w:sz="0" w:space="0" w:color="auto"/>
        <w:right w:val="none" w:sz="0" w:space="0" w:color="auto"/>
      </w:divBdr>
    </w:div>
    <w:div w:id="131680932">
      <w:bodyDiv w:val="1"/>
      <w:marLeft w:val="0"/>
      <w:marRight w:val="0"/>
      <w:marTop w:val="0"/>
      <w:marBottom w:val="0"/>
      <w:divBdr>
        <w:top w:val="none" w:sz="0" w:space="0" w:color="auto"/>
        <w:left w:val="none" w:sz="0" w:space="0" w:color="auto"/>
        <w:bottom w:val="none" w:sz="0" w:space="0" w:color="auto"/>
        <w:right w:val="none" w:sz="0" w:space="0" w:color="auto"/>
      </w:divBdr>
    </w:div>
    <w:div w:id="134757523">
      <w:bodyDiv w:val="1"/>
      <w:marLeft w:val="0"/>
      <w:marRight w:val="0"/>
      <w:marTop w:val="0"/>
      <w:marBottom w:val="0"/>
      <w:divBdr>
        <w:top w:val="none" w:sz="0" w:space="0" w:color="auto"/>
        <w:left w:val="none" w:sz="0" w:space="0" w:color="auto"/>
        <w:bottom w:val="none" w:sz="0" w:space="0" w:color="auto"/>
        <w:right w:val="none" w:sz="0" w:space="0" w:color="auto"/>
      </w:divBdr>
      <w:divsChild>
        <w:div w:id="1737776348">
          <w:marLeft w:val="0"/>
          <w:marRight w:val="0"/>
          <w:marTop w:val="0"/>
          <w:marBottom w:val="0"/>
          <w:divBdr>
            <w:top w:val="single" w:sz="2" w:space="0" w:color="D9D9E3"/>
            <w:left w:val="single" w:sz="2" w:space="0" w:color="D9D9E3"/>
            <w:bottom w:val="single" w:sz="2" w:space="0" w:color="D9D9E3"/>
            <w:right w:val="single" w:sz="2" w:space="0" w:color="D9D9E3"/>
          </w:divBdr>
          <w:divsChild>
            <w:div w:id="1625845367">
              <w:marLeft w:val="0"/>
              <w:marRight w:val="0"/>
              <w:marTop w:val="0"/>
              <w:marBottom w:val="0"/>
              <w:divBdr>
                <w:top w:val="single" w:sz="2" w:space="0" w:color="D9D9E3"/>
                <w:left w:val="single" w:sz="2" w:space="0" w:color="D9D9E3"/>
                <w:bottom w:val="single" w:sz="2" w:space="0" w:color="D9D9E3"/>
                <w:right w:val="single" w:sz="2" w:space="0" w:color="D9D9E3"/>
              </w:divBdr>
              <w:divsChild>
                <w:div w:id="2100708326">
                  <w:marLeft w:val="0"/>
                  <w:marRight w:val="0"/>
                  <w:marTop w:val="0"/>
                  <w:marBottom w:val="0"/>
                  <w:divBdr>
                    <w:top w:val="single" w:sz="2" w:space="0" w:color="D9D9E3"/>
                    <w:left w:val="single" w:sz="2" w:space="0" w:color="D9D9E3"/>
                    <w:bottom w:val="single" w:sz="2" w:space="0" w:color="D9D9E3"/>
                    <w:right w:val="single" w:sz="2" w:space="0" w:color="D9D9E3"/>
                  </w:divBdr>
                  <w:divsChild>
                    <w:div w:id="1940942682">
                      <w:marLeft w:val="0"/>
                      <w:marRight w:val="0"/>
                      <w:marTop w:val="0"/>
                      <w:marBottom w:val="0"/>
                      <w:divBdr>
                        <w:top w:val="single" w:sz="2" w:space="0" w:color="D9D9E3"/>
                        <w:left w:val="single" w:sz="2" w:space="0" w:color="D9D9E3"/>
                        <w:bottom w:val="single" w:sz="2" w:space="0" w:color="D9D9E3"/>
                        <w:right w:val="single" w:sz="2" w:space="0" w:color="D9D9E3"/>
                      </w:divBdr>
                      <w:divsChild>
                        <w:div w:id="569733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9556057">
          <w:marLeft w:val="0"/>
          <w:marRight w:val="0"/>
          <w:marTop w:val="0"/>
          <w:marBottom w:val="0"/>
          <w:divBdr>
            <w:top w:val="single" w:sz="2" w:space="0" w:color="D9D9E3"/>
            <w:left w:val="single" w:sz="2" w:space="0" w:color="D9D9E3"/>
            <w:bottom w:val="single" w:sz="2" w:space="0" w:color="D9D9E3"/>
            <w:right w:val="single" w:sz="2" w:space="0" w:color="D9D9E3"/>
          </w:divBdr>
          <w:divsChild>
            <w:div w:id="639967914">
              <w:marLeft w:val="0"/>
              <w:marRight w:val="0"/>
              <w:marTop w:val="0"/>
              <w:marBottom w:val="0"/>
              <w:divBdr>
                <w:top w:val="single" w:sz="2" w:space="0" w:color="D9D9E3"/>
                <w:left w:val="single" w:sz="2" w:space="0" w:color="D9D9E3"/>
                <w:bottom w:val="single" w:sz="2" w:space="0" w:color="D9D9E3"/>
                <w:right w:val="single" w:sz="2" w:space="0" w:color="D9D9E3"/>
              </w:divBdr>
              <w:divsChild>
                <w:div w:id="1979919704">
                  <w:marLeft w:val="0"/>
                  <w:marRight w:val="0"/>
                  <w:marTop w:val="0"/>
                  <w:marBottom w:val="0"/>
                  <w:divBdr>
                    <w:top w:val="single" w:sz="2" w:space="0" w:color="D9D9E3"/>
                    <w:left w:val="single" w:sz="2" w:space="0" w:color="D9D9E3"/>
                    <w:bottom w:val="single" w:sz="2" w:space="0" w:color="D9D9E3"/>
                    <w:right w:val="single" w:sz="2" w:space="0" w:color="D9D9E3"/>
                  </w:divBdr>
                  <w:divsChild>
                    <w:div w:id="1266419912">
                      <w:marLeft w:val="0"/>
                      <w:marRight w:val="0"/>
                      <w:marTop w:val="0"/>
                      <w:marBottom w:val="0"/>
                      <w:divBdr>
                        <w:top w:val="single" w:sz="2" w:space="0" w:color="D9D9E3"/>
                        <w:left w:val="single" w:sz="2" w:space="0" w:color="D9D9E3"/>
                        <w:bottom w:val="single" w:sz="2" w:space="0" w:color="D9D9E3"/>
                        <w:right w:val="single" w:sz="2" w:space="0" w:color="D9D9E3"/>
                      </w:divBdr>
                      <w:divsChild>
                        <w:div w:id="360711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090935">
      <w:bodyDiv w:val="1"/>
      <w:marLeft w:val="0"/>
      <w:marRight w:val="0"/>
      <w:marTop w:val="0"/>
      <w:marBottom w:val="0"/>
      <w:divBdr>
        <w:top w:val="none" w:sz="0" w:space="0" w:color="auto"/>
        <w:left w:val="none" w:sz="0" w:space="0" w:color="auto"/>
        <w:bottom w:val="none" w:sz="0" w:space="0" w:color="auto"/>
        <w:right w:val="none" w:sz="0" w:space="0" w:color="auto"/>
      </w:divBdr>
    </w:div>
    <w:div w:id="157622868">
      <w:bodyDiv w:val="1"/>
      <w:marLeft w:val="0"/>
      <w:marRight w:val="0"/>
      <w:marTop w:val="0"/>
      <w:marBottom w:val="0"/>
      <w:divBdr>
        <w:top w:val="none" w:sz="0" w:space="0" w:color="auto"/>
        <w:left w:val="none" w:sz="0" w:space="0" w:color="auto"/>
        <w:bottom w:val="none" w:sz="0" w:space="0" w:color="auto"/>
        <w:right w:val="none" w:sz="0" w:space="0" w:color="auto"/>
      </w:divBdr>
    </w:div>
    <w:div w:id="164589433">
      <w:bodyDiv w:val="1"/>
      <w:marLeft w:val="0"/>
      <w:marRight w:val="0"/>
      <w:marTop w:val="0"/>
      <w:marBottom w:val="0"/>
      <w:divBdr>
        <w:top w:val="none" w:sz="0" w:space="0" w:color="auto"/>
        <w:left w:val="none" w:sz="0" w:space="0" w:color="auto"/>
        <w:bottom w:val="none" w:sz="0" w:space="0" w:color="auto"/>
        <w:right w:val="none" w:sz="0" w:space="0" w:color="auto"/>
      </w:divBdr>
    </w:div>
    <w:div w:id="179122877">
      <w:bodyDiv w:val="1"/>
      <w:marLeft w:val="0"/>
      <w:marRight w:val="0"/>
      <w:marTop w:val="0"/>
      <w:marBottom w:val="0"/>
      <w:divBdr>
        <w:top w:val="none" w:sz="0" w:space="0" w:color="auto"/>
        <w:left w:val="none" w:sz="0" w:space="0" w:color="auto"/>
        <w:bottom w:val="none" w:sz="0" w:space="0" w:color="auto"/>
        <w:right w:val="none" w:sz="0" w:space="0" w:color="auto"/>
      </w:divBdr>
    </w:div>
    <w:div w:id="188953242">
      <w:bodyDiv w:val="1"/>
      <w:marLeft w:val="0"/>
      <w:marRight w:val="0"/>
      <w:marTop w:val="0"/>
      <w:marBottom w:val="0"/>
      <w:divBdr>
        <w:top w:val="none" w:sz="0" w:space="0" w:color="auto"/>
        <w:left w:val="none" w:sz="0" w:space="0" w:color="auto"/>
        <w:bottom w:val="none" w:sz="0" w:space="0" w:color="auto"/>
        <w:right w:val="none" w:sz="0" w:space="0" w:color="auto"/>
      </w:divBdr>
    </w:div>
    <w:div w:id="208808680">
      <w:bodyDiv w:val="1"/>
      <w:marLeft w:val="0"/>
      <w:marRight w:val="0"/>
      <w:marTop w:val="0"/>
      <w:marBottom w:val="0"/>
      <w:divBdr>
        <w:top w:val="none" w:sz="0" w:space="0" w:color="auto"/>
        <w:left w:val="none" w:sz="0" w:space="0" w:color="auto"/>
        <w:bottom w:val="none" w:sz="0" w:space="0" w:color="auto"/>
        <w:right w:val="none" w:sz="0" w:space="0" w:color="auto"/>
      </w:divBdr>
    </w:div>
    <w:div w:id="211968959">
      <w:bodyDiv w:val="1"/>
      <w:marLeft w:val="0"/>
      <w:marRight w:val="0"/>
      <w:marTop w:val="0"/>
      <w:marBottom w:val="0"/>
      <w:divBdr>
        <w:top w:val="none" w:sz="0" w:space="0" w:color="auto"/>
        <w:left w:val="none" w:sz="0" w:space="0" w:color="auto"/>
        <w:bottom w:val="none" w:sz="0" w:space="0" w:color="auto"/>
        <w:right w:val="none" w:sz="0" w:space="0" w:color="auto"/>
      </w:divBdr>
    </w:div>
    <w:div w:id="214778921">
      <w:bodyDiv w:val="1"/>
      <w:marLeft w:val="0"/>
      <w:marRight w:val="0"/>
      <w:marTop w:val="0"/>
      <w:marBottom w:val="0"/>
      <w:divBdr>
        <w:top w:val="none" w:sz="0" w:space="0" w:color="auto"/>
        <w:left w:val="none" w:sz="0" w:space="0" w:color="auto"/>
        <w:bottom w:val="none" w:sz="0" w:space="0" w:color="auto"/>
        <w:right w:val="none" w:sz="0" w:space="0" w:color="auto"/>
      </w:divBdr>
    </w:div>
    <w:div w:id="230193282">
      <w:bodyDiv w:val="1"/>
      <w:marLeft w:val="0"/>
      <w:marRight w:val="0"/>
      <w:marTop w:val="0"/>
      <w:marBottom w:val="0"/>
      <w:divBdr>
        <w:top w:val="none" w:sz="0" w:space="0" w:color="auto"/>
        <w:left w:val="none" w:sz="0" w:space="0" w:color="auto"/>
        <w:bottom w:val="none" w:sz="0" w:space="0" w:color="auto"/>
        <w:right w:val="none" w:sz="0" w:space="0" w:color="auto"/>
      </w:divBdr>
    </w:div>
    <w:div w:id="251620478">
      <w:bodyDiv w:val="1"/>
      <w:marLeft w:val="0"/>
      <w:marRight w:val="0"/>
      <w:marTop w:val="0"/>
      <w:marBottom w:val="0"/>
      <w:divBdr>
        <w:top w:val="none" w:sz="0" w:space="0" w:color="auto"/>
        <w:left w:val="none" w:sz="0" w:space="0" w:color="auto"/>
        <w:bottom w:val="none" w:sz="0" w:space="0" w:color="auto"/>
        <w:right w:val="none" w:sz="0" w:space="0" w:color="auto"/>
      </w:divBdr>
    </w:div>
    <w:div w:id="270867997">
      <w:bodyDiv w:val="1"/>
      <w:marLeft w:val="0"/>
      <w:marRight w:val="0"/>
      <w:marTop w:val="0"/>
      <w:marBottom w:val="0"/>
      <w:divBdr>
        <w:top w:val="none" w:sz="0" w:space="0" w:color="auto"/>
        <w:left w:val="none" w:sz="0" w:space="0" w:color="auto"/>
        <w:bottom w:val="none" w:sz="0" w:space="0" w:color="auto"/>
        <w:right w:val="none" w:sz="0" w:space="0" w:color="auto"/>
      </w:divBdr>
    </w:div>
    <w:div w:id="275404507">
      <w:bodyDiv w:val="1"/>
      <w:marLeft w:val="0"/>
      <w:marRight w:val="0"/>
      <w:marTop w:val="0"/>
      <w:marBottom w:val="0"/>
      <w:divBdr>
        <w:top w:val="none" w:sz="0" w:space="0" w:color="auto"/>
        <w:left w:val="none" w:sz="0" w:space="0" w:color="auto"/>
        <w:bottom w:val="none" w:sz="0" w:space="0" w:color="auto"/>
        <w:right w:val="none" w:sz="0" w:space="0" w:color="auto"/>
      </w:divBdr>
    </w:div>
    <w:div w:id="298465552">
      <w:bodyDiv w:val="1"/>
      <w:marLeft w:val="0"/>
      <w:marRight w:val="0"/>
      <w:marTop w:val="0"/>
      <w:marBottom w:val="0"/>
      <w:divBdr>
        <w:top w:val="none" w:sz="0" w:space="0" w:color="auto"/>
        <w:left w:val="none" w:sz="0" w:space="0" w:color="auto"/>
        <w:bottom w:val="none" w:sz="0" w:space="0" w:color="auto"/>
        <w:right w:val="none" w:sz="0" w:space="0" w:color="auto"/>
      </w:divBdr>
    </w:div>
    <w:div w:id="302738772">
      <w:bodyDiv w:val="1"/>
      <w:marLeft w:val="0"/>
      <w:marRight w:val="0"/>
      <w:marTop w:val="0"/>
      <w:marBottom w:val="0"/>
      <w:divBdr>
        <w:top w:val="none" w:sz="0" w:space="0" w:color="auto"/>
        <w:left w:val="none" w:sz="0" w:space="0" w:color="auto"/>
        <w:bottom w:val="none" w:sz="0" w:space="0" w:color="auto"/>
        <w:right w:val="none" w:sz="0" w:space="0" w:color="auto"/>
      </w:divBdr>
    </w:div>
    <w:div w:id="311907504">
      <w:bodyDiv w:val="1"/>
      <w:marLeft w:val="0"/>
      <w:marRight w:val="0"/>
      <w:marTop w:val="0"/>
      <w:marBottom w:val="0"/>
      <w:divBdr>
        <w:top w:val="none" w:sz="0" w:space="0" w:color="auto"/>
        <w:left w:val="none" w:sz="0" w:space="0" w:color="auto"/>
        <w:bottom w:val="none" w:sz="0" w:space="0" w:color="auto"/>
        <w:right w:val="none" w:sz="0" w:space="0" w:color="auto"/>
      </w:divBdr>
      <w:divsChild>
        <w:div w:id="1601184474">
          <w:marLeft w:val="0"/>
          <w:marRight w:val="0"/>
          <w:marTop w:val="0"/>
          <w:marBottom w:val="0"/>
          <w:divBdr>
            <w:top w:val="single" w:sz="2" w:space="0" w:color="D9D9E3"/>
            <w:left w:val="single" w:sz="2" w:space="0" w:color="D9D9E3"/>
            <w:bottom w:val="single" w:sz="2" w:space="0" w:color="D9D9E3"/>
            <w:right w:val="single" w:sz="2" w:space="0" w:color="D9D9E3"/>
          </w:divBdr>
          <w:divsChild>
            <w:div w:id="162281945">
              <w:marLeft w:val="0"/>
              <w:marRight w:val="0"/>
              <w:marTop w:val="0"/>
              <w:marBottom w:val="0"/>
              <w:divBdr>
                <w:top w:val="single" w:sz="2" w:space="0" w:color="D9D9E3"/>
                <w:left w:val="single" w:sz="2" w:space="0" w:color="D9D9E3"/>
                <w:bottom w:val="single" w:sz="2" w:space="0" w:color="D9D9E3"/>
                <w:right w:val="single" w:sz="2" w:space="0" w:color="D9D9E3"/>
              </w:divBdr>
              <w:divsChild>
                <w:div w:id="737096271">
                  <w:marLeft w:val="0"/>
                  <w:marRight w:val="0"/>
                  <w:marTop w:val="0"/>
                  <w:marBottom w:val="0"/>
                  <w:divBdr>
                    <w:top w:val="single" w:sz="2" w:space="0" w:color="D9D9E3"/>
                    <w:left w:val="single" w:sz="2" w:space="0" w:color="D9D9E3"/>
                    <w:bottom w:val="single" w:sz="2" w:space="0" w:color="D9D9E3"/>
                    <w:right w:val="single" w:sz="2" w:space="0" w:color="D9D9E3"/>
                  </w:divBdr>
                  <w:divsChild>
                    <w:div w:id="1630235496">
                      <w:marLeft w:val="0"/>
                      <w:marRight w:val="0"/>
                      <w:marTop w:val="0"/>
                      <w:marBottom w:val="0"/>
                      <w:divBdr>
                        <w:top w:val="single" w:sz="2" w:space="0" w:color="D9D9E3"/>
                        <w:left w:val="single" w:sz="2" w:space="0" w:color="D9D9E3"/>
                        <w:bottom w:val="single" w:sz="2" w:space="0" w:color="D9D9E3"/>
                        <w:right w:val="single" w:sz="2" w:space="0" w:color="D9D9E3"/>
                      </w:divBdr>
                      <w:divsChild>
                        <w:div w:id="924336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7076362">
          <w:marLeft w:val="0"/>
          <w:marRight w:val="0"/>
          <w:marTop w:val="0"/>
          <w:marBottom w:val="0"/>
          <w:divBdr>
            <w:top w:val="single" w:sz="2" w:space="0" w:color="D9D9E3"/>
            <w:left w:val="single" w:sz="2" w:space="0" w:color="D9D9E3"/>
            <w:bottom w:val="single" w:sz="2" w:space="0" w:color="D9D9E3"/>
            <w:right w:val="single" w:sz="2" w:space="0" w:color="D9D9E3"/>
          </w:divBdr>
          <w:divsChild>
            <w:div w:id="579607010">
              <w:marLeft w:val="0"/>
              <w:marRight w:val="0"/>
              <w:marTop w:val="0"/>
              <w:marBottom w:val="0"/>
              <w:divBdr>
                <w:top w:val="single" w:sz="2" w:space="0" w:color="D9D9E3"/>
                <w:left w:val="single" w:sz="2" w:space="0" w:color="D9D9E3"/>
                <w:bottom w:val="single" w:sz="2" w:space="0" w:color="D9D9E3"/>
                <w:right w:val="single" w:sz="2" w:space="0" w:color="D9D9E3"/>
              </w:divBdr>
              <w:divsChild>
                <w:div w:id="1080323534">
                  <w:marLeft w:val="0"/>
                  <w:marRight w:val="0"/>
                  <w:marTop w:val="0"/>
                  <w:marBottom w:val="0"/>
                  <w:divBdr>
                    <w:top w:val="single" w:sz="2" w:space="0" w:color="D9D9E3"/>
                    <w:left w:val="single" w:sz="2" w:space="0" w:color="D9D9E3"/>
                    <w:bottom w:val="single" w:sz="2" w:space="0" w:color="D9D9E3"/>
                    <w:right w:val="single" w:sz="2" w:space="0" w:color="D9D9E3"/>
                  </w:divBdr>
                  <w:divsChild>
                    <w:div w:id="2119979786">
                      <w:marLeft w:val="0"/>
                      <w:marRight w:val="0"/>
                      <w:marTop w:val="0"/>
                      <w:marBottom w:val="0"/>
                      <w:divBdr>
                        <w:top w:val="single" w:sz="2" w:space="0" w:color="D9D9E3"/>
                        <w:left w:val="single" w:sz="2" w:space="0" w:color="D9D9E3"/>
                        <w:bottom w:val="single" w:sz="2" w:space="0" w:color="D9D9E3"/>
                        <w:right w:val="single" w:sz="2" w:space="0" w:color="D9D9E3"/>
                      </w:divBdr>
                      <w:divsChild>
                        <w:div w:id="1099060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947639">
      <w:bodyDiv w:val="1"/>
      <w:marLeft w:val="0"/>
      <w:marRight w:val="0"/>
      <w:marTop w:val="0"/>
      <w:marBottom w:val="0"/>
      <w:divBdr>
        <w:top w:val="none" w:sz="0" w:space="0" w:color="auto"/>
        <w:left w:val="none" w:sz="0" w:space="0" w:color="auto"/>
        <w:bottom w:val="none" w:sz="0" w:space="0" w:color="auto"/>
        <w:right w:val="none" w:sz="0" w:space="0" w:color="auto"/>
      </w:divBdr>
    </w:div>
    <w:div w:id="329990088">
      <w:bodyDiv w:val="1"/>
      <w:marLeft w:val="0"/>
      <w:marRight w:val="0"/>
      <w:marTop w:val="0"/>
      <w:marBottom w:val="0"/>
      <w:divBdr>
        <w:top w:val="none" w:sz="0" w:space="0" w:color="auto"/>
        <w:left w:val="none" w:sz="0" w:space="0" w:color="auto"/>
        <w:bottom w:val="none" w:sz="0" w:space="0" w:color="auto"/>
        <w:right w:val="none" w:sz="0" w:space="0" w:color="auto"/>
      </w:divBdr>
    </w:div>
    <w:div w:id="337272653">
      <w:bodyDiv w:val="1"/>
      <w:marLeft w:val="0"/>
      <w:marRight w:val="0"/>
      <w:marTop w:val="0"/>
      <w:marBottom w:val="0"/>
      <w:divBdr>
        <w:top w:val="none" w:sz="0" w:space="0" w:color="auto"/>
        <w:left w:val="none" w:sz="0" w:space="0" w:color="auto"/>
        <w:bottom w:val="none" w:sz="0" w:space="0" w:color="auto"/>
        <w:right w:val="none" w:sz="0" w:space="0" w:color="auto"/>
      </w:divBdr>
    </w:div>
    <w:div w:id="368646375">
      <w:bodyDiv w:val="1"/>
      <w:marLeft w:val="0"/>
      <w:marRight w:val="0"/>
      <w:marTop w:val="0"/>
      <w:marBottom w:val="0"/>
      <w:divBdr>
        <w:top w:val="none" w:sz="0" w:space="0" w:color="auto"/>
        <w:left w:val="none" w:sz="0" w:space="0" w:color="auto"/>
        <w:bottom w:val="none" w:sz="0" w:space="0" w:color="auto"/>
        <w:right w:val="none" w:sz="0" w:space="0" w:color="auto"/>
      </w:divBdr>
    </w:div>
    <w:div w:id="387341134">
      <w:bodyDiv w:val="1"/>
      <w:marLeft w:val="0"/>
      <w:marRight w:val="0"/>
      <w:marTop w:val="0"/>
      <w:marBottom w:val="0"/>
      <w:divBdr>
        <w:top w:val="none" w:sz="0" w:space="0" w:color="auto"/>
        <w:left w:val="none" w:sz="0" w:space="0" w:color="auto"/>
        <w:bottom w:val="none" w:sz="0" w:space="0" w:color="auto"/>
        <w:right w:val="none" w:sz="0" w:space="0" w:color="auto"/>
      </w:divBdr>
    </w:div>
    <w:div w:id="392196774">
      <w:bodyDiv w:val="1"/>
      <w:marLeft w:val="0"/>
      <w:marRight w:val="0"/>
      <w:marTop w:val="0"/>
      <w:marBottom w:val="0"/>
      <w:divBdr>
        <w:top w:val="none" w:sz="0" w:space="0" w:color="auto"/>
        <w:left w:val="none" w:sz="0" w:space="0" w:color="auto"/>
        <w:bottom w:val="none" w:sz="0" w:space="0" w:color="auto"/>
        <w:right w:val="none" w:sz="0" w:space="0" w:color="auto"/>
      </w:divBdr>
    </w:div>
    <w:div w:id="396437467">
      <w:bodyDiv w:val="1"/>
      <w:marLeft w:val="0"/>
      <w:marRight w:val="0"/>
      <w:marTop w:val="0"/>
      <w:marBottom w:val="0"/>
      <w:divBdr>
        <w:top w:val="none" w:sz="0" w:space="0" w:color="auto"/>
        <w:left w:val="none" w:sz="0" w:space="0" w:color="auto"/>
        <w:bottom w:val="none" w:sz="0" w:space="0" w:color="auto"/>
        <w:right w:val="none" w:sz="0" w:space="0" w:color="auto"/>
      </w:divBdr>
    </w:div>
    <w:div w:id="434902675">
      <w:bodyDiv w:val="1"/>
      <w:marLeft w:val="0"/>
      <w:marRight w:val="0"/>
      <w:marTop w:val="0"/>
      <w:marBottom w:val="0"/>
      <w:divBdr>
        <w:top w:val="none" w:sz="0" w:space="0" w:color="auto"/>
        <w:left w:val="none" w:sz="0" w:space="0" w:color="auto"/>
        <w:bottom w:val="none" w:sz="0" w:space="0" w:color="auto"/>
        <w:right w:val="none" w:sz="0" w:space="0" w:color="auto"/>
      </w:divBdr>
    </w:div>
    <w:div w:id="487404713">
      <w:bodyDiv w:val="1"/>
      <w:marLeft w:val="0"/>
      <w:marRight w:val="0"/>
      <w:marTop w:val="0"/>
      <w:marBottom w:val="0"/>
      <w:divBdr>
        <w:top w:val="none" w:sz="0" w:space="0" w:color="auto"/>
        <w:left w:val="none" w:sz="0" w:space="0" w:color="auto"/>
        <w:bottom w:val="none" w:sz="0" w:space="0" w:color="auto"/>
        <w:right w:val="none" w:sz="0" w:space="0" w:color="auto"/>
      </w:divBdr>
    </w:div>
    <w:div w:id="490756189">
      <w:bodyDiv w:val="1"/>
      <w:marLeft w:val="0"/>
      <w:marRight w:val="0"/>
      <w:marTop w:val="0"/>
      <w:marBottom w:val="0"/>
      <w:divBdr>
        <w:top w:val="none" w:sz="0" w:space="0" w:color="auto"/>
        <w:left w:val="none" w:sz="0" w:space="0" w:color="auto"/>
        <w:bottom w:val="none" w:sz="0" w:space="0" w:color="auto"/>
        <w:right w:val="none" w:sz="0" w:space="0" w:color="auto"/>
      </w:divBdr>
      <w:divsChild>
        <w:div w:id="1598437647">
          <w:marLeft w:val="0"/>
          <w:marRight w:val="0"/>
          <w:marTop w:val="0"/>
          <w:marBottom w:val="0"/>
          <w:divBdr>
            <w:top w:val="none" w:sz="0" w:space="0" w:color="auto"/>
            <w:left w:val="none" w:sz="0" w:space="0" w:color="auto"/>
            <w:bottom w:val="none" w:sz="0" w:space="0" w:color="auto"/>
            <w:right w:val="none" w:sz="0" w:space="0" w:color="auto"/>
          </w:divBdr>
        </w:div>
        <w:div w:id="1705517481">
          <w:marLeft w:val="0"/>
          <w:marRight w:val="0"/>
          <w:marTop w:val="0"/>
          <w:marBottom w:val="0"/>
          <w:divBdr>
            <w:top w:val="none" w:sz="0" w:space="0" w:color="auto"/>
            <w:left w:val="none" w:sz="0" w:space="0" w:color="auto"/>
            <w:bottom w:val="none" w:sz="0" w:space="0" w:color="auto"/>
            <w:right w:val="none" w:sz="0" w:space="0" w:color="auto"/>
          </w:divBdr>
        </w:div>
      </w:divsChild>
    </w:div>
    <w:div w:id="491600515">
      <w:bodyDiv w:val="1"/>
      <w:marLeft w:val="0"/>
      <w:marRight w:val="0"/>
      <w:marTop w:val="0"/>
      <w:marBottom w:val="0"/>
      <w:divBdr>
        <w:top w:val="none" w:sz="0" w:space="0" w:color="auto"/>
        <w:left w:val="none" w:sz="0" w:space="0" w:color="auto"/>
        <w:bottom w:val="none" w:sz="0" w:space="0" w:color="auto"/>
        <w:right w:val="none" w:sz="0" w:space="0" w:color="auto"/>
      </w:divBdr>
    </w:div>
    <w:div w:id="501704686">
      <w:bodyDiv w:val="1"/>
      <w:marLeft w:val="0"/>
      <w:marRight w:val="0"/>
      <w:marTop w:val="0"/>
      <w:marBottom w:val="0"/>
      <w:divBdr>
        <w:top w:val="none" w:sz="0" w:space="0" w:color="auto"/>
        <w:left w:val="none" w:sz="0" w:space="0" w:color="auto"/>
        <w:bottom w:val="none" w:sz="0" w:space="0" w:color="auto"/>
        <w:right w:val="none" w:sz="0" w:space="0" w:color="auto"/>
      </w:divBdr>
    </w:div>
    <w:div w:id="512916249">
      <w:bodyDiv w:val="1"/>
      <w:marLeft w:val="0"/>
      <w:marRight w:val="0"/>
      <w:marTop w:val="0"/>
      <w:marBottom w:val="0"/>
      <w:divBdr>
        <w:top w:val="none" w:sz="0" w:space="0" w:color="auto"/>
        <w:left w:val="none" w:sz="0" w:space="0" w:color="auto"/>
        <w:bottom w:val="none" w:sz="0" w:space="0" w:color="auto"/>
        <w:right w:val="none" w:sz="0" w:space="0" w:color="auto"/>
      </w:divBdr>
    </w:div>
    <w:div w:id="519858574">
      <w:bodyDiv w:val="1"/>
      <w:marLeft w:val="0"/>
      <w:marRight w:val="0"/>
      <w:marTop w:val="0"/>
      <w:marBottom w:val="0"/>
      <w:divBdr>
        <w:top w:val="none" w:sz="0" w:space="0" w:color="auto"/>
        <w:left w:val="none" w:sz="0" w:space="0" w:color="auto"/>
        <w:bottom w:val="none" w:sz="0" w:space="0" w:color="auto"/>
        <w:right w:val="none" w:sz="0" w:space="0" w:color="auto"/>
      </w:divBdr>
    </w:div>
    <w:div w:id="526721508">
      <w:bodyDiv w:val="1"/>
      <w:marLeft w:val="0"/>
      <w:marRight w:val="0"/>
      <w:marTop w:val="0"/>
      <w:marBottom w:val="0"/>
      <w:divBdr>
        <w:top w:val="none" w:sz="0" w:space="0" w:color="auto"/>
        <w:left w:val="none" w:sz="0" w:space="0" w:color="auto"/>
        <w:bottom w:val="none" w:sz="0" w:space="0" w:color="auto"/>
        <w:right w:val="none" w:sz="0" w:space="0" w:color="auto"/>
      </w:divBdr>
    </w:div>
    <w:div w:id="529494617">
      <w:bodyDiv w:val="1"/>
      <w:marLeft w:val="0"/>
      <w:marRight w:val="0"/>
      <w:marTop w:val="0"/>
      <w:marBottom w:val="0"/>
      <w:divBdr>
        <w:top w:val="none" w:sz="0" w:space="0" w:color="auto"/>
        <w:left w:val="none" w:sz="0" w:space="0" w:color="auto"/>
        <w:bottom w:val="none" w:sz="0" w:space="0" w:color="auto"/>
        <w:right w:val="none" w:sz="0" w:space="0" w:color="auto"/>
      </w:divBdr>
    </w:div>
    <w:div w:id="615215184">
      <w:bodyDiv w:val="1"/>
      <w:marLeft w:val="0"/>
      <w:marRight w:val="0"/>
      <w:marTop w:val="0"/>
      <w:marBottom w:val="0"/>
      <w:divBdr>
        <w:top w:val="none" w:sz="0" w:space="0" w:color="auto"/>
        <w:left w:val="none" w:sz="0" w:space="0" w:color="auto"/>
        <w:bottom w:val="none" w:sz="0" w:space="0" w:color="auto"/>
        <w:right w:val="none" w:sz="0" w:space="0" w:color="auto"/>
      </w:divBdr>
    </w:div>
    <w:div w:id="682165399">
      <w:bodyDiv w:val="1"/>
      <w:marLeft w:val="0"/>
      <w:marRight w:val="0"/>
      <w:marTop w:val="0"/>
      <w:marBottom w:val="0"/>
      <w:divBdr>
        <w:top w:val="none" w:sz="0" w:space="0" w:color="auto"/>
        <w:left w:val="none" w:sz="0" w:space="0" w:color="auto"/>
        <w:bottom w:val="none" w:sz="0" w:space="0" w:color="auto"/>
        <w:right w:val="none" w:sz="0" w:space="0" w:color="auto"/>
      </w:divBdr>
    </w:div>
    <w:div w:id="719674760">
      <w:bodyDiv w:val="1"/>
      <w:marLeft w:val="0"/>
      <w:marRight w:val="0"/>
      <w:marTop w:val="0"/>
      <w:marBottom w:val="0"/>
      <w:divBdr>
        <w:top w:val="none" w:sz="0" w:space="0" w:color="auto"/>
        <w:left w:val="none" w:sz="0" w:space="0" w:color="auto"/>
        <w:bottom w:val="none" w:sz="0" w:space="0" w:color="auto"/>
        <w:right w:val="none" w:sz="0" w:space="0" w:color="auto"/>
      </w:divBdr>
    </w:div>
    <w:div w:id="720247052">
      <w:bodyDiv w:val="1"/>
      <w:marLeft w:val="0"/>
      <w:marRight w:val="0"/>
      <w:marTop w:val="0"/>
      <w:marBottom w:val="0"/>
      <w:divBdr>
        <w:top w:val="none" w:sz="0" w:space="0" w:color="auto"/>
        <w:left w:val="none" w:sz="0" w:space="0" w:color="auto"/>
        <w:bottom w:val="none" w:sz="0" w:space="0" w:color="auto"/>
        <w:right w:val="none" w:sz="0" w:space="0" w:color="auto"/>
      </w:divBdr>
      <w:divsChild>
        <w:div w:id="1390150879">
          <w:marLeft w:val="0"/>
          <w:marRight w:val="0"/>
          <w:marTop w:val="0"/>
          <w:marBottom w:val="0"/>
          <w:divBdr>
            <w:top w:val="none" w:sz="0" w:space="0" w:color="auto"/>
            <w:left w:val="none" w:sz="0" w:space="0" w:color="auto"/>
            <w:bottom w:val="none" w:sz="0" w:space="0" w:color="auto"/>
            <w:right w:val="none" w:sz="0" w:space="0" w:color="auto"/>
          </w:divBdr>
        </w:div>
        <w:div w:id="1816794593">
          <w:marLeft w:val="0"/>
          <w:marRight w:val="0"/>
          <w:marTop w:val="0"/>
          <w:marBottom w:val="0"/>
          <w:divBdr>
            <w:top w:val="none" w:sz="0" w:space="0" w:color="auto"/>
            <w:left w:val="none" w:sz="0" w:space="0" w:color="auto"/>
            <w:bottom w:val="none" w:sz="0" w:space="0" w:color="auto"/>
            <w:right w:val="none" w:sz="0" w:space="0" w:color="auto"/>
          </w:divBdr>
        </w:div>
        <w:div w:id="1894390020">
          <w:marLeft w:val="0"/>
          <w:marRight w:val="0"/>
          <w:marTop w:val="0"/>
          <w:marBottom w:val="0"/>
          <w:divBdr>
            <w:top w:val="none" w:sz="0" w:space="0" w:color="auto"/>
            <w:left w:val="none" w:sz="0" w:space="0" w:color="auto"/>
            <w:bottom w:val="none" w:sz="0" w:space="0" w:color="auto"/>
            <w:right w:val="none" w:sz="0" w:space="0" w:color="auto"/>
          </w:divBdr>
        </w:div>
        <w:div w:id="1957709451">
          <w:marLeft w:val="0"/>
          <w:marRight w:val="0"/>
          <w:marTop w:val="0"/>
          <w:marBottom w:val="0"/>
          <w:divBdr>
            <w:top w:val="none" w:sz="0" w:space="0" w:color="auto"/>
            <w:left w:val="none" w:sz="0" w:space="0" w:color="auto"/>
            <w:bottom w:val="none" w:sz="0" w:space="0" w:color="auto"/>
            <w:right w:val="none" w:sz="0" w:space="0" w:color="auto"/>
          </w:divBdr>
        </w:div>
      </w:divsChild>
    </w:div>
    <w:div w:id="763455023">
      <w:bodyDiv w:val="1"/>
      <w:marLeft w:val="0"/>
      <w:marRight w:val="0"/>
      <w:marTop w:val="0"/>
      <w:marBottom w:val="0"/>
      <w:divBdr>
        <w:top w:val="none" w:sz="0" w:space="0" w:color="auto"/>
        <w:left w:val="none" w:sz="0" w:space="0" w:color="auto"/>
        <w:bottom w:val="none" w:sz="0" w:space="0" w:color="auto"/>
        <w:right w:val="none" w:sz="0" w:space="0" w:color="auto"/>
      </w:divBdr>
    </w:div>
    <w:div w:id="790367716">
      <w:bodyDiv w:val="1"/>
      <w:marLeft w:val="0"/>
      <w:marRight w:val="0"/>
      <w:marTop w:val="0"/>
      <w:marBottom w:val="0"/>
      <w:divBdr>
        <w:top w:val="none" w:sz="0" w:space="0" w:color="auto"/>
        <w:left w:val="none" w:sz="0" w:space="0" w:color="auto"/>
        <w:bottom w:val="none" w:sz="0" w:space="0" w:color="auto"/>
        <w:right w:val="none" w:sz="0" w:space="0" w:color="auto"/>
      </w:divBdr>
    </w:div>
    <w:div w:id="795026884">
      <w:bodyDiv w:val="1"/>
      <w:marLeft w:val="0"/>
      <w:marRight w:val="0"/>
      <w:marTop w:val="0"/>
      <w:marBottom w:val="0"/>
      <w:divBdr>
        <w:top w:val="none" w:sz="0" w:space="0" w:color="auto"/>
        <w:left w:val="none" w:sz="0" w:space="0" w:color="auto"/>
        <w:bottom w:val="none" w:sz="0" w:space="0" w:color="auto"/>
        <w:right w:val="none" w:sz="0" w:space="0" w:color="auto"/>
      </w:divBdr>
    </w:div>
    <w:div w:id="808013782">
      <w:bodyDiv w:val="1"/>
      <w:marLeft w:val="0"/>
      <w:marRight w:val="0"/>
      <w:marTop w:val="0"/>
      <w:marBottom w:val="0"/>
      <w:divBdr>
        <w:top w:val="none" w:sz="0" w:space="0" w:color="auto"/>
        <w:left w:val="none" w:sz="0" w:space="0" w:color="auto"/>
        <w:bottom w:val="none" w:sz="0" w:space="0" w:color="auto"/>
        <w:right w:val="none" w:sz="0" w:space="0" w:color="auto"/>
      </w:divBdr>
    </w:div>
    <w:div w:id="811141664">
      <w:bodyDiv w:val="1"/>
      <w:marLeft w:val="0"/>
      <w:marRight w:val="0"/>
      <w:marTop w:val="0"/>
      <w:marBottom w:val="0"/>
      <w:divBdr>
        <w:top w:val="none" w:sz="0" w:space="0" w:color="auto"/>
        <w:left w:val="none" w:sz="0" w:space="0" w:color="auto"/>
        <w:bottom w:val="none" w:sz="0" w:space="0" w:color="auto"/>
        <w:right w:val="none" w:sz="0" w:space="0" w:color="auto"/>
      </w:divBdr>
    </w:div>
    <w:div w:id="813571609">
      <w:bodyDiv w:val="1"/>
      <w:marLeft w:val="0"/>
      <w:marRight w:val="0"/>
      <w:marTop w:val="0"/>
      <w:marBottom w:val="0"/>
      <w:divBdr>
        <w:top w:val="none" w:sz="0" w:space="0" w:color="auto"/>
        <w:left w:val="none" w:sz="0" w:space="0" w:color="auto"/>
        <w:bottom w:val="none" w:sz="0" w:space="0" w:color="auto"/>
        <w:right w:val="none" w:sz="0" w:space="0" w:color="auto"/>
      </w:divBdr>
    </w:div>
    <w:div w:id="828013002">
      <w:bodyDiv w:val="1"/>
      <w:marLeft w:val="0"/>
      <w:marRight w:val="0"/>
      <w:marTop w:val="0"/>
      <w:marBottom w:val="0"/>
      <w:divBdr>
        <w:top w:val="none" w:sz="0" w:space="0" w:color="auto"/>
        <w:left w:val="none" w:sz="0" w:space="0" w:color="auto"/>
        <w:bottom w:val="none" w:sz="0" w:space="0" w:color="auto"/>
        <w:right w:val="none" w:sz="0" w:space="0" w:color="auto"/>
      </w:divBdr>
    </w:div>
    <w:div w:id="837421783">
      <w:bodyDiv w:val="1"/>
      <w:marLeft w:val="0"/>
      <w:marRight w:val="0"/>
      <w:marTop w:val="0"/>
      <w:marBottom w:val="0"/>
      <w:divBdr>
        <w:top w:val="none" w:sz="0" w:space="0" w:color="auto"/>
        <w:left w:val="none" w:sz="0" w:space="0" w:color="auto"/>
        <w:bottom w:val="none" w:sz="0" w:space="0" w:color="auto"/>
        <w:right w:val="none" w:sz="0" w:space="0" w:color="auto"/>
      </w:divBdr>
    </w:div>
    <w:div w:id="851456134">
      <w:bodyDiv w:val="1"/>
      <w:marLeft w:val="0"/>
      <w:marRight w:val="0"/>
      <w:marTop w:val="0"/>
      <w:marBottom w:val="0"/>
      <w:divBdr>
        <w:top w:val="none" w:sz="0" w:space="0" w:color="auto"/>
        <w:left w:val="none" w:sz="0" w:space="0" w:color="auto"/>
        <w:bottom w:val="none" w:sz="0" w:space="0" w:color="auto"/>
        <w:right w:val="none" w:sz="0" w:space="0" w:color="auto"/>
      </w:divBdr>
    </w:div>
    <w:div w:id="878081336">
      <w:bodyDiv w:val="1"/>
      <w:marLeft w:val="0"/>
      <w:marRight w:val="0"/>
      <w:marTop w:val="0"/>
      <w:marBottom w:val="0"/>
      <w:divBdr>
        <w:top w:val="none" w:sz="0" w:space="0" w:color="auto"/>
        <w:left w:val="none" w:sz="0" w:space="0" w:color="auto"/>
        <w:bottom w:val="none" w:sz="0" w:space="0" w:color="auto"/>
        <w:right w:val="none" w:sz="0" w:space="0" w:color="auto"/>
      </w:divBdr>
    </w:div>
    <w:div w:id="879825533">
      <w:bodyDiv w:val="1"/>
      <w:marLeft w:val="0"/>
      <w:marRight w:val="0"/>
      <w:marTop w:val="0"/>
      <w:marBottom w:val="0"/>
      <w:divBdr>
        <w:top w:val="none" w:sz="0" w:space="0" w:color="auto"/>
        <w:left w:val="none" w:sz="0" w:space="0" w:color="auto"/>
        <w:bottom w:val="none" w:sz="0" w:space="0" w:color="auto"/>
        <w:right w:val="none" w:sz="0" w:space="0" w:color="auto"/>
      </w:divBdr>
    </w:div>
    <w:div w:id="894269858">
      <w:bodyDiv w:val="1"/>
      <w:marLeft w:val="0"/>
      <w:marRight w:val="0"/>
      <w:marTop w:val="0"/>
      <w:marBottom w:val="0"/>
      <w:divBdr>
        <w:top w:val="none" w:sz="0" w:space="0" w:color="auto"/>
        <w:left w:val="none" w:sz="0" w:space="0" w:color="auto"/>
        <w:bottom w:val="none" w:sz="0" w:space="0" w:color="auto"/>
        <w:right w:val="none" w:sz="0" w:space="0" w:color="auto"/>
      </w:divBdr>
      <w:divsChild>
        <w:div w:id="1647974383">
          <w:marLeft w:val="0"/>
          <w:marRight w:val="0"/>
          <w:marTop w:val="0"/>
          <w:marBottom w:val="0"/>
          <w:divBdr>
            <w:top w:val="single" w:sz="2" w:space="0" w:color="E3E3E3"/>
            <w:left w:val="single" w:sz="2" w:space="0" w:color="E3E3E3"/>
            <w:bottom w:val="single" w:sz="2" w:space="0" w:color="E3E3E3"/>
            <w:right w:val="single" w:sz="2" w:space="0" w:color="E3E3E3"/>
          </w:divBdr>
          <w:divsChild>
            <w:div w:id="676930525">
              <w:marLeft w:val="0"/>
              <w:marRight w:val="0"/>
              <w:marTop w:val="0"/>
              <w:marBottom w:val="0"/>
              <w:divBdr>
                <w:top w:val="single" w:sz="2" w:space="0" w:color="E3E3E3"/>
                <w:left w:val="single" w:sz="2" w:space="0" w:color="E3E3E3"/>
                <w:bottom w:val="single" w:sz="2" w:space="0" w:color="E3E3E3"/>
                <w:right w:val="single" w:sz="2" w:space="0" w:color="E3E3E3"/>
              </w:divBdr>
              <w:divsChild>
                <w:div w:id="1259412323">
                  <w:marLeft w:val="0"/>
                  <w:marRight w:val="0"/>
                  <w:marTop w:val="0"/>
                  <w:marBottom w:val="0"/>
                  <w:divBdr>
                    <w:top w:val="single" w:sz="2" w:space="2" w:color="E3E3E3"/>
                    <w:left w:val="single" w:sz="2" w:space="0" w:color="E3E3E3"/>
                    <w:bottom w:val="single" w:sz="2" w:space="0" w:color="E3E3E3"/>
                    <w:right w:val="single" w:sz="2" w:space="0" w:color="E3E3E3"/>
                  </w:divBdr>
                  <w:divsChild>
                    <w:div w:id="167840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5819420">
      <w:bodyDiv w:val="1"/>
      <w:marLeft w:val="0"/>
      <w:marRight w:val="0"/>
      <w:marTop w:val="0"/>
      <w:marBottom w:val="0"/>
      <w:divBdr>
        <w:top w:val="none" w:sz="0" w:space="0" w:color="auto"/>
        <w:left w:val="none" w:sz="0" w:space="0" w:color="auto"/>
        <w:bottom w:val="none" w:sz="0" w:space="0" w:color="auto"/>
        <w:right w:val="none" w:sz="0" w:space="0" w:color="auto"/>
      </w:divBdr>
    </w:div>
    <w:div w:id="911357455">
      <w:bodyDiv w:val="1"/>
      <w:marLeft w:val="0"/>
      <w:marRight w:val="0"/>
      <w:marTop w:val="0"/>
      <w:marBottom w:val="0"/>
      <w:divBdr>
        <w:top w:val="none" w:sz="0" w:space="0" w:color="auto"/>
        <w:left w:val="none" w:sz="0" w:space="0" w:color="auto"/>
        <w:bottom w:val="none" w:sz="0" w:space="0" w:color="auto"/>
        <w:right w:val="none" w:sz="0" w:space="0" w:color="auto"/>
      </w:divBdr>
    </w:div>
    <w:div w:id="927076749">
      <w:bodyDiv w:val="1"/>
      <w:marLeft w:val="0"/>
      <w:marRight w:val="0"/>
      <w:marTop w:val="0"/>
      <w:marBottom w:val="0"/>
      <w:divBdr>
        <w:top w:val="none" w:sz="0" w:space="0" w:color="auto"/>
        <w:left w:val="none" w:sz="0" w:space="0" w:color="auto"/>
        <w:bottom w:val="none" w:sz="0" w:space="0" w:color="auto"/>
        <w:right w:val="none" w:sz="0" w:space="0" w:color="auto"/>
      </w:divBdr>
    </w:div>
    <w:div w:id="940145100">
      <w:bodyDiv w:val="1"/>
      <w:marLeft w:val="0"/>
      <w:marRight w:val="0"/>
      <w:marTop w:val="0"/>
      <w:marBottom w:val="0"/>
      <w:divBdr>
        <w:top w:val="none" w:sz="0" w:space="0" w:color="auto"/>
        <w:left w:val="none" w:sz="0" w:space="0" w:color="auto"/>
        <w:bottom w:val="none" w:sz="0" w:space="0" w:color="auto"/>
        <w:right w:val="none" w:sz="0" w:space="0" w:color="auto"/>
      </w:divBdr>
    </w:div>
    <w:div w:id="948121943">
      <w:bodyDiv w:val="1"/>
      <w:marLeft w:val="0"/>
      <w:marRight w:val="0"/>
      <w:marTop w:val="0"/>
      <w:marBottom w:val="0"/>
      <w:divBdr>
        <w:top w:val="none" w:sz="0" w:space="0" w:color="auto"/>
        <w:left w:val="none" w:sz="0" w:space="0" w:color="auto"/>
        <w:bottom w:val="none" w:sz="0" w:space="0" w:color="auto"/>
        <w:right w:val="none" w:sz="0" w:space="0" w:color="auto"/>
      </w:divBdr>
    </w:div>
    <w:div w:id="965237015">
      <w:bodyDiv w:val="1"/>
      <w:marLeft w:val="0"/>
      <w:marRight w:val="0"/>
      <w:marTop w:val="0"/>
      <w:marBottom w:val="0"/>
      <w:divBdr>
        <w:top w:val="none" w:sz="0" w:space="0" w:color="auto"/>
        <w:left w:val="none" w:sz="0" w:space="0" w:color="auto"/>
        <w:bottom w:val="none" w:sz="0" w:space="0" w:color="auto"/>
        <w:right w:val="none" w:sz="0" w:space="0" w:color="auto"/>
      </w:divBdr>
    </w:div>
    <w:div w:id="983120400">
      <w:bodyDiv w:val="1"/>
      <w:marLeft w:val="0"/>
      <w:marRight w:val="0"/>
      <w:marTop w:val="0"/>
      <w:marBottom w:val="0"/>
      <w:divBdr>
        <w:top w:val="none" w:sz="0" w:space="0" w:color="auto"/>
        <w:left w:val="none" w:sz="0" w:space="0" w:color="auto"/>
        <w:bottom w:val="none" w:sz="0" w:space="0" w:color="auto"/>
        <w:right w:val="none" w:sz="0" w:space="0" w:color="auto"/>
      </w:divBdr>
      <w:divsChild>
        <w:div w:id="844512405">
          <w:marLeft w:val="0"/>
          <w:marRight w:val="0"/>
          <w:marTop w:val="0"/>
          <w:marBottom w:val="0"/>
          <w:divBdr>
            <w:top w:val="single" w:sz="2" w:space="0" w:color="E3E3E3"/>
            <w:left w:val="single" w:sz="2" w:space="0" w:color="E3E3E3"/>
            <w:bottom w:val="single" w:sz="2" w:space="0" w:color="E3E3E3"/>
            <w:right w:val="single" w:sz="2" w:space="0" w:color="E3E3E3"/>
          </w:divBdr>
          <w:divsChild>
            <w:div w:id="1853910255">
              <w:marLeft w:val="0"/>
              <w:marRight w:val="0"/>
              <w:marTop w:val="0"/>
              <w:marBottom w:val="0"/>
              <w:divBdr>
                <w:top w:val="single" w:sz="2" w:space="0" w:color="E3E3E3"/>
                <w:left w:val="single" w:sz="2" w:space="0" w:color="E3E3E3"/>
                <w:bottom w:val="single" w:sz="2" w:space="0" w:color="E3E3E3"/>
                <w:right w:val="single" w:sz="2" w:space="0" w:color="E3E3E3"/>
              </w:divBdr>
              <w:divsChild>
                <w:div w:id="18167998">
                  <w:marLeft w:val="0"/>
                  <w:marRight w:val="0"/>
                  <w:marTop w:val="0"/>
                  <w:marBottom w:val="0"/>
                  <w:divBdr>
                    <w:top w:val="single" w:sz="2" w:space="2" w:color="E3E3E3"/>
                    <w:left w:val="single" w:sz="2" w:space="0" w:color="E3E3E3"/>
                    <w:bottom w:val="single" w:sz="2" w:space="0" w:color="E3E3E3"/>
                    <w:right w:val="single" w:sz="2" w:space="0" w:color="E3E3E3"/>
                  </w:divBdr>
                  <w:divsChild>
                    <w:div w:id="156308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7784941">
      <w:bodyDiv w:val="1"/>
      <w:marLeft w:val="0"/>
      <w:marRight w:val="0"/>
      <w:marTop w:val="0"/>
      <w:marBottom w:val="0"/>
      <w:divBdr>
        <w:top w:val="none" w:sz="0" w:space="0" w:color="auto"/>
        <w:left w:val="none" w:sz="0" w:space="0" w:color="auto"/>
        <w:bottom w:val="none" w:sz="0" w:space="0" w:color="auto"/>
        <w:right w:val="none" w:sz="0" w:space="0" w:color="auto"/>
      </w:divBdr>
    </w:div>
    <w:div w:id="989165292">
      <w:bodyDiv w:val="1"/>
      <w:marLeft w:val="0"/>
      <w:marRight w:val="0"/>
      <w:marTop w:val="0"/>
      <w:marBottom w:val="0"/>
      <w:divBdr>
        <w:top w:val="none" w:sz="0" w:space="0" w:color="auto"/>
        <w:left w:val="none" w:sz="0" w:space="0" w:color="auto"/>
        <w:bottom w:val="none" w:sz="0" w:space="0" w:color="auto"/>
        <w:right w:val="none" w:sz="0" w:space="0" w:color="auto"/>
      </w:divBdr>
    </w:div>
    <w:div w:id="998581609">
      <w:bodyDiv w:val="1"/>
      <w:marLeft w:val="0"/>
      <w:marRight w:val="0"/>
      <w:marTop w:val="0"/>
      <w:marBottom w:val="0"/>
      <w:divBdr>
        <w:top w:val="none" w:sz="0" w:space="0" w:color="auto"/>
        <w:left w:val="none" w:sz="0" w:space="0" w:color="auto"/>
        <w:bottom w:val="none" w:sz="0" w:space="0" w:color="auto"/>
        <w:right w:val="none" w:sz="0" w:space="0" w:color="auto"/>
      </w:divBdr>
    </w:div>
    <w:div w:id="1034766077">
      <w:bodyDiv w:val="1"/>
      <w:marLeft w:val="0"/>
      <w:marRight w:val="0"/>
      <w:marTop w:val="0"/>
      <w:marBottom w:val="0"/>
      <w:divBdr>
        <w:top w:val="none" w:sz="0" w:space="0" w:color="auto"/>
        <w:left w:val="none" w:sz="0" w:space="0" w:color="auto"/>
        <w:bottom w:val="none" w:sz="0" w:space="0" w:color="auto"/>
        <w:right w:val="none" w:sz="0" w:space="0" w:color="auto"/>
      </w:divBdr>
    </w:div>
    <w:div w:id="1053889874">
      <w:bodyDiv w:val="1"/>
      <w:marLeft w:val="0"/>
      <w:marRight w:val="0"/>
      <w:marTop w:val="0"/>
      <w:marBottom w:val="0"/>
      <w:divBdr>
        <w:top w:val="none" w:sz="0" w:space="0" w:color="auto"/>
        <w:left w:val="none" w:sz="0" w:space="0" w:color="auto"/>
        <w:bottom w:val="none" w:sz="0" w:space="0" w:color="auto"/>
        <w:right w:val="none" w:sz="0" w:space="0" w:color="auto"/>
      </w:divBdr>
    </w:div>
    <w:div w:id="1080634281">
      <w:bodyDiv w:val="1"/>
      <w:marLeft w:val="0"/>
      <w:marRight w:val="0"/>
      <w:marTop w:val="0"/>
      <w:marBottom w:val="0"/>
      <w:divBdr>
        <w:top w:val="none" w:sz="0" w:space="0" w:color="auto"/>
        <w:left w:val="none" w:sz="0" w:space="0" w:color="auto"/>
        <w:bottom w:val="none" w:sz="0" w:space="0" w:color="auto"/>
        <w:right w:val="none" w:sz="0" w:space="0" w:color="auto"/>
      </w:divBdr>
    </w:div>
    <w:div w:id="1081871410">
      <w:bodyDiv w:val="1"/>
      <w:marLeft w:val="0"/>
      <w:marRight w:val="0"/>
      <w:marTop w:val="0"/>
      <w:marBottom w:val="0"/>
      <w:divBdr>
        <w:top w:val="none" w:sz="0" w:space="0" w:color="auto"/>
        <w:left w:val="none" w:sz="0" w:space="0" w:color="auto"/>
        <w:bottom w:val="none" w:sz="0" w:space="0" w:color="auto"/>
        <w:right w:val="none" w:sz="0" w:space="0" w:color="auto"/>
      </w:divBdr>
      <w:divsChild>
        <w:div w:id="1061488425">
          <w:marLeft w:val="0"/>
          <w:marRight w:val="0"/>
          <w:marTop w:val="0"/>
          <w:marBottom w:val="0"/>
          <w:divBdr>
            <w:top w:val="single" w:sz="2" w:space="0" w:color="E3E3E3"/>
            <w:left w:val="single" w:sz="2" w:space="0" w:color="E3E3E3"/>
            <w:bottom w:val="single" w:sz="2" w:space="0" w:color="E3E3E3"/>
            <w:right w:val="single" w:sz="2" w:space="0" w:color="E3E3E3"/>
          </w:divBdr>
          <w:divsChild>
            <w:div w:id="1788307064">
              <w:marLeft w:val="0"/>
              <w:marRight w:val="0"/>
              <w:marTop w:val="0"/>
              <w:marBottom w:val="0"/>
              <w:divBdr>
                <w:top w:val="single" w:sz="2" w:space="0" w:color="E3E3E3"/>
                <w:left w:val="single" w:sz="2" w:space="0" w:color="E3E3E3"/>
                <w:bottom w:val="single" w:sz="2" w:space="0" w:color="E3E3E3"/>
                <w:right w:val="single" w:sz="2" w:space="0" w:color="E3E3E3"/>
              </w:divBdr>
              <w:divsChild>
                <w:div w:id="868031119">
                  <w:marLeft w:val="0"/>
                  <w:marRight w:val="0"/>
                  <w:marTop w:val="0"/>
                  <w:marBottom w:val="0"/>
                  <w:divBdr>
                    <w:top w:val="single" w:sz="2" w:space="2" w:color="E3E3E3"/>
                    <w:left w:val="single" w:sz="2" w:space="0" w:color="E3E3E3"/>
                    <w:bottom w:val="single" w:sz="2" w:space="0" w:color="E3E3E3"/>
                    <w:right w:val="single" w:sz="2" w:space="0" w:color="E3E3E3"/>
                  </w:divBdr>
                  <w:divsChild>
                    <w:div w:id="108423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5761852">
      <w:bodyDiv w:val="1"/>
      <w:marLeft w:val="0"/>
      <w:marRight w:val="0"/>
      <w:marTop w:val="0"/>
      <w:marBottom w:val="0"/>
      <w:divBdr>
        <w:top w:val="none" w:sz="0" w:space="0" w:color="auto"/>
        <w:left w:val="none" w:sz="0" w:space="0" w:color="auto"/>
        <w:bottom w:val="none" w:sz="0" w:space="0" w:color="auto"/>
        <w:right w:val="none" w:sz="0" w:space="0" w:color="auto"/>
      </w:divBdr>
    </w:div>
    <w:div w:id="1094668171">
      <w:bodyDiv w:val="1"/>
      <w:marLeft w:val="0"/>
      <w:marRight w:val="0"/>
      <w:marTop w:val="0"/>
      <w:marBottom w:val="0"/>
      <w:divBdr>
        <w:top w:val="none" w:sz="0" w:space="0" w:color="auto"/>
        <w:left w:val="none" w:sz="0" w:space="0" w:color="auto"/>
        <w:bottom w:val="none" w:sz="0" w:space="0" w:color="auto"/>
        <w:right w:val="none" w:sz="0" w:space="0" w:color="auto"/>
      </w:divBdr>
    </w:div>
    <w:div w:id="1158880481">
      <w:bodyDiv w:val="1"/>
      <w:marLeft w:val="0"/>
      <w:marRight w:val="0"/>
      <w:marTop w:val="0"/>
      <w:marBottom w:val="0"/>
      <w:divBdr>
        <w:top w:val="none" w:sz="0" w:space="0" w:color="auto"/>
        <w:left w:val="none" w:sz="0" w:space="0" w:color="auto"/>
        <w:bottom w:val="none" w:sz="0" w:space="0" w:color="auto"/>
        <w:right w:val="none" w:sz="0" w:space="0" w:color="auto"/>
      </w:divBdr>
    </w:div>
    <w:div w:id="1164013143">
      <w:bodyDiv w:val="1"/>
      <w:marLeft w:val="0"/>
      <w:marRight w:val="0"/>
      <w:marTop w:val="0"/>
      <w:marBottom w:val="0"/>
      <w:divBdr>
        <w:top w:val="none" w:sz="0" w:space="0" w:color="auto"/>
        <w:left w:val="none" w:sz="0" w:space="0" w:color="auto"/>
        <w:bottom w:val="none" w:sz="0" w:space="0" w:color="auto"/>
        <w:right w:val="none" w:sz="0" w:space="0" w:color="auto"/>
      </w:divBdr>
      <w:divsChild>
        <w:div w:id="924801301">
          <w:marLeft w:val="0"/>
          <w:marRight w:val="0"/>
          <w:marTop w:val="0"/>
          <w:marBottom w:val="0"/>
          <w:divBdr>
            <w:top w:val="single" w:sz="2" w:space="0" w:color="E3E3E3"/>
            <w:left w:val="single" w:sz="2" w:space="0" w:color="E3E3E3"/>
            <w:bottom w:val="single" w:sz="2" w:space="0" w:color="E3E3E3"/>
            <w:right w:val="single" w:sz="2" w:space="0" w:color="E3E3E3"/>
          </w:divBdr>
          <w:divsChild>
            <w:div w:id="907959330">
              <w:marLeft w:val="0"/>
              <w:marRight w:val="0"/>
              <w:marTop w:val="0"/>
              <w:marBottom w:val="0"/>
              <w:divBdr>
                <w:top w:val="single" w:sz="2" w:space="0" w:color="E3E3E3"/>
                <w:left w:val="single" w:sz="2" w:space="0" w:color="E3E3E3"/>
                <w:bottom w:val="single" w:sz="2" w:space="0" w:color="E3E3E3"/>
                <w:right w:val="single" w:sz="2" w:space="0" w:color="E3E3E3"/>
              </w:divBdr>
              <w:divsChild>
                <w:div w:id="1515337466">
                  <w:marLeft w:val="0"/>
                  <w:marRight w:val="0"/>
                  <w:marTop w:val="0"/>
                  <w:marBottom w:val="0"/>
                  <w:divBdr>
                    <w:top w:val="single" w:sz="2" w:space="0" w:color="E3E3E3"/>
                    <w:left w:val="single" w:sz="2" w:space="0" w:color="E3E3E3"/>
                    <w:bottom w:val="single" w:sz="2" w:space="0" w:color="E3E3E3"/>
                    <w:right w:val="single" w:sz="2" w:space="0" w:color="E3E3E3"/>
                  </w:divBdr>
                  <w:divsChild>
                    <w:div w:id="76176963">
                      <w:marLeft w:val="0"/>
                      <w:marRight w:val="0"/>
                      <w:marTop w:val="0"/>
                      <w:marBottom w:val="0"/>
                      <w:divBdr>
                        <w:top w:val="single" w:sz="2" w:space="0" w:color="E3E3E3"/>
                        <w:left w:val="single" w:sz="2" w:space="0" w:color="E3E3E3"/>
                        <w:bottom w:val="single" w:sz="2" w:space="0" w:color="E3E3E3"/>
                        <w:right w:val="single" w:sz="2" w:space="0" w:color="E3E3E3"/>
                      </w:divBdr>
                      <w:divsChild>
                        <w:div w:id="1603148398">
                          <w:marLeft w:val="0"/>
                          <w:marRight w:val="0"/>
                          <w:marTop w:val="0"/>
                          <w:marBottom w:val="0"/>
                          <w:divBdr>
                            <w:top w:val="single" w:sz="2" w:space="0" w:color="E3E3E3"/>
                            <w:left w:val="single" w:sz="2" w:space="0" w:color="E3E3E3"/>
                            <w:bottom w:val="single" w:sz="2" w:space="0" w:color="E3E3E3"/>
                            <w:right w:val="single" w:sz="2" w:space="0" w:color="E3E3E3"/>
                          </w:divBdr>
                          <w:divsChild>
                            <w:div w:id="702098711">
                              <w:marLeft w:val="0"/>
                              <w:marRight w:val="0"/>
                              <w:marTop w:val="100"/>
                              <w:marBottom w:val="100"/>
                              <w:divBdr>
                                <w:top w:val="single" w:sz="2" w:space="0" w:color="E3E3E3"/>
                                <w:left w:val="single" w:sz="2" w:space="0" w:color="E3E3E3"/>
                                <w:bottom w:val="single" w:sz="2" w:space="0" w:color="E3E3E3"/>
                                <w:right w:val="single" w:sz="2" w:space="0" w:color="E3E3E3"/>
                              </w:divBdr>
                              <w:divsChild>
                                <w:div w:id="1081561338">
                                  <w:marLeft w:val="0"/>
                                  <w:marRight w:val="0"/>
                                  <w:marTop w:val="0"/>
                                  <w:marBottom w:val="0"/>
                                  <w:divBdr>
                                    <w:top w:val="single" w:sz="2" w:space="0" w:color="E3E3E3"/>
                                    <w:left w:val="single" w:sz="2" w:space="0" w:color="E3E3E3"/>
                                    <w:bottom w:val="single" w:sz="2" w:space="0" w:color="E3E3E3"/>
                                    <w:right w:val="single" w:sz="2" w:space="0" w:color="E3E3E3"/>
                                  </w:divBdr>
                                  <w:divsChild>
                                    <w:div w:id="255794753">
                                      <w:marLeft w:val="0"/>
                                      <w:marRight w:val="0"/>
                                      <w:marTop w:val="0"/>
                                      <w:marBottom w:val="0"/>
                                      <w:divBdr>
                                        <w:top w:val="single" w:sz="2" w:space="0" w:color="E3E3E3"/>
                                        <w:left w:val="single" w:sz="2" w:space="0" w:color="E3E3E3"/>
                                        <w:bottom w:val="single" w:sz="2" w:space="0" w:color="E3E3E3"/>
                                        <w:right w:val="single" w:sz="2" w:space="0" w:color="E3E3E3"/>
                                      </w:divBdr>
                                      <w:divsChild>
                                        <w:div w:id="344867738">
                                          <w:marLeft w:val="0"/>
                                          <w:marRight w:val="0"/>
                                          <w:marTop w:val="0"/>
                                          <w:marBottom w:val="0"/>
                                          <w:divBdr>
                                            <w:top w:val="single" w:sz="2" w:space="0" w:color="E3E3E3"/>
                                            <w:left w:val="single" w:sz="2" w:space="0" w:color="E3E3E3"/>
                                            <w:bottom w:val="single" w:sz="2" w:space="0" w:color="E3E3E3"/>
                                            <w:right w:val="single" w:sz="2" w:space="0" w:color="E3E3E3"/>
                                          </w:divBdr>
                                          <w:divsChild>
                                            <w:div w:id="1554196500">
                                              <w:marLeft w:val="0"/>
                                              <w:marRight w:val="0"/>
                                              <w:marTop w:val="0"/>
                                              <w:marBottom w:val="0"/>
                                              <w:divBdr>
                                                <w:top w:val="single" w:sz="2" w:space="0" w:color="E3E3E3"/>
                                                <w:left w:val="single" w:sz="2" w:space="0" w:color="E3E3E3"/>
                                                <w:bottom w:val="single" w:sz="2" w:space="0" w:color="E3E3E3"/>
                                                <w:right w:val="single" w:sz="2" w:space="0" w:color="E3E3E3"/>
                                              </w:divBdr>
                                              <w:divsChild>
                                                <w:div w:id="2089032772">
                                                  <w:marLeft w:val="0"/>
                                                  <w:marRight w:val="0"/>
                                                  <w:marTop w:val="0"/>
                                                  <w:marBottom w:val="0"/>
                                                  <w:divBdr>
                                                    <w:top w:val="single" w:sz="2" w:space="0" w:color="E3E3E3"/>
                                                    <w:left w:val="single" w:sz="2" w:space="0" w:color="E3E3E3"/>
                                                    <w:bottom w:val="single" w:sz="2" w:space="0" w:color="E3E3E3"/>
                                                    <w:right w:val="single" w:sz="2" w:space="0" w:color="E3E3E3"/>
                                                  </w:divBdr>
                                                  <w:divsChild>
                                                    <w:div w:id="861480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4048577">
          <w:marLeft w:val="0"/>
          <w:marRight w:val="0"/>
          <w:marTop w:val="0"/>
          <w:marBottom w:val="0"/>
          <w:divBdr>
            <w:top w:val="none" w:sz="0" w:space="0" w:color="auto"/>
            <w:left w:val="none" w:sz="0" w:space="0" w:color="auto"/>
            <w:bottom w:val="none" w:sz="0" w:space="0" w:color="auto"/>
            <w:right w:val="none" w:sz="0" w:space="0" w:color="auto"/>
          </w:divBdr>
        </w:div>
      </w:divsChild>
    </w:div>
    <w:div w:id="1169058571">
      <w:bodyDiv w:val="1"/>
      <w:marLeft w:val="0"/>
      <w:marRight w:val="0"/>
      <w:marTop w:val="0"/>
      <w:marBottom w:val="0"/>
      <w:divBdr>
        <w:top w:val="none" w:sz="0" w:space="0" w:color="auto"/>
        <w:left w:val="none" w:sz="0" w:space="0" w:color="auto"/>
        <w:bottom w:val="none" w:sz="0" w:space="0" w:color="auto"/>
        <w:right w:val="none" w:sz="0" w:space="0" w:color="auto"/>
      </w:divBdr>
    </w:div>
    <w:div w:id="1182820404">
      <w:bodyDiv w:val="1"/>
      <w:marLeft w:val="0"/>
      <w:marRight w:val="0"/>
      <w:marTop w:val="0"/>
      <w:marBottom w:val="0"/>
      <w:divBdr>
        <w:top w:val="none" w:sz="0" w:space="0" w:color="auto"/>
        <w:left w:val="none" w:sz="0" w:space="0" w:color="auto"/>
        <w:bottom w:val="none" w:sz="0" w:space="0" w:color="auto"/>
        <w:right w:val="none" w:sz="0" w:space="0" w:color="auto"/>
      </w:divBdr>
    </w:div>
    <w:div w:id="1207451735">
      <w:bodyDiv w:val="1"/>
      <w:marLeft w:val="0"/>
      <w:marRight w:val="0"/>
      <w:marTop w:val="0"/>
      <w:marBottom w:val="0"/>
      <w:divBdr>
        <w:top w:val="none" w:sz="0" w:space="0" w:color="auto"/>
        <w:left w:val="none" w:sz="0" w:space="0" w:color="auto"/>
        <w:bottom w:val="none" w:sz="0" w:space="0" w:color="auto"/>
        <w:right w:val="none" w:sz="0" w:space="0" w:color="auto"/>
      </w:divBdr>
    </w:div>
    <w:div w:id="1220479570">
      <w:bodyDiv w:val="1"/>
      <w:marLeft w:val="0"/>
      <w:marRight w:val="0"/>
      <w:marTop w:val="0"/>
      <w:marBottom w:val="0"/>
      <w:divBdr>
        <w:top w:val="none" w:sz="0" w:space="0" w:color="auto"/>
        <w:left w:val="none" w:sz="0" w:space="0" w:color="auto"/>
        <w:bottom w:val="none" w:sz="0" w:space="0" w:color="auto"/>
        <w:right w:val="none" w:sz="0" w:space="0" w:color="auto"/>
      </w:divBdr>
    </w:div>
    <w:div w:id="1234779006">
      <w:bodyDiv w:val="1"/>
      <w:marLeft w:val="0"/>
      <w:marRight w:val="0"/>
      <w:marTop w:val="0"/>
      <w:marBottom w:val="0"/>
      <w:divBdr>
        <w:top w:val="none" w:sz="0" w:space="0" w:color="auto"/>
        <w:left w:val="none" w:sz="0" w:space="0" w:color="auto"/>
        <w:bottom w:val="none" w:sz="0" w:space="0" w:color="auto"/>
        <w:right w:val="none" w:sz="0" w:space="0" w:color="auto"/>
      </w:divBdr>
    </w:div>
    <w:div w:id="1248881779">
      <w:bodyDiv w:val="1"/>
      <w:marLeft w:val="0"/>
      <w:marRight w:val="0"/>
      <w:marTop w:val="0"/>
      <w:marBottom w:val="0"/>
      <w:divBdr>
        <w:top w:val="none" w:sz="0" w:space="0" w:color="auto"/>
        <w:left w:val="none" w:sz="0" w:space="0" w:color="auto"/>
        <w:bottom w:val="none" w:sz="0" w:space="0" w:color="auto"/>
        <w:right w:val="none" w:sz="0" w:space="0" w:color="auto"/>
      </w:divBdr>
    </w:div>
    <w:div w:id="1273636628">
      <w:bodyDiv w:val="1"/>
      <w:marLeft w:val="0"/>
      <w:marRight w:val="0"/>
      <w:marTop w:val="0"/>
      <w:marBottom w:val="0"/>
      <w:divBdr>
        <w:top w:val="none" w:sz="0" w:space="0" w:color="auto"/>
        <w:left w:val="none" w:sz="0" w:space="0" w:color="auto"/>
        <w:bottom w:val="none" w:sz="0" w:space="0" w:color="auto"/>
        <w:right w:val="none" w:sz="0" w:space="0" w:color="auto"/>
      </w:divBdr>
    </w:div>
    <w:div w:id="1279263149">
      <w:bodyDiv w:val="1"/>
      <w:marLeft w:val="0"/>
      <w:marRight w:val="0"/>
      <w:marTop w:val="0"/>
      <w:marBottom w:val="0"/>
      <w:divBdr>
        <w:top w:val="none" w:sz="0" w:space="0" w:color="auto"/>
        <w:left w:val="none" w:sz="0" w:space="0" w:color="auto"/>
        <w:bottom w:val="none" w:sz="0" w:space="0" w:color="auto"/>
        <w:right w:val="none" w:sz="0" w:space="0" w:color="auto"/>
      </w:divBdr>
    </w:div>
    <w:div w:id="1298485938">
      <w:bodyDiv w:val="1"/>
      <w:marLeft w:val="0"/>
      <w:marRight w:val="0"/>
      <w:marTop w:val="0"/>
      <w:marBottom w:val="0"/>
      <w:divBdr>
        <w:top w:val="none" w:sz="0" w:space="0" w:color="auto"/>
        <w:left w:val="none" w:sz="0" w:space="0" w:color="auto"/>
        <w:bottom w:val="none" w:sz="0" w:space="0" w:color="auto"/>
        <w:right w:val="none" w:sz="0" w:space="0" w:color="auto"/>
      </w:divBdr>
    </w:div>
    <w:div w:id="1308783115">
      <w:bodyDiv w:val="1"/>
      <w:marLeft w:val="0"/>
      <w:marRight w:val="0"/>
      <w:marTop w:val="0"/>
      <w:marBottom w:val="0"/>
      <w:divBdr>
        <w:top w:val="none" w:sz="0" w:space="0" w:color="auto"/>
        <w:left w:val="none" w:sz="0" w:space="0" w:color="auto"/>
        <w:bottom w:val="none" w:sz="0" w:space="0" w:color="auto"/>
        <w:right w:val="none" w:sz="0" w:space="0" w:color="auto"/>
      </w:divBdr>
    </w:div>
    <w:div w:id="1319187143">
      <w:bodyDiv w:val="1"/>
      <w:marLeft w:val="0"/>
      <w:marRight w:val="0"/>
      <w:marTop w:val="0"/>
      <w:marBottom w:val="0"/>
      <w:divBdr>
        <w:top w:val="none" w:sz="0" w:space="0" w:color="auto"/>
        <w:left w:val="none" w:sz="0" w:space="0" w:color="auto"/>
        <w:bottom w:val="none" w:sz="0" w:space="0" w:color="auto"/>
        <w:right w:val="none" w:sz="0" w:space="0" w:color="auto"/>
      </w:divBdr>
    </w:div>
    <w:div w:id="1338456853">
      <w:bodyDiv w:val="1"/>
      <w:marLeft w:val="0"/>
      <w:marRight w:val="0"/>
      <w:marTop w:val="0"/>
      <w:marBottom w:val="0"/>
      <w:divBdr>
        <w:top w:val="none" w:sz="0" w:space="0" w:color="auto"/>
        <w:left w:val="none" w:sz="0" w:space="0" w:color="auto"/>
        <w:bottom w:val="none" w:sz="0" w:space="0" w:color="auto"/>
        <w:right w:val="none" w:sz="0" w:space="0" w:color="auto"/>
      </w:divBdr>
      <w:divsChild>
        <w:div w:id="1332950562">
          <w:marLeft w:val="0"/>
          <w:marRight w:val="0"/>
          <w:marTop w:val="0"/>
          <w:marBottom w:val="0"/>
          <w:divBdr>
            <w:top w:val="none" w:sz="0" w:space="0" w:color="auto"/>
            <w:left w:val="none" w:sz="0" w:space="0" w:color="auto"/>
            <w:bottom w:val="none" w:sz="0" w:space="0" w:color="auto"/>
            <w:right w:val="none" w:sz="0" w:space="0" w:color="auto"/>
          </w:divBdr>
        </w:div>
        <w:div w:id="1756902115">
          <w:marLeft w:val="0"/>
          <w:marRight w:val="0"/>
          <w:marTop w:val="0"/>
          <w:marBottom w:val="0"/>
          <w:divBdr>
            <w:top w:val="none" w:sz="0" w:space="0" w:color="auto"/>
            <w:left w:val="none" w:sz="0" w:space="0" w:color="auto"/>
            <w:bottom w:val="none" w:sz="0" w:space="0" w:color="auto"/>
            <w:right w:val="none" w:sz="0" w:space="0" w:color="auto"/>
          </w:divBdr>
        </w:div>
      </w:divsChild>
    </w:div>
    <w:div w:id="1358896508">
      <w:bodyDiv w:val="1"/>
      <w:marLeft w:val="0"/>
      <w:marRight w:val="0"/>
      <w:marTop w:val="0"/>
      <w:marBottom w:val="0"/>
      <w:divBdr>
        <w:top w:val="none" w:sz="0" w:space="0" w:color="auto"/>
        <w:left w:val="none" w:sz="0" w:space="0" w:color="auto"/>
        <w:bottom w:val="none" w:sz="0" w:space="0" w:color="auto"/>
        <w:right w:val="none" w:sz="0" w:space="0" w:color="auto"/>
      </w:divBdr>
    </w:div>
    <w:div w:id="1395201135">
      <w:bodyDiv w:val="1"/>
      <w:marLeft w:val="0"/>
      <w:marRight w:val="0"/>
      <w:marTop w:val="0"/>
      <w:marBottom w:val="0"/>
      <w:divBdr>
        <w:top w:val="none" w:sz="0" w:space="0" w:color="auto"/>
        <w:left w:val="none" w:sz="0" w:space="0" w:color="auto"/>
        <w:bottom w:val="none" w:sz="0" w:space="0" w:color="auto"/>
        <w:right w:val="none" w:sz="0" w:space="0" w:color="auto"/>
      </w:divBdr>
    </w:div>
    <w:div w:id="1403597060">
      <w:bodyDiv w:val="1"/>
      <w:marLeft w:val="0"/>
      <w:marRight w:val="0"/>
      <w:marTop w:val="0"/>
      <w:marBottom w:val="0"/>
      <w:divBdr>
        <w:top w:val="none" w:sz="0" w:space="0" w:color="auto"/>
        <w:left w:val="none" w:sz="0" w:space="0" w:color="auto"/>
        <w:bottom w:val="none" w:sz="0" w:space="0" w:color="auto"/>
        <w:right w:val="none" w:sz="0" w:space="0" w:color="auto"/>
      </w:divBdr>
    </w:div>
    <w:div w:id="1408112547">
      <w:bodyDiv w:val="1"/>
      <w:marLeft w:val="0"/>
      <w:marRight w:val="0"/>
      <w:marTop w:val="0"/>
      <w:marBottom w:val="0"/>
      <w:divBdr>
        <w:top w:val="none" w:sz="0" w:space="0" w:color="auto"/>
        <w:left w:val="none" w:sz="0" w:space="0" w:color="auto"/>
        <w:bottom w:val="none" w:sz="0" w:space="0" w:color="auto"/>
        <w:right w:val="none" w:sz="0" w:space="0" w:color="auto"/>
      </w:divBdr>
    </w:div>
    <w:div w:id="1414353947">
      <w:bodyDiv w:val="1"/>
      <w:marLeft w:val="0"/>
      <w:marRight w:val="0"/>
      <w:marTop w:val="0"/>
      <w:marBottom w:val="0"/>
      <w:divBdr>
        <w:top w:val="none" w:sz="0" w:space="0" w:color="auto"/>
        <w:left w:val="none" w:sz="0" w:space="0" w:color="auto"/>
        <w:bottom w:val="none" w:sz="0" w:space="0" w:color="auto"/>
        <w:right w:val="none" w:sz="0" w:space="0" w:color="auto"/>
      </w:divBdr>
    </w:div>
    <w:div w:id="1418358502">
      <w:bodyDiv w:val="1"/>
      <w:marLeft w:val="0"/>
      <w:marRight w:val="0"/>
      <w:marTop w:val="0"/>
      <w:marBottom w:val="0"/>
      <w:divBdr>
        <w:top w:val="none" w:sz="0" w:space="0" w:color="auto"/>
        <w:left w:val="none" w:sz="0" w:space="0" w:color="auto"/>
        <w:bottom w:val="none" w:sz="0" w:space="0" w:color="auto"/>
        <w:right w:val="none" w:sz="0" w:space="0" w:color="auto"/>
      </w:divBdr>
    </w:div>
    <w:div w:id="1436360271">
      <w:bodyDiv w:val="1"/>
      <w:marLeft w:val="0"/>
      <w:marRight w:val="0"/>
      <w:marTop w:val="0"/>
      <w:marBottom w:val="0"/>
      <w:divBdr>
        <w:top w:val="none" w:sz="0" w:space="0" w:color="auto"/>
        <w:left w:val="none" w:sz="0" w:space="0" w:color="auto"/>
        <w:bottom w:val="none" w:sz="0" w:space="0" w:color="auto"/>
        <w:right w:val="none" w:sz="0" w:space="0" w:color="auto"/>
      </w:divBdr>
    </w:div>
    <w:div w:id="1440028738">
      <w:bodyDiv w:val="1"/>
      <w:marLeft w:val="0"/>
      <w:marRight w:val="0"/>
      <w:marTop w:val="0"/>
      <w:marBottom w:val="0"/>
      <w:divBdr>
        <w:top w:val="none" w:sz="0" w:space="0" w:color="auto"/>
        <w:left w:val="none" w:sz="0" w:space="0" w:color="auto"/>
        <w:bottom w:val="none" w:sz="0" w:space="0" w:color="auto"/>
        <w:right w:val="none" w:sz="0" w:space="0" w:color="auto"/>
      </w:divBdr>
    </w:div>
    <w:div w:id="1441997356">
      <w:bodyDiv w:val="1"/>
      <w:marLeft w:val="0"/>
      <w:marRight w:val="0"/>
      <w:marTop w:val="0"/>
      <w:marBottom w:val="0"/>
      <w:divBdr>
        <w:top w:val="none" w:sz="0" w:space="0" w:color="auto"/>
        <w:left w:val="none" w:sz="0" w:space="0" w:color="auto"/>
        <w:bottom w:val="none" w:sz="0" w:space="0" w:color="auto"/>
        <w:right w:val="none" w:sz="0" w:space="0" w:color="auto"/>
      </w:divBdr>
      <w:divsChild>
        <w:div w:id="2095783543">
          <w:marLeft w:val="0"/>
          <w:marRight w:val="0"/>
          <w:marTop w:val="0"/>
          <w:marBottom w:val="0"/>
          <w:divBdr>
            <w:top w:val="single" w:sz="2" w:space="0" w:color="E3E3E3"/>
            <w:left w:val="single" w:sz="2" w:space="0" w:color="E3E3E3"/>
            <w:bottom w:val="single" w:sz="2" w:space="0" w:color="E3E3E3"/>
            <w:right w:val="single" w:sz="2" w:space="0" w:color="E3E3E3"/>
          </w:divBdr>
          <w:divsChild>
            <w:div w:id="881284115">
              <w:marLeft w:val="0"/>
              <w:marRight w:val="0"/>
              <w:marTop w:val="0"/>
              <w:marBottom w:val="0"/>
              <w:divBdr>
                <w:top w:val="single" w:sz="2" w:space="0" w:color="E3E3E3"/>
                <w:left w:val="single" w:sz="2" w:space="0" w:color="E3E3E3"/>
                <w:bottom w:val="single" w:sz="2" w:space="0" w:color="E3E3E3"/>
                <w:right w:val="single" w:sz="2" w:space="0" w:color="E3E3E3"/>
              </w:divBdr>
              <w:divsChild>
                <w:div w:id="157695615">
                  <w:marLeft w:val="0"/>
                  <w:marRight w:val="0"/>
                  <w:marTop w:val="0"/>
                  <w:marBottom w:val="0"/>
                  <w:divBdr>
                    <w:top w:val="single" w:sz="2" w:space="2" w:color="E3E3E3"/>
                    <w:left w:val="single" w:sz="2" w:space="0" w:color="E3E3E3"/>
                    <w:bottom w:val="single" w:sz="2" w:space="0" w:color="E3E3E3"/>
                    <w:right w:val="single" w:sz="2" w:space="0" w:color="E3E3E3"/>
                  </w:divBdr>
                  <w:divsChild>
                    <w:div w:id="695932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4010878">
      <w:bodyDiv w:val="1"/>
      <w:marLeft w:val="0"/>
      <w:marRight w:val="0"/>
      <w:marTop w:val="0"/>
      <w:marBottom w:val="0"/>
      <w:divBdr>
        <w:top w:val="none" w:sz="0" w:space="0" w:color="auto"/>
        <w:left w:val="none" w:sz="0" w:space="0" w:color="auto"/>
        <w:bottom w:val="none" w:sz="0" w:space="0" w:color="auto"/>
        <w:right w:val="none" w:sz="0" w:space="0" w:color="auto"/>
      </w:divBdr>
    </w:div>
    <w:div w:id="1467701116">
      <w:bodyDiv w:val="1"/>
      <w:marLeft w:val="0"/>
      <w:marRight w:val="0"/>
      <w:marTop w:val="0"/>
      <w:marBottom w:val="0"/>
      <w:divBdr>
        <w:top w:val="none" w:sz="0" w:space="0" w:color="auto"/>
        <w:left w:val="none" w:sz="0" w:space="0" w:color="auto"/>
        <w:bottom w:val="none" w:sz="0" w:space="0" w:color="auto"/>
        <w:right w:val="none" w:sz="0" w:space="0" w:color="auto"/>
      </w:divBdr>
    </w:div>
    <w:div w:id="1480994577">
      <w:bodyDiv w:val="1"/>
      <w:marLeft w:val="0"/>
      <w:marRight w:val="0"/>
      <w:marTop w:val="0"/>
      <w:marBottom w:val="0"/>
      <w:divBdr>
        <w:top w:val="none" w:sz="0" w:space="0" w:color="auto"/>
        <w:left w:val="none" w:sz="0" w:space="0" w:color="auto"/>
        <w:bottom w:val="none" w:sz="0" w:space="0" w:color="auto"/>
        <w:right w:val="none" w:sz="0" w:space="0" w:color="auto"/>
      </w:divBdr>
    </w:div>
    <w:div w:id="1493327113">
      <w:bodyDiv w:val="1"/>
      <w:marLeft w:val="0"/>
      <w:marRight w:val="0"/>
      <w:marTop w:val="0"/>
      <w:marBottom w:val="0"/>
      <w:divBdr>
        <w:top w:val="none" w:sz="0" w:space="0" w:color="auto"/>
        <w:left w:val="none" w:sz="0" w:space="0" w:color="auto"/>
        <w:bottom w:val="none" w:sz="0" w:space="0" w:color="auto"/>
        <w:right w:val="none" w:sz="0" w:space="0" w:color="auto"/>
      </w:divBdr>
    </w:div>
    <w:div w:id="1535657226">
      <w:bodyDiv w:val="1"/>
      <w:marLeft w:val="0"/>
      <w:marRight w:val="0"/>
      <w:marTop w:val="0"/>
      <w:marBottom w:val="0"/>
      <w:divBdr>
        <w:top w:val="none" w:sz="0" w:space="0" w:color="auto"/>
        <w:left w:val="none" w:sz="0" w:space="0" w:color="auto"/>
        <w:bottom w:val="none" w:sz="0" w:space="0" w:color="auto"/>
        <w:right w:val="none" w:sz="0" w:space="0" w:color="auto"/>
      </w:divBdr>
    </w:div>
    <w:div w:id="1569656249">
      <w:bodyDiv w:val="1"/>
      <w:marLeft w:val="0"/>
      <w:marRight w:val="0"/>
      <w:marTop w:val="0"/>
      <w:marBottom w:val="0"/>
      <w:divBdr>
        <w:top w:val="none" w:sz="0" w:space="0" w:color="auto"/>
        <w:left w:val="none" w:sz="0" w:space="0" w:color="auto"/>
        <w:bottom w:val="none" w:sz="0" w:space="0" w:color="auto"/>
        <w:right w:val="none" w:sz="0" w:space="0" w:color="auto"/>
      </w:divBdr>
    </w:div>
    <w:div w:id="1575316398">
      <w:bodyDiv w:val="1"/>
      <w:marLeft w:val="0"/>
      <w:marRight w:val="0"/>
      <w:marTop w:val="0"/>
      <w:marBottom w:val="0"/>
      <w:divBdr>
        <w:top w:val="none" w:sz="0" w:space="0" w:color="auto"/>
        <w:left w:val="none" w:sz="0" w:space="0" w:color="auto"/>
        <w:bottom w:val="none" w:sz="0" w:space="0" w:color="auto"/>
        <w:right w:val="none" w:sz="0" w:space="0" w:color="auto"/>
      </w:divBdr>
    </w:div>
    <w:div w:id="1578124590">
      <w:bodyDiv w:val="1"/>
      <w:marLeft w:val="0"/>
      <w:marRight w:val="0"/>
      <w:marTop w:val="0"/>
      <w:marBottom w:val="0"/>
      <w:divBdr>
        <w:top w:val="none" w:sz="0" w:space="0" w:color="auto"/>
        <w:left w:val="none" w:sz="0" w:space="0" w:color="auto"/>
        <w:bottom w:val="none" w:sz="0" w:space="0" w:color="auto"/>
        <w:right w:val="none" w:sz="0" w:space="0" w:color="auto"/>
      </w:divBdr>
    </w:div>
    <w:div w:id="1585413632">
      <w:bodyDiv w:val="1"/>
      <w:marLeft w:val="0"/>
      <w:marRight w:val="0"/>
      <w:marTop w:val="0"/>
      <w:marBottom w:val="0"/>
      <w:divBdr>
        <w:top w:val="none" w:sz="0" w:space="0" w:color="auto"/>
        <w:left w:val="none" w:sz="0" w:space="0" w:color="auto"/>
        <w:bottom w:val="none" w:sz="0" w:space="0" w:color="auto"/>
        <w:right w:val="none" w:sz="0" w:space="0" w:color="auto"/>
      </w:divBdr>
    </w:div>
    <w:div w:id="1604413061">
      <w:bodyDiv w:val="1"/>
      <w:marLeft w:val="0"/>
      <w:marRight w:val="0"/>
      <w:marTop w:val="0"/>
      <w:marBottom w:val="0"/>
      <w:divBdr>
        <w:top w:val="none" w:sz="0" w:space="0" w:color="auto"/>
        <w:left w:val="none" w:sz="0" w:space="0" w:color="auto"/>
        <w:bottom w:val="none" w:sz="0" w:space="0" w:color="auto"/>
        <w:right w:val="none" w:sz="0" w:space="0" w:color="auto"/>
      </w:divBdr>
    </w:div>
    <w:div w:id="1615936466">
      <w:bodyDiv w:val="1"/>
      <w:marLeft w:val="0"/>
      <w:marRight w:val="0"/>
      <w:marTop w:val="0"/>
      <w:marBottom w:val="0"/>
      <w:divBdr>
        <w:top w:val="none" w:sz="0" w:space="0" w:color="auto"/>
        <w:left w:val="none" w:sz="0" w:space="0" w:color="auto"/>
        <w:bottom w:val="none" w:sz="0" w:space="0" w:color="auto"/>
        <w:right w:val="none" w:sz="0" w:space="0" w:color="auto"/>
      </w:divBdr>
      <w:divsChild>
        <w:div w:id="1618293963">
          <w:marLeft w:val="0"/>
          <w:marRight w:val="0"/>
          <w:marTop w:val="15"/>
          <w:marBottom w:val="0"/>
          <w:divBdr>
            <w:top w:val="none" w:sz="0" w:space="0" w:color="auto"/>
            <w:left w:val="none" w:sz="0" w:space="0" w:color="auto"/>
            <w:bottom w:val="none" w:sz="0" w:space="0" w:color="auto"/>
            <w:right w:val="none" w:sz="0" w:space="0" w:color="auto"/>
          </w:divBdr>
          <w:divsChild>
            <w:div w:id="1538004282">
              <w:marLeft w:val="0"/>
              <w:marRight w:val="0"/>
              <w:marTop w:val="0"/>
              <w:marBottom w:val="0"/>
              <w:divBdr>
                <w:top w:val="none" w:sz="0" w:space="0" w:color="auto"/>
                <w:left w:val="none" w:sz="0" w:space="0" w:color="auto"/>
                <w:bottom w:val="none" w:sz="0" w:space="0" w:color="auto"/>
                <w:right w:val="none" w:sz="0" w:space="0" w:color="auto"/>
              </w:divBdr>
              <w:divsChild>
                <w:div w:id="15003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4472">
      <w:bodyDiv w:val="1"/>
      <w:marLeft w:val="0"/>
      <w:marRight w:val="0"/>
      <w:marTop w:val="0"/>
      <w:marBottom w:val="0"/>
      <w:divBdr>
        <w:top w:val="none" w:sz="0" w:space="0" w:color="auto"/>
        <w:left w:val="none" w:sz="0" w:space="0" w:color="auto"/>
        <w:bottom w:val="none" w:sz="0" w:space="0" w:color="auto"/>
        <w:right w:val="none" w:sz="0" w:space="0" w:color="auto"/>
      </w:divBdr>
    </w:div>
    <w:div w:id="1638879802">
      <w:bodyDiv w:val="1"/>
      <w:marLeft w:val="0"/>
      <w:marRight w:val="0"/>
      <w:marTop w:val="0"/>
      <w:marBottom w:val="0"/>
      <w:divBdr>
        <w:top w:val="none" w:sz="0" w:space="0" w:color="auto"/>
        <w:left w:val="none" w:sz="0" w:space="0" w:color="auto"/>
        <w:bottom w:val="none" w:sz="0" w:space="0" w:color="auto"/>
        <w:right w:val="none" w:sz="0" w:space="0" w:color="auto"/>
      </w:divBdr>
    </w:div>
    <w:div w:id="1645620954">
      <w:bodyDiv w:val="1"/>
      <w:marLeft w:val="0"/>
      <w:marRight w:val="0"/>
      <w:marTop w:val="0"/>
      <w:marBottom w:val="0"/>
      <w:divBdr>
        <w:top w:val="none" w:sz="0" w:space="0" w:color="auto"/>
        <w:left w:val="none" w:sz="0" w:space="0" w:color="auto"/>
        <w:bottom w:val="none" w:sz="0" w:space="0" w:color="auto"/>
        <w:right w:val="none" w:sz="0" w:space="0" w:color="auto"/>
      </w:divBdr>
    </w:div>
    <w:div w:id="1647969378">
      <w:bodyDiv w:val="1"/>
      <w:marLeft w:val="0"/>
      <w:marRight w:val="0"/>
      <w:marTop w:val="0"/>
      <w:marBottom w:val="0"/>
      <w:divBdr>
        <w:top w:val="none" w:sz="0" w:space="0" w:color="auto"/>
        <w:left w:val="none" w:sz="0" w:space="0" w:color="auto"/>
        <w:bottom w:val="none" w:sz="0" w:space="0" w:color="auto"/>
        <w:right w:val="none" w:sz="0" w:space="0" w:color="auto"/>
      </w:divBdr>
    </w:div>
    <w:div w:id="1654334699">
      <w:bodyDiv w:val="1"/>
      <w:marLeft w:val="0"/>
      <w:marRight w:val="0"/>
      <w:marTop w:val="0"/>
      <w:marBottom w:val="0"/>
      <w:divBdr>
        <w:top w:val="none" w:sz="0" w:space="0" w:color="auto"/>
        <w:left w:val="none" w:sz="0" w:space="0" w:color="auto"/>
        <w:bottom w:val="none" w:sz="0" w:space="0" w:color="auto"/>
        <w:right w:val="none" w:sz="0" w:space="0" w:color="auto"/>
      </w:divBdr>
    </w:div>
    <w:div w:id="1655141008">
      <w:bodyDiv w:val="1"/>
      <w:marLeft w:val="0"/>
      <w:marRight w:val="0"/>
      <w:marTop w:val="0"/>
      <w:marBottom w:val="0"/>
      <w:divBdr>
        <w:top w:val="none" w:sz="0" w:space="0" w:color="auto"/>
        <w:left w:val="none" w:sz="0" w:space="0" w:color="auto"/>
        <w:bottom w:val="none" w:sz="0" w:space="0" w:color="auto"/>
        <w:right w:val="none" w:sz="0" w:space="0" w:color="auto"/>
      </w:divBdr>
    </w:div>
    <w:div w:id="1662808017">
      <w:bodyDiv w:val="1"/>
      <w:marLeft w:val="0"/>
      <w:marRight w:val="0"/>
      <w:marTop w:val="0"/>
      <w:marBottom w:val="0"/>
      <w:divBdr>
        <w:top w:val="none" w:sz="0" w:space="0" w:color="auto"/>
        <w:left w:val="none" w:sz="0" w:space="0" w:color="auto"/>
        <w:bottom w:val="none" w:sz="0" w:space="0" w:color="auto"/>
        <w:right w:val="none" w:sz="0" w:space="0" w:color="auto"/>
      </w:divBdr>
    </w:div>
    <w:div w:id="1721392306">
      <w:bodyDiv w:val="1"/>
      <w:marLeft w:val="0"/>
      <w:marRight w:val="0"/>
      <w:marTop w:val="0"/>
      <w:marBottom w:val="0"/>
      <w:divBdr>
        <w:top w:val="none" w:sz="0" w:space="0" w:color="auto"/>
        <w:left w:val="none" w:sz="0" w:space="0" w:color="auto"/>
        <w:bottom w:val="none" w:sz="0" w:space="0" w:color="auto"/>
        <w:right w:val="none" w:sz="0" w:space="0" w:color="auto"/>
      </w:divBdr>
    </w:div>
    <w:div w:id="1784350115">
      <w:bodyDiv w:val="1"/>
      <w:marLeft w:val="0"/>
      <w:marRight w:val="0"/>
      <w:marTop w:val="0"/>
      <w:marBottom w:val="0"/>
      <w:divBdr>
        <w:top w:val="none" w:sz="0" w:space="0" w:color="auto"/>
        <w:left w:val="none" w:sz="0" w:space="0" w:color="auto"/>
        <w:bottom w:val="none" w:sz="0" w:space="0" w:color="auto"/>
        <w:right w:val="none" w:sz="0" w:space="0" w:color="auto"/>
      </w:divBdr>
    </w:div>
    <w:div w:id="1794209373">
      <w:bodyDiv w:val="1"/>
      <w:marLeft w:val="0"/>
      <w:marRight w:val="0"/>
      <w:marTop w:val="0"/>
      <w:marBottom w:val="0"/>
      <w:divBdr>
        <w:top w:val="none" w:sz="0" w:space="0" w:color="auto"/>
        <w:left w:val="none" w:sz="0" w:space="0" w:color="auto"/>
        <w:bottom w:val="none" w:sz="0" w:space="0" w:color="auto"/>
        <w:right w:val="none" w:sz="0" w:space="0" w:color="auto"/>
      </w:divBdr>
    </w:div>
    <w:div w:id="1810856194">
      <w:bodyDiv w:val="1"/>
      <w:marLeft w:val="0"/>
      <w:marRight w:val="0"/>
      <w:marTop w:val="0"/>
      <w:marBottom w:val="0"/>
      <w:divBdr>
        <w:top w:val="none" w:sz="0" w:space="0" w:color="auto"/>
        <w:left w:val="none" w:sz="0" w:space="0" w:color="auto"/>
        <w:bottom w:val="none" w:sz="0" w:space="0" w:color="auto"/>
        <w:right w:val="none" w:sz="0" w:space="0" w:color="auto"/>
      </w:divBdr>
    </w:div>
    <w:div w:id="1812211258">
      <w:bodyDiv w:val="1"/>
      <w:marLeft w:val="0"/>
      <w:marRight w:val="0"/>
      <w:marTop w:val="0"/>
      <w:marBottom w:val="0"/>
      <w:divBdr>
        <w:top w:val="none" w:sz="0" w:space="0" w:color="auto"/>
        <w:left w:val="none" w:sz="0" w:space="0" w:color="auto"/>
        <w:bottom w:val="none" w:sz="0" w:space="0" w:color="auto"/>
        <w:right w:val="none" w:sz="0" w:space="0" w:color="auto"/>
      </w:divBdr>
    </w:div>
    <w:div w:id="1831409233">
      <w:bodyDiv w:val="1"/>
      <w:marLeft w:val="0"/>
      <w:marRight w:val="0"/>
      <w:marTop w:val="0"/>
      <w:marBottom w:val="0"/>
      <w:divBdr>
        <w:top w:val="none" w:sz="0" w:space="0" w:color="auto"/>
        <w:left w:val="none" w:sz="0" w:space="0" w:color="auto"/>
        <w:bottom w:val="none" w:sz="0" w:space="0" w:color="auto"/>
        <w:right w:val="none" w:sz="0" w:space="0" w:color="auto"/>
      </w:divBdr>
      <w:divsChild>
        <w:div w:id="710422980">
          <w:marLeft w:val="0"/>
          <w:marRight w:val="0"/>
          <w:marTop w:val="0"/>
          <w:marBottom w:val="0"/>
          <w:divBdr>
            <w:top w:val="none" w:sz="0" w:space="0" w:color="auto"/>
            <w:left w:val="none" w:sz="0" w:space="0" w:color="auto"/>
            <w:bottom w:val="none" w:sz="0" w:space="0" w:color="auto"/>
            <w:right w:val="none" w:sz="0" w:space="0" w:color="auto"/>
          </w:divBdr>
        </w:div>
        <w:div w:id="1259482695">
          <w:marLeft w:val="0"/>
          <w:marRight w:val="0"/>
          <w:marTop w:val="0"/>
          <w:marBottom w:val="0"/>
          <w:divBdr>
            <w:top w:val="none" w:sz="0" w:space="0" w:color="auto"/>
            <w:left w:val="none" w:sz="0" w:space="0" w:color="auto"/>
            <w:bottom w:val="none" w:sz="0" w:space="0" w:color="auto"/>
            <w:right w:val="none" w:sz="0" w:space="0" w:color="auto"/>
          </w:divBdr>
        </w:div>
        <w:div w:id="1549876269">
          <w:marLeft w:val="0"/>
          <w:marRight w:val="0"/>
          <w:marTop w:val="0"/>
          <w:marBottom w:val="0"/>
          <w:divBdr>
            <w:top w:val="none" w:sz="0" w:space="0" w:color="auto"/>
            <w:left w:val="none" w:sz="0" w:space="0" w:color="auto"/>
            <w:bottom w:val="none" w:sz="0" w:space="0" w:color="auto"/>
            <w:right w:val="none" w:sz="0" w:space="0" w:color="auto"/>
          </w:divBdr>
        </w:div>
        <w:div w:id="1901549116">
          <w:marLeft w:val="0"/>
          <w:marRight w:val="0"/>
          <w:marTop w:val="0"/>
          <w:marBottom w:val="0"/>
          <w:divBdr>
            <w:top w:val="none" w:sz="0" w:space="0" w:color="auto"/>
            <w:left w:val="none" w:sz="0" w:space="0" w:color="auto"/>
            <w:bottom w:val="none" w:sz="0" w:space="0" w:color="auto"/>
            <w:right w:val="none" w:sz="0" w:space="0" w:color="auto"/>
          </w:divBdr>
        </w:div>
      </w:divsChild>
    </w:div>
    <w:div w:id="1835876771">
      <w:bodyDiv w:val="1"/>
      <w:marLeft w:val="0"/>
      <w:marRight w:val="0"/>
      <w:marTop w:val="0"/>
      <w:marBottom w:val="0"/>
      <w:divBdr>
        <w:top w:val="none" w:sz="0" w:space="0" w:color="auto"/>
        <w:left w:val="none" w:sz="0" w:space="0" w:color="auto"/>
        <w:bottom w:val="none" w:sz="0" w:space="0" w:color="auto"/>
        <w:right w:val="none" w:sz="0" w:space="0" w:color="auto"/>
      </w:divBdr>
    </w:div>
    <w:div w:id="1838887684">
      <w:bodyDiv w:val="1"/>
      <w:marLeft w:val="0"/>
      <w:marRight w:val="0"/>
      <w:marTop w:val="0"/>
      <w:marBottom w:val="0"/>
      <w:divBdr>
        <w:top w:val="none" w:sz="0" w:space="0" w:color="auto"/>
        <w:left w:val="none" w:sz="0" w:space="0" w:color="auto"/>
        <w:bottom w:val="none" w:sz="0" w:space="0" w:color="auto"/>
        <w:right w:val="none" w:sz="0" w:space="0" w:color="auto"/>
      </w:divBdr>
    </w:div>
    <w:div w:id="1867672086">
      <w:bodyDiv w:val="1"/>
      <w:marLeft w:val="0"/>
      <w:marRight w:val="0"/>
      <w:marTop w:val="0"/>
      <w:marBottom w:val="0"/>
      <w:divBdr>
        <w:top w:val="none" w:sz="0" w:space="0" w:color="auto"/>
        <w:left w:val="none" w:sz="0" w:space="0" w:color="auto"/>
        <w:bottom w:val="none" w:sz="0" w:space="0" w:color="auto"/>
        <w:right w:val="none" w:sz="0" w:space="0" w:color="auto"/>
      </w:divBdr>
    </w:div>
    <w:div w:id="1880242692">
      <w:bodyDiv w:val="1"/>
      <w:marLeft w:val="0"/>
      <w:marRight w:val="0"/>
      <w:marTop w:val="0"/>
      <w:marBottom w:val="0"/>
      <w:divBdr>
        <w:top w:val="none" w:sz="0" w:space="0" w:color="auto"/>
        <w:left w:val="none" w:sz="0" w:space="0" w:color="auto"/>
        <w:bottom w:val="none" w:sz="0" w:space="0" w:color="auto"/>
        <w:right w:val="none" w:sz="0" w:space="0" w:color="auto"/>
      </w:divBdr>
      <w:divsChild>
        <w:div w:id="18942286">
          <w:marLeft w:val="0"/>
          <w:marRight w:val="0"/>
          <w:marTop w:val="0"/>
          <w:marBottom w:val="0"/>
          <w:divBdr>
            <w:top w:val="none" w:sz="0" w:space="0" w:color="auto"/>
            <w:left w:val="none" w:sz="0" w:space="0" w:color="auto"/>
            <w:bottom w:val="none" w:sz="0" w:space="0" w:color="auto"/>
            <w:right w:val="none" w:sz="0" w:space="0" w:color="auto"/>
          </w:divBdr>
        </w:div>
        <w:div w:id="1519854177">
          <w:marLeft w:val="0"/>
          <w:marRight w:val="0"/>
          <w:marTop w:val="0"/>
          <w:marBottom w:val="0"/>
          <w:divBdr>
            <w:top w:val="none" w:sz="0" w:space="0" w:color="auto"/>
            <w:left w:val="none" w:sz="0" w:space="0" w:color="auto"/>
            <w:bottom w:val="none" w:sz="0" w:space="0" w:color="auto"/>
            <w:right w:val="none" w:sz="0" w:space="0" w:color="auto"/>
          </w:divBdr>
        </w:div>
      </w:divsChild>
    </w:div>
    <w:div w:id="1881890390">
      <w:bodyDiv w:val="1"/>
      <w:marLeft w:val="0"/>
      <w:marRight w:val="0"/>
      <w:marTop w:val="0"/>
      <w:marBottom w:val="0"/>
      <w:divBdr>
        <w:top w:val="none" w:sz="0" w:space="0" w:color="auto"/>
        <w:left w:val="none" w:sz="0" w:space="0" w:color="auto"/>
        <w:bottom w:val="none" w:sz="0" w:space="0" w:color="auto"/>
        <w:right w:val="none" w:sz="0" w:space="0" w:color="auto"/>
      </w:divBdr>
    </w:div>
    <w:div w:id="1890648144">
      <w:bodyDiv w:val="1"/>
      <w:marLeft w:val="0"/>
      <w:marRight w:val="0"/>
      <w:marTop w:val="0"/>
      <w:marBottom w:val="0"/>
      <w:divBdr>
        <w:top w:val="none" w:sz="0" w:space="0" w:color="auto"/>
        <w:left w:val="none" w:sz="0" w:space="0" w:color="auto"/>
        <w:bottom w:val="none" w:sz="0" w:space="0" w:color="auto"/>
        <w:right w:val="none" w:sz="0" w:space="0" w:color="auto"/>
      </w:divBdr>
    </w:div>
    <w:div w:id="1950117065">
      <w:bodyDiv w:val="1"/>
      <w:marLeft w:val="0"/>
      <w:marRight w:val="0"/>
      <w:marTop w:val="0"/>
      <w:marBottom w:val="0"/>
      <w:divBdr>
        <w:top w:val="none" w:sz="0" w:space="0" w:color="auto"/>
        <w:left w:val="none" w:sz="0" w:space="0" w:color="auto"/>
        <w:bottom w:val="none" w:sz="0" w:space="0" w:color="auto"/>
        <w:right w:val="none" w:sz="0" w:space="0" w:color="auto"/>
      </w:divBdr>
      <w:divsChild>
        <w:div w:id="24525726">
          <w:marLeft w:val="0"/>
          <w:marRight w:val="0"/>
          <w:marTop w:val="0"/>
          <w:marBottom w:val="0"/>
          <w:divBdr>
            <w:top w:val="none" w:sz="0" w:space="0" w:color="auto"/>
            <w:left w:val="none" w:sz="0" w:space="0" w:color="auto"/>
            <w:bottom w:val="none" w:sz="0" w:space="0" w:color="auto"/>
            <w:right w:val="none" w:sz="0" w:space="0" w:color="auto"/>
          </w:divBdr>
        </w:div>
        <w:div w:id="812917265">
          <w:marLeft w:val="0"/>
          <w:marRight w:val="0"/>
          <w:marTop w:val="0"/>
          <w:marBottom w:val="0"/>
          <w:divBdr>
            <w:top w:val="none" w:sz="0" w:space="0" w:color="auto"/>
            <w:left w:val="none" w:sz="0" w:space="0" w:color="auto"/>
            <w:bottom w:val="none" w:sz="0" w:space="0" w:color="auto"/>
            <w:right w:val="none" w:sz="0" w:space="0" w:color="auto"/>
          </w:divBdr>
        </w:div>
        <w:div w:id="1159886329">
          <w:marLeft w:val="0"/>
          <w:marRight w:val="0"/>
          <w:marTop w:val="0"/>
          <w:marBottom w:val="0"/>
          <w:divBdr>
            <w:top w:val="none" w:sz="0" w:space="0" w:color="auto"/>
            <w:left w:val="none" w:sz="0" w:space="0" w:color="auto"/>
            <w:bottom w:val="none" w:sz="0" w:space="0" w:color="auto"/>
            <w:right w:val="none" w:sz="0" w:space="0" w:color="auto"/>
          </w:divBdr>
        </w:div>
        <w:div w:id="1723943809">
          <w:marLeft w:val="0"/>
          <w:marRight w:val="0"/>
          <w:marTop w:val="0"/>
          <w:marBottom w:val="0"/>
          <w:divBdr>
            <w:top w:val="none" w:sz="0" w:space="0" w:color="auto"/>
            <w:left w:val="none" w:sz="0" w:space="0" w:color="auto"/>
            <w:bottom w:val="none" w:sz="0" w:space="0" w:color="auto"/>
            <w:right w:val="none" w:sz="0" w:space="0" w:color="auto"/>
          </w:divBdr>
        </w:div>
      </w:divsChild>
    </w:div>
    <w:div w:id="1950968217">
      <w:bodyDiv w:val="1"/>
      <w:marLeft w:val="0"/>
      <w:marRight w:val="0"/>
      <w:marTop w:val="0"/>
      <w:marBottom w:val="0"/>
      <w:divBdr>
        <w:top w:val="none" w:sz="0" w:space="0" w:color="auto"/>
        <w:left w:val="none" w:sz="0" w:space="0" w:color="auto"/>
        <w:bottom w:val="none" w:sz="0" w:space="0" w:color="auto"/>
        <w:right w:val="none" w:sz="0" w:space="0" w:color="auto"/>
      </w:divBdr>
    </w:div>
    <w:div w:id="1966426801">
      <w:bodyDiv w:val="1"/>
      <w:marLeft w:val="0"/>
      <w:marRight w:val="0"/>
      <w:marTop w:val="0"/>
      <w:marBottom w:val="0"/>
      <w:divBdr>
        <w:top w:val="none" w:sz="0" w:space="0" w:color="auto"/>
        <w:left w:val="none" w:sz="0" w:space="0" w:color="auto"/>
        <w:bottom w:val="none" w:sz="0" w:space="0" w:color="auto"/>
        <w:right w:val="none" w:sz="0" w:space="0" w:color="auto"/>
      </w:divBdr>
    </w:div>
    <w:div w:id="2005624638">
      <w:bodyDiv w:val="1"/>
      <w:marLeft w:val="0"/>
      <w:marRight w:val="0"/>
      <w:marTop w:val="0"/>
      <w:marBottom w:val="0"/>
      <w:divBdr>
        <w:top w:val="none" w:sz="0" w:space="0" w:color="auto"/>
        <w:left w:val="none" w:sz="0" w:space="0" w:color="auto"/>
        <w:bottom w:val="none" w:sz="0" w:space="0" w:color="auto"/>
        <w:right w:val="none" w:sz="0" w:space="0" w:color="auto"/>
      </w:divBdr>
    </w:div>
    <w:div w:id="2007515106">
      <w:bodyDiv w:val="1"/>
      <w:marLeft w:val="0"/>
      <w:marRight w:val="0"/>
      <w:marTop w:val="0"/>
      <w:marBottom w:val="0"/>
      <w:divBdr>
        <w:top w:val="none" w:sz="0" w:space="0" w:color="auto"/>
        <w:left w:val="none" w:sz="0" w:space="0" w:color="auto"/>
        <w:bottom w:val="none" w:sz="0" w:space="0" w:color="auto"/>
        <w:right w:val="none" w:sz="0" w:space="0" w:color="auto"/>
      </w:divBdr>
    </w:div>
    <w:div w:id="2010909418">
      <w:bodyDiv w:val="1"/>
      <w:marLeft w:val="0"/>
      <w:marRight w:val="0"/>
      <w:marTop w:val="0"/>
      <w:marBottom w:val="0"/>
      <w:divBdr>
        <w:top w:val="none" w:sz="0" w:space="0" w:color="auto"/>
        <w:left w:val="none" w:sz="0" w:space="0" w:color="auto"/>
        <w:bottom w:val="none" w:sz="0" w:space="0" w:color="auto"/>
        <w:right w:val="none" w:sz="0" w:space="0" w:color="auto"/>
      </w:divBdr>
    </w:div>
    <w:div w:id="2011059596">
      <w:bodyDiv w:val="1"/>
      <w:marLeft w:val="0"/>
      <w:marRight w:val="0"/>
      <w:marTop w:val="0"/>
      <w:marBottom w:val="0"/>
      <w:divBdr>
        <w:top w:val="none" w:sz="0" w:space="0" w:color="auto"/>
        <w:left w:val="none" w:sz="0" w:space="0" w:color="auto"/>
        <w:bottom w:val="none" w:sz="0" w:space="0" w:color="auto"/>
        <w:right w:val="none" w:sz="0" w:space="0" w:color="auto"/>
      </w:divBdr>
    </w:div>
    <w:div w:id="2033870763">
      <w:bodyDiv w:val="1"/>
      <w:marLeft w:val="0"/>
      <w:marRight w:val="0"/>
      <w:marTop w:val="0"/>
      <w:marBottom w:val="0"/>
      <w:divBdr>
        <w:top w:val="none" w:sz="0" w:space="0" w:color="auto"/>
        <w:left w:val="none" w:sz="0" w:space="0" w:color="auto"/>
        <w:bottom w:val="none" w:sz="0" w:space="0" w:color="auto"/>
        <w:right w:val="none" w:sz="0" w:space="0" w:color="auto"/>
      </w:divBdr>
    </w:div>
    <w:div w:id="2035836215">
      <w:bodyDiv w:val="1"/>
      <w:marLeft w:val="0"/>
      <w:marRight w:val="0"/>
      <w:marTop w:val="0"/>
      <w:marBottom w:val="0"/>
      <w:divBdr>
        <w:top w:val="none" w:sz="0" w:space="0" w:color="auto"/>
        <w:left w:val="none" w:sz="0" w:space="0" w:color="auto"/>
        <w:bottom w:val="none" w:sz="0" w:space="0" w:color="auto"/>
        <w:right w:val="none" w:sz="0" w:space="0" w:color="auto"/>
      </w:divBdr>
    </w:div>
    <w:div w:id="2038314194">
      <w:bodyDiv w:val="1"/>
      <w:marLeft w:val="0"/>
      <w:marRight w:val="0"/>
      <w:marTop w:val="0"/>
      <w:marBottom w:val="0"/>
      <w:divBdr>
        <w:top w:val="none" w:sz="0" w:space="0" w:color="auto"/>
        <w:left w:val="none" w:sz="0" w:space="0" w:color="auto"/>
        <w:bottom w:val="none" w:sz="0" w:space="0" w:color="auto"/>
        <w:right w:val="none" w:sz="0" w:space="0" w:color="auto"/>
      </w:divBdr>
    </w:div>
    <w:div w:id="2060208009">
      <w:bodyDiv w:val="1"/>
      <w:marLeft w:val="0"/>
      <w:marRight w:val="0"/>
      <w:marTop w:val="0"/>
      <w:marBottom w:val="0"/>
      <w:divBdr>
        <w:top w:val="none" w:sz="0" w:space="0" w:color="auto"/>
        <w:left w:val="none" w:sz="0" w:space="0" w:color="auto"/>
        <w:bottom w:val="none" w:sz="0" w:space="0" w:color="auto"/>
        <w:right w:val="none" w:sz="0" w:space="0" w:color="auto"/>
      </w:divBdr>
    </w:div>
    <w:div w:id="2062093820">
      <w:bodyDiv w:val="1"/>
      <w:marLeft w:val="0"/>
      <w:marRight w:val="0"/>
      <w:marTop w:val="0"/>
      <w:marBottom w:val="0"/>
      <w:divBdr>
        <w:top w:val="none" w:sz="0" w:space="0" w:color="auto"/>
        <w:left w:val="none" w:sz="0" w:space="0" w:color="auto"/>
        <w:bottom w:val="none" w:sz="0" w:space="0" w:color="auto"/>
        <w:right w:val="none" w:sz="0" w:space="0" w:color="auto"/>
      </w:divBdr>
    </w:div>
    <w:div w:id="2087142196">
      <w:bodyDiv w:val="1"/>
      <w:marLeft w:val="0"/>
      <w:marRight w:val="0"/>
      <w:marTop w:val="0"/>
      <w:marBottom w:val="0"/>
      <w:divBdr>
        <w:top w:val="none" w:sz="0" w:space="0" w:color="auto"/>
        <w:left w:val="none" w:sz="0" w:space="0" w:color="auto"/>
        <w:bottom w:val="none" w:sz="0" w:space="0" w:color="auto"/>
        <w:right w:val="none" w:sz="0" w:space="0" w:color="auto"/>
      </w:divBdr>
    </w:div>
    <w:div w:id="2108306710">
      <w:bodyDiv w:val="1"/>
      <w:marLeft w:val="0"/>
      <w:marRight w:val="0"/>
      <w:marTop w:val="0"/>
      <w:marBottom w:val="0"/>
      <w:divBdr>
        <w:top w:val="none" w:sz="0" w:space="0" w:color="auto"/>
        <w:left w:val="none" w:sz="0" w:space="0" w:color="auto"/>
        <w:bottom w:val="none" w:sz="0" w:space="0" w:color="auto"/>
        <w:right w:val="none" w:sz="0" w:space="0" w:color="auto"/>
      </w:divBdr>
    </w:div>
    <w:div w:id="2111849734">
      <w:bodyDiv w:val="1"/>
      <w:marLeft w:val="0"/>
      <w:marRight w:val="0"/>
      <w:marTop w:val="0"/>
      <w:marBottom w:val="0"/>
      <w:divBdr>
        <w:top w:val="none" w:sz="0" w:space="0" w:color="auto"/>
        <w:left w:val="none" w:sz="0" w:space="0" w:color="auto"/>
        <w:bottom w:val="none" w:sz="0" w:space="0" w:color="auto"/>
        <w:right w:val="none" w:sz="0" w:space="0" w:color="auto"/>
      </w:divBdr>
    </w:div>
    <w:div w:id="2134665306">
      <w:bodyDiv w:val="1"/>
      <w:marLeft w:val="0"/>
      <w:marRight w:val="0"/>
      <w:marTop w:val="0"/>
      <w:marBottom w:val="0"/>
      <w:divBdr>
        <w:top w:val="none" w:sz="0" w:space="0" w:color="auto"/>
        <w:left w:val="none" w:sz="0" w:space="0" w:color="auto"/>
        <w:bottom w:val="none" w:sz="0" w:space="0" w:color="auto"/>
        <w:right w:val="none" w:sz="0" w:space="0" w:color="auto"/>
      </w:divBdr>
    </w:div>
    <w:div w:id="214257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publications/bangladesh-fact-sheet" TargetMode="External"/><Relationship Id="rId13" Type="http://schemas.openxmlformats.org/officeDocument/2006/relationships/hyperlink" Target="https://lankab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br.gov.bd/uploads/acts/2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ebd.org/dse30_share.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gov.bd/slaws/Corporate_Governance_Code_10.06.2018.pdf" TargetMode="External"/><Relationship Id="rId4" Type="http://schemas.openxmlformats.org/officeDocument/2006/relationships/settings" Target="settings.xml"/><Relationship Id="rId9" Type="http://schemas.openxmlformats.org/officeDocument/2006/relationships/hyperlink" Target="http://www.sec.gov.bd/slaws/Corporate_Governance_Code_10.06.2018.pdf" TargetMode="External"/><Relationship Id="rId14" Type="http://schemas.openxmlformats.org/officeDocument/2006/relationships/hyperlink" Target="https://www.sec.gov.bd/slaws/Corporate_Governance_Code_10.06.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Tam07</b:Tag>
    <b:SourceType>JournalArticle</b:SourceType>
    <b:Guid>{084D249B-4122-4A9F-80DA-6FC0A72D71D9}</b:Guid>
    <b:Title>Ownership, governance and firm performance in Malaysia</b:Title>
    <b:JournalName>Corporate Governance: An international Review</b:JournalName>
    <b:Year>2007</b:Year>
    <b:Pages>208-222</b:Pages>
    <b:Author>
      <b:Author>
        <b:NameList>
          <b:Person>
            <b:Last>Tam</b:Last>
            <b:Middle>Kit</b:Middle>
            <b:First>On</b:First>
          </b:Person>
          <b:Person>
            <b:Last>Tan</b:Last>
            <b:Middle>Guo-Size </b:Middle>
            <b:First>Monica </b:First>
          </b:Person>
        </b:NameList>
      </b:Author>
    </b:Author>
    <b:RefOrder>1</b:RefOrder>
  </b:Source>
</b:Sources>
</file>

<file path=customXml/itemProps1.xml><?xml version="1.0" encoding="utf-8"?>
<ds:datastoreItem xmlns:ds="http://schemas.openxmlformats.org/officeDocument/2006/customXml" ds:itemID="{9E1AC78D-528F-4C12-8D23-4CFB8393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43</Pages>
  <Words>15338</Words>
  <Characters>87429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Mehrab Tanvir</dc:creator>
  <cp:lastModifiedBy>Anup Kumar Saha</cp:lastModifiedBy>
  <cp:revision>343</cp:revision>
  <cp:lastPrinted>2024-05-24T14:05:00Z</cp:lastPrinted>
  <dcterms:created xsi:type="dcterms:W3CDTF">2024-05-18T09:13:00Z</dcterms:created>
  <dcterms:modified xsi:type="dcterms:W3CDTF">2024-08-24T13:58:00Z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y fmtid="{D5CDD505-2E9C-101B-9397-08002B2CF9AE}" pid="6" name="GrammarlyDocumentId">
    <vt:lpwstr>20b1e4af6193360e44c1cfe9876f25172091db286bfd8ac5f0beb9b17f3e5be4</vt:lpwstr>
  </property>
</Properties>
</file>