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6322E" w14:textId="77777777" w:rsidR="00E97402" w:rsidRDefault="00E97402">
      <w:pPr>
        <w:pStyle w:val="Text"/>
        <w:ind w:firstLine="0"/>
        <w:rPr>
          <w:sz w:val="18"/>
          <w:szCs w:val="18"/>
        </w:rPr>
      </w:pPr>
      <w:r>
        <w:rPr>
          <w:sz w:val="18"/>
          <w:szCs w:val="18"/>
        </w:rPr>
        <w:footnoteReference w:customMarkFollows="1" w:id="1"/>
        <w:sym w:font="Symbol" w:char="F020"/>
      </w:r>
    </w:p>
    <w:p w14:paraId="6B348E61" w14:textId="77777777" w:rsidR="00727CB6" w:rsidRDefault="00727CB6">
      <w:pPr>
        <w:pStyle w:val="Authors"/>
        <w:framePr w:wrap="notBeside"/>
        <w:rPr>
          <w:kern w:val="28"/>
          <w:sz w:val="48"/>
          <w:szCs w:val="48"/>
        </w:rPr>
      </w:pPr>
      <w:r w:rsidRPr="00727CB6">
        <w:rPr>
          <w:kern w:val="28"/>
          <w:sz w:val="48"/>
          <w:szCs w:val="48"/>
        </w:rPr>
        <w:t>Exploring Open Innovation Dynamics: Service and Delivery Interplay in Circular Economy</w:t>
      </w:r>
    </w:p>
    <w:p w14:paraId="12DE0808" w14:textId="6A269DEB" w:rsidR="00E97402" w:rsidRDefault="00727CB6">
      <w:pPr>
        <w:pStyle w:val="Authors"/>
        <w:framePr w:wrap="notBeside"/>
      </w:pPr>
      <w:r w:rsidRPr="00727CB6">
        <w:t>Sundeep Singh Sondhi</w:t>
      </w:r>
      <w:r>
        <w:t>; Prashant Salwan; Suman Niranjan; Timothy Hawkins; Abhishek Behl; Vijay Pereira; Manlio del Giudice</w:t>
      </w:r>
    </w:p>
    <w:p w14:paraId="6AE6E0BD" w14:textId="70D67561" w:rsidR="00E97402" w:rsidRDefault="00E97402" w:rsidP="00427835">
      <w:pPr>
        <w:pStyle w:val="Abstract"/>
      </w:pPr>
      <w:r>
        <w:rPr>
          <w:i/>
          <w:iCs/>
        </w:rPr>
        <w:t>Abstract</w:t>
      </w:r>
      <w:r>
        <w:t>—</w:t>
      </w:r>
      <w:r w:rsidR="00727CB6" w:rsidRPr="00727CB6">
        <w:t>The current business environment is witnessing significant changes due to changing customer preferences and an increasing desire for exclusive and experiential benchmarks. In light of these changes, it is crucial to analyze the convergence of open innovation (OI) in service and service delivery</w:t>
      </w:r>
      <w:r w:rsidR="00697DB6">
        <w:t xml:space="preserve"> (SD)</w:t>
      </w:r>
      <w:r w:rsidR="00727CB6" w:rsidRPr="00727CB6">
        <w:t xml:space="preserve"> within the context of circular economy (CE) goals. The objective of this study is to examine the complex relationship between service innovation </w:t>
      </w:r>
      <w:r w:rsidR="00697DB6">
        <w:t xml:space="preserve">(SI) </w:t>
      </w:r>
      <w:r w:rsidR="00727CB6" w:rsidRPr="00727CB6">
        <w:t xml:space="preserve">and service delivery innovation </w:t>
      </w:r>
      <w:r w:rsidR="00697DB6">
        <w:t xml:space="preserve">(SDI) </w:t>
      </w:r>
      <w:r w:rsidR="00727CB6" w:rsidRPr="00727CB6">
        <w:t xml:space="preserve">while evaluating the preparedness of organizations to adopt CE practices. This research examines how innovative </w:t>
      </w:r>
      <w:r w:rsidR="00697DB6">
        <w:t>SD</w:t>
      </w:r>
      <w:r w:rsidR="00727CB6" w:rsidRPr="00727CB6">
        <w:t xml:space="preserve"> methods, viewed through the lens of service-dominant logic, can develop dynamic capabilities to effectively address changing customer requirements. This, in turn, leads to enhanced satisfaction and customer loyalty. Based on survey data from a sample of 435 responses, this research examines the moderating role of </w:t>
      </w:r>
      <w:r w:rsidR="00697DB6">
        <w:t>SDI</w:t>
      </w:r>
      <w:r w:rsidR="00727CB6" w:rsidRPr="00727CB6">
        <w:t xml:space="preserve"> and its interplay with </w:t>
      </w:r>
      <w:r w:rsidR="00697DB6">
        <w:t>SI</w:t>
      </w:r>
      <w:r w:rsidR="00727CB6" w:rsidRPr="00727CB6">
        <w:t xml:space="preserve">, and the integrated effect of both, using regression, structural equation modeling, and the Hayes Process model. The findings emphasize the significant impact of </w:t>
      </w:r>
      <w:r w:rsidR="00697DB6">
        <w:t>SDI</w:t>
      </w:r>
      <w:r w:rsidR="00727CB6" w:rsidRPr="00727CB6">
        <w:t xml:space="preserve">, demonstrating its ability to both moderate and enhance the relationship between </w:t>
      </w:r>
      <w:r w:rsidR="00697DB6">
        <w:t>SI</w:t>
      </w:r>
      <w:r w:rsidR="00727CB6" w:rsidRPr="00727CB6">
        <w:t xml:space="preserve"> and the generation of value for consumers. It examines the need to place </w:t>
      </w:r>
      <w:r w:rsidR="00697DB6">
        <w:t>SDI</w:t>
      </w:r>
      <w:r w:rsidR="00727CB6" w:rsidRPr="00727CB6">
        <w:t xml:space="preserve"> separate from </w:t>
      </w:r>
      <w:r w:rsidR="00697DB6">
        <w:t>SI</w:t>
      </w:r>
      <w:r w:rsidR="00727CB6" w:rsidRPr="00727CB6">
        <w:t>. This undertaking strengthens the collaboration of service-dominant logic with dynamic capabilities approach and enables the incorporation of OI paradigms with the requirements of CE practices. The main goal of this research is to direct the service sector toward a future that places a strong emphasis on value creation and sustainability</w:t>
      </w:r>
      <w:r w:rsidR="003D1EBF">
        <w:t>.</w:t>
      </w:r>
    </w:p>
    <w:p w14:paraId="36489797" w14:textId="77777777" w:rsidR="00E97402" w:rsidRDefault="00E97402" w:rsidP="00427835">
      <w:pPr>
        <w:jc w:val="both"/>
      </w:pPr>
    </w:p>
    <w:p w14:paraId="19EC491C" w14:textId="7BD5C7B4" w:rsidR="00E97402" w:rsidRDefault="00E97402" w:rsidP="00427835">
      <w:pPr>
        <w:pStyle w:val="IndexTerms"/>
      </w:pPr>
      <w:bookmarkStart w:id="0" w:name="PointTmp"/>
      <w:r>
        <w:rPr>
          <w:i/>
          <w:iCs/>
        </w:rPr>
        <w:t>Index Terms</w:t>
      </w:r>
      <w:r>
        <w:t>—</w:t>
      </w:r>
      <w:r w:rsidR="0092503F">
        <w:t xml:space="preserve">Service innovation, service delivery innovation, service-dominant (S-D) logic, dynamic capabilities, circular economy open innovation. </w:t>
      </w:r>
    </w:p>
    <w:p w14:paraId="18BD7511" w14:textId="77777777" w:rsidR="00E97402" w:rsidRDefault="00E97402" w:rsidP="00427835">
      <w:pPr>
        <w:jc w:val="both"/>
      </w:pPr>
    </w:p>
    <w:p w14:paraId="3740C200" w14:textId="0B1C36DC" w:rsidR="00E97402" w:rsidRPr="003B516B" w:rsidRDefault="003B516B" w:rsidP="0092503F">
      <w:pPr>
        <w:pStyle w:val="Heading1"/>
      </w:pPr>
      <w:bookmarkStart w:id="1" w:name="_Hlk179538501"/>
      <w:bookmarkEnd w:id="0"/>
      <w:r w:rsidRPr="003B516B">
        <w:t>INTRODUCTION</w:t>
      </w:r>
    </w:p>
    <w:bookmarkEnd w:id="1"/>
    <w:p w14:paraId="4A5F5603" w14:textId="26D5D7C0" w:rsidR="00E97402" w:rsidRDefault="00727CB6" w:rsidP="00427835">
      <w:pPr>
        <w:pStyle w:val="Text"/>
        <w:keepNext/>
        <w:framePr w:dropCap="drop" w:lines="2" w:wrap="auto" w:vAnchor="text" w:hAnchor="text"/>
        <w:spacing w:line="480" w:lineRule="exact"/>
        <w:ind w:firstLine="0"/>
        <w:rPr>
          <w:smallCaps/>
          <w:position w:val="-3"/>
          <w:sz w:val="56"/>
          <w:szCs w:val="56"/>
        </w:rPr>
      </w:pPr>
      <w:r>
        <w:rPr>
          <w:position w:val="-3"/>
          <w:sz w:val="56"/>
          <w:szCs w:val="56"/>
        </w:rPr>
        <w:t>C</w:t>
      </w:r>
    </w:p>
    <w:p w14:paraId="5772D507" w14:textId="15418445" w:rsidR="00727CB6" w:rsidRDefault="00727CB6" w:rsidP="00427835">
      <w:pPr>
        <w:pStyle w:val="Text"/>
      </w:pPr>
      <w:r>
        <w:rPr>
          <w:smallCaps/>
        </w:rPr>
        <w:t xml:space="preserve">IRCULAR </w:t>
      </w:r>
      <w:r>
        <w:t xml:space="preserve">economy (CE) has gained significant attention in the worldwide discourse on sustainable development in recent years [1]. CE advocates for the adoption of systems that imitate natural ecosystems, aiming to minimize waste and maximize resource utilization [2], [3]. The concept is founded on principles that challenge linear value chains and offer a sustainable approach to resource utilization and value creation </w:t>
      </w:r>
      <w:r w:rsidR="00C46279">
        <w:t>[</w:t>
      </w:r>
      <w:r>
        <w:t xml:space="preserve">4], [5]. CE requires a complete rethinking of product design and development, optimizing all production steps from raw material extraction to product consumption [6]. External and internal factors affect manufacturing enterprises' supply networks' CE integration [2]. </w:t>
      </w:r>
    </w:p>
    <w:p w14:paraId="6B6361C1" w14:textId="77777777" w:rsidR="00727CB6" w:rsidRDefault="00727CB6" w:rsidP="00427835">
      <w:pPr>
        <w:pStyle w:val="Text"/>
      </w:pPr>
      <w:r>
        <w:t>According to the dynamic capabilities (DCs) approach, enterprises' adaptation to their internal and external contexts is crucial to coping with rapid environmental changes [7]. Firms’ DCs, including sensing, seizing, and reconfiguring, help organizations embrace CE practices and improve sustainability [8]. Research and development, consumer understanding, and market analytics help firms with strong DCs succeed [9], [10]. This research integrates the DCs view with the foundational framework of service-dominant (S-D) logic, which characterizes service ecosystems as intricate systems comprising players that pool resources linked by shared institutional arrangements [11], [12]. Both the frameworks are used to understand the creation of value. An S-D logic-informed perspective on service ecosystems can comprehensively reflect the intricate nature of CE [13], [14] by emphasizing the foundation of all economic and societal changes in institutional change processes [15].</w:t>
      </w:r>
    </w:p>
    <w:p w14:paraId="5EAA1EC0" w14:textId="0CB7DCD0" w:rsidR="00727CB6" w:rsidRDefault="00606050" w:rsidP="00427835">
      <w:pPr>
        <w:pStyle w:val="Text"/>
      </w:pPr>
      <w:r>
        <w:t xml:space="preserve">Open innovation (OI) is considered a technological management strategy that values external sources and marketplaces [16]. </w:t>
      </w:r>
      <w:r w:rsidR="00727CB6">
        <w:t>Analyzing OI via the lens of S-D logic's core principles can improve the theoretical and practical components of the OI paradigm [1</w:t>
      </w:r>
      <w:r>
        <w:t>7</w:t>
      </w:r>
      <w:r w:rsidR="00727CB6">
        <w:t xml:space="preserve">]. While OI research mostly concentrates on the external aspect of technology development, the internal aspect of technology exploitation has not received equal attention [18]. The S-D logic framework assigns great significance to customers, interactions between actors, and the processes of co-creating value. This approach can offer valuable perspectives, particularly when contemplating the use of technology. We theorize that this approach is in line with the principles of service, highlighting the significance of generating and providing value to enhance consumer experiences and </w:t>
      </w:r>
      <w:r w:rsidR="00727CB6">
        <w:lastRenderedPageBreak/>
        <w:t xml:space="preserve">influence economic environments. </w:t>
      </w:r>
    </w:p>
    <w:p w14:paraId="3F6A8C7C" w14:textId="52C1C54C" w:rsidR="00727CB6" w:rsidRDefault="00727CB6" w:rsidP="00427835">
      <w:pPr>
        <w:pStyle w:val="Text"/>
      </w:pPr>
      <w:r>
        <w:t>The advancement of service provision, along with technological enhancements, has radically transformed the manner in which organizations engage with customers, resulting in tailored experiences that align with their individual preferences [19]. The advancements in the strategies used by industry leaders like Apple, Netflix, Airbnb, and others highlight the critical importance of service delivery</w:t>
      </w:r>
      <w:r w:rsidR="007F1847">
        <w:t xml:space="preserve"> (SD)</w:t>
      </w:r>
      <w:r>
        <w:t xml:space="preserve"> in enhancing value generation and customer experiences.  The delivery of services, which is of utmost importance for the experiences of consumers, emphasizes the vital link between businesses and the expectations of their customers [20]. The association refers to the point where the commitment to providing a service is fulfilled, establishing the basis for ongoing engagement with customers [21]. Though researchers have shown interest in service delivery innovation (SDI), it is studied as a component of service innovation (SI) [22], cloaking its unique effects.</w:t>
      </w:r>
    </w:p>
    <w:p w14:paraId="759C37A0" w14:textId="77777777" w:rsidR="00727CB6" w:rsidRDefault="00727CB6" w:rsidP="00427835">
      <w:pPr>
        <w:pStyle w:val="Text"/>
      </w:pPr>
      <w:r>
        <w:t>Over the last three decades, OI based SI has emerged as a pivotal driver of organizational and economic growth [23], necessitating firms to continuously adapt to evolving CE practices in consumer preferences to enhance value within their delivery operations. [24], [25]. This paper examines the constructs SI and SDI from the OI lens. Open innovation is the foundation for large-scale technology and management practices throughout a sector, which is crucial to circular economy [26]. The concept is founded on the principles of users as innovators [27] and innovation communities [28] with technology playing a crucial role. Furthermore, the value creation is studied based on the conceptualization of DC created by linking OI based SI and SDI. The careful application of open innovation procedures can enhance a company's DCs [20]. Additionally, they improve the firm's ability to learn about new technical prospects and, in some situations, to use external resources to close capability gaps [17].</w:t>
      </w:r>
    </w:p>
    <w:p w14:paraId="050EF961" w14:textId="71876BB2" w:rsidR="00727CB6" w:rsidRDefault="00727CB6" w:rsidP="00427835">
      <w:pPr>
        <w:pStyle w:val="Text"/>
      </w:pPr>
      <w:r>
        <w:t xml:space="preserve">While </w:t>
      </w:r>
      <w:r w:rsidR="007F1847">
        <w:t>SD</w:t>
      </w:r>
      <w:r>
        <w:t xml:space="preserve"> is crucial for creating customer value, prior research has primarily treated SDI and SI as inseparable constructs, neglecting to explore their individual impacts on customer value creation. Consequently, the distinct effects of SDI, particularly its integration with SI, in generating customer value remain unexplored. Therefore, this study aims to elucidate the distinct contributions of SDI and examine how it interfaces with SI to enhance customer value. Specifically, we investigate the combined impact of SI and SDI on customer satisfaction (CS) and customer loyalty (CL), providing insight into the intricate processes of value generation within service ecosystems by addressing the following two questions:</w:t>
      </w:r>
    </w:p>
    <w:p w14:paraId="2A81A248" w14:textId="77777777" w:rsidR="00727CB6" w:rsidRDefault="00727CB6" w:rsidP="00427835">
      <w:pPr>
        <w:pStyle w:val="Text"/>
      </w:pPr>
      <w:r>
        <w:t>RQ1: How does open innovation-based service innovation influence key outcomes such as customer value creation, satisfaction, and loyalty?</w:t>
      </w:r>
    </w:p>
    <w:p w14:paraId="4A3B65CB" w14:textId="77777777" w:rsidR="00727CB6" w:rsidRDefault="00727CB6" w:rsidP="00427835">
      <w:pPr>
        <w:pStyle w:val="Text"/>
      </w:pPr>
      <w:r>
        <w:t>RQ2: What is the effect of the interplay of open innovation-based service delivery innovation and service innovation on customer value creation, leading to customer satisfaction and customer loyalty?</w:t>
      </w:r>
    </w:p>
    <w:p w14:paraId="63BCFB14" w14:textId="1869A379" w:rsidR="00727CB6" w:rsidRDefault="00727CB6" w:rsidP="00427835">
      <w:pPr>
        <w:pStyle w:val="Text"/>
      </w:pPr>
      <w:r>
        <w:t xml:space="preserve">This research significantly contributes to both theory and practice. Initially, we enhance the breadth of the theory by distinguishing between the constructs of SDI and SI for value </w:t>
      </w:r>
      <w:r>
        <w:t xml:space="preserve">creation in the context of S-D logic and DCs within the framework of CE theory. SDI can have a moderating effect on other constructs and a moderated mediating effect. This can lead to new and enhanced services, which increases CVC, CS, and CL. The findings also inform practice by demonstrating the extent to which additional customer value may be achieved through differentiation using innovative methods of </w:t>
      </w:r>
      <w:r w:rsidR="007F1847">
        <w:t>SD</w:t>
      </w:r>
      <w:r>
        <w:t xml:space="preserve">. </w:t>
      </w:r>
    </w:p>
    <w:p w14:paraId="46738D07" w14:textId="06F5DDF3" w:rsidR="00727CB6" w:rsidRDefault="00727CB6" w:rsidP="00427835">
      <w:pPr>
        <w:pStyle w:val="Text"/>
        <w:ind w:firstLine="0"/>
      </w:pPr>
      <w:r>
        <w:t>The remainder of the research is organized as follows: After describing the theoretical foundations, we develop hypotheses on the relationships between them and establish a conceptual model, which is then used to guide the investigation. Second, the methodology used in this study is explained in detail including the measures used. Third, the findings of the analysis are presented, followed by a discussion of the findings as well as their theoretical and managerial implications. Finally, we evaluate the limitations of the current research and ideas for future research.</w:t>
      </w:r>
    </w:p>
    <w:p w14:paraId="59F61A83" w14:textId="3805B59A" w:rsidR="00E97402" w:rsidRDefault="00E97402" w:rsidP="00B752F0">
      <w:pPr>
        <w:pStyle w:val="Text"/>
        <w:ind w:firstLine="0"/>
      </w:pPr>
    </w:p>
    <w:p w14:paraId="5163ECAE" w14:textId="4F7D75EC" w:rsidR="008A3C23" w:rsidRPr="003B516B" w:rsidRDefault="003B516B" w:rsidP="000F7A33">
      <w:pPr>
        <w:pStyle w:val="Heading1"/>
      </w:pPr>
      <w:r w:rsidRPr="003B516B">
        <w:t>THEORETICAL FOUNDATIONS</w:t>
      </w:r>
    </w:p>
    <w:p w14:paraId="374DACB9" w14:textId="785A3EE0" w:rsidR="00E97402" w:rsidRDefault="0089034F" w:rsidP="00427835">
      <w:pPr>
        <w:pStyle w:val="Text"/>
      </w:pPr>
      <w:r w:rsidRPr="00B13BCD">
        <w:t>This study's theoretical base rests on two influential theories: S-D logic and DCs theory. Both the approaches and constructs based on them are used to develop OI environment in CE</w:t>
      </w:r>
      <w:r w:rsidR="00E97402">
        <w:t xml:space="preserve">. </w:t>
      </w:r>
    </w:p>
    <w:p w14:paraId="39E8095A" w14:textId="66C22787" w:rsidR="00E97B99" w:rsidRDefault="000F7A33" w:rsidP="00427835">
      <w:pPr>
        <w:pStyle w:val="Heading2"/>
        <w:jc w:val="both"/>
      </w:pPr>
      <w:r w:rsidRPr="000F7A33">
        <w:t>S-D Logic</w:t>
      </w:r>
    </w:p>
    <w:p w14:paraId="15BB9ADD" w14:textId="17A5DA69" w:rsidR="00E97B99" w:rsidRDefault="0089034F" w:rsidP="00427835">
      <w:pPr>
        <w:pStyle w:val="Text"/>
        <w:ind w:firstLine="144"/>
      </w:pPr>
      <w:r w:rsidRPr="00B13BCD">
        <w:fldChar w:fldCharType="begin" w:fldLock="1"/>
      </w:r>
      <w:r w:rsidRPr="00B13BCD">
        <w:instrText>ADDIN CSL_CITATION {"citationItems":[{"id":"ITEM-1","itemData":{"DOI":"10.1509/jmkg.68.1.1.24036","ISSN":"00222429","abstract":"Marketing inherited a model of exchange from economics, which had a dominant logic based on the exchange of \"goods,\" which usually are manufactured output. The dominant logic focused on tangible resources, embedded value, and transactions. Over the past several decades, new perspectives have emerged that have a revised logic focused on intangible resources, the cocreation of value, and relationships. The authors believe that the new perspectives are converging to form a new dominant logic for marketing, one in which service provision rather than goods is fundamental to economic exchange. The authors explore this evolving logic and the corresponding shift in perspective for marketing scholars, marketing practitioners, and marketing educators.","author":[{"dropping-particle":"","family":"Vargo","given":"Stephen L.","non-dropping-particle":"","parse-names":false,"suffix":""},{"dropping-particle":"","family":"Lusch","given":"Robert F.","non-dropping-particle":"","parse-names":false,"suffix":""}],"container-title":"Journal of Marketing","id":"ITEM-1","issue":"1","issued":{"date-parts":[["2004"]]},"page":"1-17","title":"Evolving to a New Dominant Logic for Marketing","type":"article-journal","volume":"68"},"uris":["http://www.mendeley.com/documents/?uuid=b55fc54c-8d5b-4a59-ad6b-09e5b65f1487"]}],"mendeley":{"formattedCitation":"[11]","plainTextFormattedCitation":"[11]","previouslyFormattedCitation":"[11]"},"properties":{"noteIndex":0},"schema":"https://github.com/citation-style-language/schema/raw/master/csl-citation.json"}</w:instrText>
      </w:r>
      <w:r w:rsidRPr="00B13BCD">
        <w:fldChar w:fldCharType="separate"/>
      </w:r>
      <w:r w:rsidRPr="00B13BCD">
        <w:rPr>
          <w:noProof/>
        </w:rPr>
        <w:t>[11]</w:t>
      </w:r>
      <w:r w:rsidRPr="00B13BCD">
        <w:fldChar w:fldCharType="end"/>
      </w:r>
      <w:r w:rsidRPr="00B13BCD">
        <w:t xml:space="preserve"> argue that the concept of economic exchange is S-D and not goods-dominant (G-D). The S-D logic states that all economic exchanges rely on the provision of service, defined as the</w:t>
      </w:r>
      <w:r w:rsidRPr="00B13BCD">
        <w:rPr>
          <w:i/>
          <w:iCs/>
        </w:rPr>
        <w:t xml:space="preserve"> “application of competencies for the benefit of another entity or the entity itself”</w:t>
      </w:r>
      <w:r w:rsidRPr="00B13BCD">
        <w:t xml:space="preserve"> </w:t>
      </w:r>
      <w:r w:rsidRPr="00B13BCD">
        <w:fldChar w:fldCharType="begin" w:fldLock="1"/>
      </w:r>
      <w:r w:rsidRPr="00B13BCD">
        <w:instrText>ADDIN CSL_CITATION {"citationItems":[{"id":"ITEM-1","itemData":{"ISBN":"1139952021","author":[{"dropping-particle":"","family":"Lusch","given":"Robert F","non-dropping-particle":"","parse-names":false,"suffix":""},{"dropping-particle":"","family":"Vargo","given":"Stephen L","non-dropping-particle":"","parse-names":false,"suffix":""}],"id":"ITEM-1","issued":{"date-parts":[["2014"]]},"publisher":"Cambridge University Press","title":"Service-dominant logic: Premises, perspectives, possibilities","type":"book"},"uris":["http://www.mendeley.com/documents/?uuid=5f84cc35-8ae7-4e42-898c-05f666a7371e"]},{"id":"ITEM-2","itemData":{"DOI":"10.1509/jmkg.68.1.1.24036","ISSN":"00222429","abstract":"Marketing inherited a model of exchange from economics, which had a dominant logic based on the exchange of \"goods,\" which usually are manufactured output. The dominant logic focused on tangible resources, embedded value, and transactions. Over the past several decades, new perspectives have emerged that have a revised logic focused on intangible resources, the cocreation of value, and relationships. The authors believe that the new perspectives are converging to form a new dominant logic for marketing, one in which service provision rather than goods is fundamental to economic exchange. The authors explore this evolving logic and the corresponding shift in perspective for marketing scholars, marketing practitioners, and marketing educators.","author":[{"dropping-particle":"","family":"Vargo","given":"Stephen L.","non-dropping-particle":"","parse-names":false,"suffix":""},{"dropping-particle":"","family":"Lusch","given":"Robert F.","non-dropping-particle":"","parse-names":false,"suffix":""}],"container-title":"Journal of Marketing","id":"ITEM-2","issue":"1","issued":{"date-parts":[["2004"]]},"page":"1-17","title":"Evolving to a New Dominant Logic for Marketing","type":"article-journal","volume":"68"},"uris":["http://www.mendeley.com/documents/?uuid=b55fc54c-8d5b-4a59-ad6b-09e5b65f1487"]}],"mendeley":{"formattedCitation":"[11], [29]","plainTextFormattedCitation":"[11], [29]","previouslyFormattedCitation":"[11], [29]"},"properties":{"noteIndex":0},"schema":"https://github.com/citation-style-language/schema/raw/master/csl-citation.json"}</w:instrText>
      </w:r>
      <w:r w:rsidRPr="00B13BCD">
        <w:fldChar w:fldCharType="separate"/>
      </w:r>
      <w:r w:rsidRPr="00B13BCD">
        <w:rPr>
          <w:noProof/>
        </w:rPr>
        <w:t>[11], [29]</w:t>
      </w:r>
      <w:r w:rsidRPr="00B13BCD">
        <w:fldChar w:fldCharType="end"/>
      </w:r>
      <w:r w:rsidRPr="00B13BCD">
        <w:t xml:space="preserve">. The service ecosystem has been defined as a “self-contained, self-adjusting system of resource-integrating actors connected by shared institutional arrangements and mutual value creation through service exchange” </w:t>
      </w:r>
      <w:r w:rsidRPr="00B13BCD">
        <w:fldChar w:fldCharType="begin" w:fldLock="1"/>
      </w:r>
      <w:r w:rsidRPr="00B13BCD">
        <w:instrText>ADDIN CSL_CITATION {"citationItems":[{"id":"ITEM-1","itemData":{"ISSN":"0148-2963","author":[{"dropping-particle":"","family":"Lusch","given":"Robert F","non-dropping-particle":"","parse-names":false,"suffix":""},{"dropping-particle":"","family":"Vargo","given":"Stephen L","non-dropping-particle":"","parse-names":false,"suffix":""},{"dropping-particle":"","family":"Gustafsson","given":"Anders","non-dropping-particle":"","parse-names":false,"suffix":""}],"container-title":"Journal of Business Research","id":"ITEM-1","issue":"8","issued":{"date-parts":[["2016"]]},"page":"2957-2963","publisher":"Elsevier","title":"Fostering a trans-disciplinary perspectives of service ecosystems","type":"article-journal","volume":"69"},"uris":["http://www.mendeley.com/documents/?uuid=b345c384-7e55-4362-8928-6822c44c66c8"]}],"mendeley":{"formattedCitation":"[30]","plainTextFormattedCitation":"[30]","previouslyFormattedCitation":"[30]"},"properties":{"noteIndex":0},"schema":"https://github.com/citation-style-language/schema/raw/master/csl-citation.json"}</w:instrText>
      </w:r>
      <w:r w:rsidRPr="00B13BCD">
        <w:fldChar w:fldCharType="separate"/>
      </w:r>
      <w:r w:rsidRPr="00B13BCD">
        <w:rPr>
          <w:noProof/>
        </w:rPr>
        <w:t>[30]</w:t>
      </w:r>
      <w:r w:rsidRPr="00B13BCD">
        <w:fldChar w:fldCharType="end"/>
      </w:r>
      <w:r w:rsidRPr="00B13BCD">
        <w:t xml:space="preserve">. This is in conjunction with the concept of CE, which emphasizes resource efficiency and sustainability by promoting the core principles of reduce, reuse, repair, and recycle </w:t>
      </w:r>
      <w:r w:rsidRPr="00B13BCD">
        <w:fldChar w:fldCharType="begin" w:fldLock="1"/>
      </w:r>
      <w:r w:rsidRPr="00B13BCD">
        <w:instrText>ADDIN CSL_CITATION {"citationItems":[{"id":"ITEM-1","itemData":{"ISSN":"0921-3449","author":[{"dropping-particle":"","family":"Kirchherr","given":"Julian","non-dropping-particle":"","parse-names":false,"suffix":""},{"dropping-particle":"","family":"Reike","given":"Denise","non-dropping-particle":"","parse-names":false,"suffix":""},{"dropping-particle":"","family":"Hekkert","given":"Marko","non-dropping-particle":"","parse-names":false,"suffix":""}],"container-title":"Resources, conservation and recycling","id":"ITEM-1","issued":{"date-parts":[["2017"]]},"page":"221-232","publisher":"Elsevier","title":"Conceptualizing the circular economy: An analysis of 114 definitions","type":"article-journal","volume":"127"},"uris":["http://www.mendeley.com/documents/?uuid=043e7933-e2d2-438a-8488-fd58792c2937"]}],"mendeley":{"formattedCitation":"[5]","plainTextFormattedCitation":"[5]","previouslyFormattedCitation":"[5]"},"properties":{"noteIndex":0},"schema":"https://github.com/citation-style-language/schema/raw/master/csl-citation.json"}</w:instrText>
      </w:r>
      <w:r w:rsidRPr="00B13BCD">
        <w:fldChar w:fldCharType="separate"/>
      </w:r>
      <w:r w:rsidRPr="00B13BCD">
        <w:rPr>
          <w:noProof/>
        </w:rPr>
        <w:t>[5]</w:t>
      </w:r>
      <w:r w:rsidRPr="00B13BCD">
        <w:fldChar w:fldCharType="end"/>
      </w:r>
      <w:r w:rsidRPr="00B13BCD">
        <w:t xml:space="preserve">. Based on the service ecosystems perspective of the complex, dynamic, and involvement of multiple actors in value co-creation </w:t>
      </w:r>
      <w:r w:rsidRPr="00B13BCD">
        <w:fldChar w:fldCharType="begin" w:fldLock="1"/>
      </w:r>
      <w:r w:rsidRPr="00B13BCD">
        <w:instrText>ADDIN CSL_CITATION {"citationItems":[{"id":"ITEM-1","itemData":{"ISSN":"0148-2963","author":[{"dropping-particle":"","family":"Koskela-Huotari","given":"Kaisa","non-dropping-particle":"","parse-names":false,"suffix":""},{"dropping-particle":"","family":"Edvardsson","given":"Bo","non-dropping-particle":"","parse-names":false,"suffix":""},{"dropping-particle":"","family":"Jonas","given":"Julia M","non-dropping-particle":"","parse-names":false,"suffix":""},{"dropping-particle":"","family":"Sörhammar","given":"David","non-dropping-particle":"","parse-names":false,"suffix":""},{"dropping-particle":"","family":"Witell","given":"Lars","non-dropping-particle":"","parse-names":false,"suffix":""}],"container-title":"Journal of Business Research","id":"ITEM-1","issue":"8","issued":{"date-parts":[["2016"]]},"page":"2964-2971","publisher":"Elsevier","title":"Innovation in service ecosystems—Breaking, making, and maintaining institutionalized rules of resource integration","type":"article-journal","volume":"69"},"uris":["http://www.mendeley.com/documents/?uuid=bf9908e6-68d6-4999-a29a-957f3d39ab6f"]}],"mendeley":{"formattedCitation":"[31]","plainTextFormattedCitation":"[31]","previouslyFormattedCitation":"[31]"},"properties":{"noteIndex":0},"schema":"https://github.com/citation-style-language/schema/raw/master/csl-citation.json"}</w:instrText>
      </w:r>
      <w:r w:rsidRPr="00B13BCD">
        <w:fldChar w:fldCharType="separate"/>
      </w:r>
      <w:r w:rsidRPr="00B13BCD">
        <w:rPr>
          <w:noProof/>
        </w:rPr>
        <w:t>[31]</w:t>
      </w:r>
      <w:r w:rsidRPr="00B13BCD">
        <w:fldChar w:fldCharType="end"/>
      </w:r>
      <w:r w:rsidRPr="00B13BCD">
        <w:t xml:space="preserve">, </w:t>
      </w:r>
      <w:r w:rsidRPr="00B13BCD">
        <w:fldChar w:fldCharType="begin" w:fldLock="1"/>
      </w:r>
      <w:r w:rsidRPr="00B13BCD">
        <w:instrText>ADDIN CSL_CITATION {"citationItems":[{"id":"ITEM-1","itemData":{"ISSN":"0148-2963","author":[{"dropping-particle":"","family":"Fehrer","given":"Julia A","non-dropping-particle":"","parse-names":false,"suffix":""},{"dropping-particle":"","family":"Wieland","given":"Heiko","non-dropping-particle":"","parse-names":false,"suffix":""}],"container-title":"Journal of Business Research","id":"ITEM-1","issued":{"date-parts":[["2021"]]},"page":"609-620","publisher":"Elsevier","title":"A systemic logic for circular business models","type":"article-journal","volume":"125"},"uris":["http://www.mendeley.com/documents/?uuid=9b06146b-1106-472a-9adb-d11b90711895"]}],"mendeley":{"formattedCitation":"[13]","plainTextFormattedCitation":"[13]","previouslyFormattedCitation":"[13]"},"properties":{"noteIndex":0},"schema":"https://github.com/citation-style-language/schema/raw/master/csl-citation.json"}</w:instrText>
      </w:r>
      <w:r w:rsidRPr="00B13BCD">
        <w:fldChar w:fldCharType="separate"/>
      </w:r>
      <w:r w:rsidRPr="00B13BCD">
        <w:rPr>
          <w:noProof/>
        </w:rPr>
        <w:t>[13]</w:t>
      </w:r>
      <w:r w:rsidRPr="00B13BCD">
        <w:fldChar w:fldCharType="end"/>
      </w:r>
      <w:r w:rsidRPr="00B13BCD">
        <w:t xml:space="preserve"> has proposed the “process framework of circular service ecosystem transitions.” OI advocates for enterprises to include stakeholders, such as suppliers and consumers, in the process and gain knowledge from their input </w:t>
      </w:r>
      <w:r w:rsidRPr="00B13BCD">
        <w:fldChar w:fldCharType="begin" w:fldLock="1"/>
      </w:r>
      <w:r w:rsidRPr="00B13BCD">
        <w:instrText>ADDIN CSL_CITATION {"citationItems":[{"id":"ITEM-1","itemData":{"ISBN":"1578518377","author":[{"dropping-particle":"","family":"Chesbrough","given":"Henry William","non-dropping-particle":"","parse-names":false,"suffix":""}],"id":"ITEM-1","issued":{"date-parts":[["2003"]]},"publisher":"Harvard Business Press","title":"Open innovation: The new imperative for creating and profiting from technology","type":"book"},"uris":["http://www.mendeley.com/documents/?uuid=2c11633b-4b37-4439-81b2-9546d571d1c8"]}],"mendeley":{"formattedCitation":"[32]","plainTextFormattedCitation":"[32]","previouslyFormattedCitation":"[32]"},"properties":{"noteIndex":0},"schema":"https://github.com/citation-style-language/schema/raw/master/csl-citation.json"}</w:instrText>
      </w:r>
      <w:r w:rsidRPr="00B13BCD">
        <w:fldChar w:fldCharType="separate"/>
      </w:r>
      <w:r w:rsidRPr="00B13BCD">
        <w:rPr>
          <w:noProof/>
        </w:rPr>
        <w:t>[32]</w:t>
      </w:r>
      <w:r w:rsidRPr="00B13BCD">
        <w:fldChar w:fldCharType="end"/>
      </w:r>
      <w:r w:rsidRPr="00B13BCD">
        <w:rPr>
          <w:rFonts w:ascii="Courier New" w:hAnsi="Courier New" w:cs="Courier New"/>
          <w:sz w:val="21"/>
          <w:szCs w:val="21"/>
          <w:shd w:val="clear" w:color="auto" w:fill="FFFFFF"/>
        </w:rPr>
        <w:t>.</w:t>
      </w:r>
      <w:r w:rsidRPr="00B13BCD">
        <w:t xml:space="preserve"> The practice is supported by S-D logic </w:t>
      </w:r>
      <w:r w:rsidRPr="00B13BCD">
        <w:fldChar w:fldCharType="begin" w:fldLock="1"/>
      </w:r>
      <w:r w:rsidRPr="00B13BCD">
        <w:instrText>ADDIN CSL_CITATION {"citationItems":[{"id":"ITEM-1","itemData":{"author":[{"dropping-particle":"","family":"Tang","given":"Zhen","non-dropping-particle":"","parse-names":false,"suffix":""},{"dropping-particle":"","family":"Lusch","given":"Robert F","non-dropping-particle":"","parse-names":false,"suffix":""}],"container-title":"World Scientific Reference on Innovation: Volume 3: Open Innovation, Ecosystems and Entrepreneurship: Issues and Perspectives","id":"ITEM-1","issued":{"date-parts":[["2018"]]},"page":"13-35","publisher":"World Scientific","title":"Open Innovation: An SD Logic Perspective","type":"chapter"},"uris":["http://www.mendeley.com/documents/?uuid=82e9ec64-4702-4b44-bd21-66b616bfa63e"]}],"mendeley":{"formattedCitation":"[33]","plainTextFormattedCitation":"[33]","previouslyFormattedCitation":"[33]"},"properties":{"noteIndex":0},"schema":"https://github.com/citation-style-language/schema/raw/master/csl-citation.json"}</w:instrText>
      </w:r>
      <w:r w:rsidRPr="00B13BCD">
        <w:fldChar w:fldCharType="separate"/>
      </w:r>
      <w:r w:rsidRPr="00B13BCD">
        <w:rPr>
          <w:noProof/>
        </w:rPr>
        <w:t>[33]</w:t>
      </w:r>
      <w:r w:rsidRPr="00B13BCD">
        <w:fldChar w:fldCharType="end"/>
      </w:r>
      <w:r w:rsidRPr="00B13BCD">
        <w:t xml:space="preserve">. The value is actor-specific, making each production contextual. Value is experiential, comprehensive, and shaped by the availability, integration, and use of different combinations of resources and exchanges and interactions with other actors and is always cocreated </w:t>
      </w:r>
      <w:r w:rsidRPr="00B13BCD">
        <w:fldChar w:fldCharType="begin" w:fldLock="1"/>
      </w:r>
      <w:r w:rsidRPr="00B13BCD">
        <w:instrText>ADDIN CSL_CITATION {"citationItems":[{"id":"ITEM-1","itemData":{"ISSN":"0092-0703","author":[{"dropping-particle":"","family":"Vargo","given":"Stephen L","non-dropping-particle":"","parse-names":false,"suffix":""},{"dropping-particle":"","family":"Lusch","given":"Robert F","non-dropping-particle":"","parse-names":false,"suffix":""}],"container-title":"Journal of the Academy of marketing Science","id":"ITEM-1","issue":"1","issued":{"date-parts":[["2008"]]},"page":"1-10","publisher":"Springer","title":"Service-dominant logic: continuing the evolution","type":"article-journal","volume":"36"},"uris":["http://www.mendeley.com/documents/?uuid=3d65cc13-aeca-49cd-8800-db3133cca180"]},{"id":"ITEM-2","itemData":{"ISSN":"0148-2963","author":[{"dropping-particle":"","family":"Lusch","given":"Robert F","non-dropping-particle":"","parse-names":false,"suffix":""},{"dropping-particle":"","family":"Vargo","given":"Stephen L","non-dropping-particle":"","parse-names":false,"suffix":""},{"dropping-particle":"","family":"Gustafsson","given":"Anders","non-dropping-particle":"","parse-names":false,"suffix":""}],"container-title":"Journal of Business Research","id":"ITEM-2","issue":"8","issued":{"date-parts":[["2016"]]},"page":"2957-2963","publisher":"Elsevier","title":"Fostering a trans-disciplinary perspectives of service ecosystems","type":"article-journal","volume":"69"},"uris":["http://www.mendeley.com/documents/?uuid=b345c384-7e55-4362-8928-6822c44c66c8"]}],"mendeley":{"formattedCitation":"[30], [34]","plainTextFormattedCitation":"[30], [34]","previouslyFormattedCitation":"[30], [34]"},"properties":{"noteIndex":0},"schema":"https://github.com/citation-style-language/schema/raw/master/csl-citation.json"}</w:instrText>
      </w:r>
      <w:r w:rsidRPr="00B13BCD">
        <w:fldChar w:fldCharType="separate"/>
      </w:r>
      <w:r w:rsidRPr="00B13BCD">
        <w:rPr>
          <w:noProof/>
        </w:rPr>
        <w:t>[30], [34]</w:t>
      </w:r>
      <w:r w:rsidRPr="00B13BCD">
        <w:fldChar w:fldCharType="end"/>
      </w:r>
      <w:r w:rsidRPr="00B13BCD">
        <w:t xml:space="preserve">. The customer determines value based on “value in use” </w:t>
      </w:r>
      <w:r w:rsidRPr="00B13BCD">
        <w:rPr>
          <w:rStyle w:val="FootnoteReference"/>
        </w:rPr>
        <w:fldChar w:fldCharType="begin" w:fldLock="1"/>
      </w:r>
      <w:r w:rsidRPr="00B13BCD">
        <w:instrText>ADDIN CSL_CITATION {"citationItems":[{"id":"ITEM-1","itemData":{"ISBN":"1317454642","author":[{"dropping-particle":"","family":"Lusch","given":"Robert F","non-dropping-particle":"","parse-names":false,"suffix":""},{"dropping-particle":"","family":"Vargo","given":"Stephen L","non-dropping-particle":"","parse-names":false,"suffix":""}],"id":"ITEM-1","issued":{"date-parts":[["2014"]]},"publisher":"Routledge","title":"The service-dominant logic of marketing: Dialog, debate, and directions","type":"book"},"uris":["http://www.mendeley.com/documents/?uuid=389523f0-62fa-463a-b544-3c875fcaf1a0"]}],"mendeley":{"formattedCitation":"[35]","plainTextFormattedCitation":"[35]","previouslyFormattedCitation":"[35]"},"properties":{"noteIndex":0},"schema":"https://github.com/citation-style-language/schema/raw/master/csl-citation.json"}</w:instrText>
      </w:r>
      <w:r w:rsidRPr="00B13BCD">
        <w:rPr>
          <w:rStyle w:val="FootnoteReference"/>
        </w:rPr>
        <w:fldChar w:fldCharType="separate"/>
      </w:r>
      <w:r w:rsidRPr="00B13BCD">
        <w:rPr>
          <w:noProof/>
        </w:rPr>
        <w:t>[35]</w:t>
      </w:r>
      <w:r w:rsidRPr="00B13BCD">
        <w:rPr>
          <w:rStyle w:val="FootnoteReference"/>
        </w:rPr>
        <w:fldChar w:fldCharType="end"/>
      </w:r>
      <w:r w:rsidRPr="00B13BCD">
        <w:t xml:space="preserve">. Firms do not generate or provide value and can only provide value propositions </w:t>
      </w:r>
      <w:r w:rsidRPr="00B13BCD">
        <w:fldChar w:fldCharType="begin" w:fldLock="1"/>
      </w:r>
      <w:r w:rsidRPr="00B13BCD">
        <w:instrText>ADDIN CSL_CITATION {"citationItems":[{"id":"ITEM-1","itemData":{"ISSN":"0148-2963","author":[{"dropping-particle":"","family":"Lusch","given":"Robert F","non-dropping-particle":"","parse-names":false,"suffix":""},{"dropping-particle":"","family":"Vargo","given":"Stephen L","non-dropping-particle":"","parse-names":false,"suffix":""},{"dropping-particle":"","family":"Gustafsson","given":"Anders","non-dropping-particle":"","parse-names":false,"suffix":""}],"container-title":"Journal of Business Research","id":"ITEM-1","issue":"8","issued":{"date-parts":[["2016"]]},"page":"2957-2963","publisher":"Elsevier","title":"Fostering a trans-disciplinary perspectives of service ecosystems","type":"article-journal","volume":"69"},"uris":["http://www.mendeley.com/documents/?uuid=b345c384-7e55-4362-8928-6822c44c66c8"]}],"mendeley":{"formattedCitation":"[30]","plainTextFormattedCitation":"[30]","previouslyFormattedCitation":"[30]"},"properties":{"noteIndex":0},"schema":"https://github.com/citation-style-language/schema/raw/master/csl-citation.json"}</w:instrText>
      </w:r>
      <w:r w:rsidRPr="00B13BCD">
        <w:fldChar w:fldCharType="separate"/>
      </w:r>
      <w:r w:rsidRPr="00B13BCD">
        <w:rPr>
          <w:noProof/>
        </w:rPr>
        <w:t>[30]</w:t>
      </w:r>
      <w:r w:rsidRPr="00B13BCD">
        <w:fldChar w:fldCharType="end"/>
      </w:r>
      <w:r w:rsidRPr="00B13BCD">
        <w:t xml:space="preserve">. Simply put, this suggests that the integration and application of resources within a particular context determine and derive value </w:t>
      </w:r>
      <w:r w:rsidRPr="00B13BCD">
        <w:fldChar w:fldCharType="begin" w:fldLock="1"/>
      </w:r>
      <w:r w:rsidRPr="00B13BCD">
        <w:instrText>ADDIN CSL_CITATION {"citationItems":[{"id":"ITEM-1","itemData":{"ISSN":"0263-2373","author":[{"dropping-particle":"","family":"Vargo","given":"Stephen L","non-dropping-particle":"","parse-names":false,"suffix":""},{"dropping-particle":"","family":"Maglio","given":"Paul P","non-dropping-particle":"","parse-names":false,"suffix":""},{"dropping-particle":"","family":"Akaka","given":"Melissa Archpru","non-dropping-particle":"","parse-names":false,"suffix":""}],"container-title":"European management journal","id":"ITEM-1","issue":"3","issued":{"date-parts":[["2008"]]},"page":"145-152","publisher":"Elsevier","title":"On value and value co-creation: A service systems and service logic perspective","type":"article-journal","volume":"26"},"uris":["http://www.mendeley.com/documents/?uuid=530fa1bd-f174-4d85-957b-c9dcecde21ae"]}],"mendeley":{"formattedCitation":"[36]","plainTextFormattedCitation":"[36]","previouslyFormattedCitation":"[36]"},"properties":{"noteIndex":0},"schema":"https://github.com/citation-style-language/schema/raw/master/csl-citation.json"}</w:instrText>
      </w:r>
      <w:r w:rsidRPr="00B13BCD">
        <w:fldChar w:fldCharType="separate"/>
      </w:r>
      <w:r w:rsidRPr="00B13BCD">
        <w:rPr>
          <w:noProof/>
        </w:rPr>
        <w:t>[36]</w:t>
      </w:r>
      <w:r w:rsidRPr="00B13BCD">
        <w:fldChar w:fldCharType="end"/>
      </w:r>
      <w:r w:rsidRPr="00B13BCD">
        <w:t xml:space="preserve">. Scholars have highlighted the dynamic process of value co-creation in the interactions between customers and firms by employing the S-D logic framework </w:t>
      </w:r>
      <w:r w:rsidRPr="00B13BCD">
        <w:fldChar w:fldCharType="begin" w:fldLock="1"/>
      </w:r>
      <w:r w:rsidRPr="00B13BCD">
        <w:instrText>ADDIN CSL_CITATION {"citationItems":[{"id":"ITEM-1","itemData":{"ISBN":"1317454642","author":[{"dropping-particle":"","family":"Lusch","given":"Robert F","non-dropping-particle":"","parse-names":false,"suffix":""},{"dropping-particle":"","family":"Vargo","given":"Stephen L","non-dropping-particle":"","parse-names":false,"suffix":""}],"id":"ITEM-1","issued":{"date-parts":[["2014"]]},"publisher":"Routledge","title":"The service-dominant logic of marketing: Dialog, debate, and directions","type":"book"},"uris":["http://www.mendeley.com/documents/?uuid=389523f0-62fa-463a-b544-3c875fcaf1a0"]}],"mendeley":{"formattedCitation":"[35]","plainTextFormattedCitation":"[35]","previouslyFormattedCitation":"[35]"},"properties":{"noteIndex":0},"schema":"https://github.com/citation-style-language/schema/raw/master/csl-citation.json"}</w:instrText>
      </w:r>
      <w:r w:rsidRPr="00B13BCD">
        <w:fldChar w:fldCharType="separate"/>
      </w:r>
      <w:r w:rsidRPr="00B13BCD">
        <w:rPr>
          <w:noProof/>
        </w:rPr>
        <w:t>[35]</w:t>
      </w:r>
      <w:r w:rsidRPr="00B13BCD">
        <w:fldChar w:fldCharType="end"/>
      </w:r>
      <w:r w:rsidRPr="00B13BCD">
        <w:t xml:space="preserve">. </w:t>
      </w:r>
      <w:r w:rsidRPr="00B13BCD">
        <w:fldChar w:fldCharType="begin" w:fldLock="1"/>
      </w:r>
      <w:r w:rsidRPr="00B13BCD">
        <w:instrText>ADDIN CSL_CITATION {"citationItems":[{"id":"ITEM-1","itemData":{"ISSN":"0022-4359","author":[{"dropping-particle":"","family":"Lusch","given":"Robert F","non-dropping-particle":"","parse-names":false,"suffix":""},{"dropping-particle":"","family":"Vargo","given":"Stephen L","non-dropping-particle":"","parse-names":false,"suffix":""},{"dropping-particle":"","family":"O’brien","given":"Matthew","non-dropping-particle":"","parse-names":false,"suffix":""}],"container-title":"Journal of retailing","id":"ITEM-1","issue":"1","issued":{"date-parts":[["2007"]]},"page":"5-18","publisher":"Elsevier","title":"Competing through service: Insights from service-dominant logic","type":"article-journal","volume":"83"},"uris":["http://www.mendeley.com/documents/?uuid=28b85c5b-3676-4dd8-8e8c-89c732827f65"]}],"mendeley":{"formattedCitation":"[37]","plainTextFormattedCitation":"[37]","previouslyFormattedCitation":"[37]"},"properties":{"noteIndex":0},"schema":"https://github.com/citation-style-language/schema/raw/master/csl-citation.json"}</w:instrText>
      </w:r>
      <w:r w:rsidRPr="00B13BCD">
        <w:fldChar w:fldCharType="separate"/>
      </w:r>
      <w:r w:rsidRPr="00B13BCD">
        <w:rPr>
          <w:noProof/>
        </w:rPr>
        <w:t>[37]</w:t>
      </w:r>
      <w:r w:rsidRPr="00B13BCD">
        <w:fldChar w:fldCharType="end"/>
      </w:r>
      <w:r w:rsidRPr="00B13BCD">
        <w:t xml:space="preserve"> emphasize the significance of absorptive and adaptive competencies in S-D logic. Adaptive competence refers to an organization's ability to adapt to </w:t>
      </w:r>
      <w:r w:rsidRPr="00B13BCD">
        <w:lastRenderedPageBreak/>
        <w:t xml:space="preserve">changing situations. This aligns with the characteristics of seizing and reconfiguring in the deployment of DCs </w:t>
      </w:r>
      <w:r w:rsidRPr="00B13BCD">
        <w:fldChar w:fldCharType="begin" w:fldLock="1"/>
      </w:r>
      <w:r w:rsidRPr="00B13BCD">
        <w:instrText>ADDIN CSL_CITATION {"citationItems":[{"id":"ITEM-1","itemData":{"ISSN":"1094-6705","author":[{"dropping-particle":"","family":"Wilden","given":"Ralf","non-dropping-particle":"","parse-names":false,"suffix":""},{"dropping-particle":"","family":"Akaka","given":"Melissa Archpru","non-dropping-particle":"","parse-names":false,"suffix":""},{"dropping-particle":"","family":"Karpen","given":"Ingo O","non-dropping-particle":"","parse-names":false,"suffix":""},{"dropping-particle":"","family":"Hohberger","given":"Jan","non-dropping-particle":"","parse-names":false,"suffix":""}],"container-title":"Journal of service research","id":"ITEM-1","issue":"4","issued":{"date-parts":[["2017"]]},"page":"345-361","publisher":"Sage Publications Sage CA: Los Angeles, CA","title":"The evolution and prospects of service-dominant logic: An investigation of past, present, and future research","type":"article-journal","volume":"20"},"uris":["http://www.mendeley.com/documents/?uuid=0ad9369f-6182-4853-bb9c-66908ff8ebcc"]}],"mendeley":{"formattedCitation":"[38]","plainTextFormattedCitation":"[38]","previouslyFormattedCitation":"[38]"},"properties":{"noteIndex":0},"schema":"https://github.com/citation-style-language/schema/raw/master/csl-citation.json"}</w:instrText>
      </w:r>
      <w:r w:rsidRPr="00B13BCD">
        <w:fldChar w:fldCharType="separate"/>
      </w:r>
      <w:r w:rsidRPr="00B13BCD">
        <w:rPr>
          <w:noProof/>
        </w:rPr>
        <w:t>[38]</w:t>
      </w:r>
      <w:r w:rsidRPr="00B13BCD">
        <w:fldChar w:fldCharType="end"/>
      </w:r>
      <w:r w:rsidRPr="00B13BCD">
        <w:t xml:space="preserve">. Absorptive competence refers to an organization's ability to understand significant trends and knowledge </w:t>
      </w:r>
      <w:r w:rsidRPr="00B13BCD">
        <w:fldChar w:fldCharType="begin" w:fldLock="1"/>
      </w:r>
      <w:r w:rsidRPr="00B13BCD">
        <w:instrText>ADDIN CSL_CITATION {"citationItems":[{"id":"ITEM-1","itemData":{"ISSN":"0363-7425","author":[{"dropping-particle":"","family":"Zahra","given":"Shaker A","non-dropping-particle":"","parse-names":false,"suffix":""},{"dropping-particle":"","family":"George","given":"Gerard","non-dropping-particle":"","parse-names":false,"suffix":""}],"container-title":"Academy of management review","id":"ITEM-1","issue":"2","issued":{"date-parts":[["2002"]]},"page":"185-203","publisher":"Academy of Management Briarcliff Manor, NY 10510","title":"Absorptive capacity: A review, reconceptualization, and extension","type":"article-journal","volume":"27"},"uris":["http://www.mendeley.com/documents/?uuid=c931f7b1-1f69-4d13-92f6-a640b7a87f92"]}],"mendeley":{"formattedCitation":"[39]","plainTextFormattedCitation":"[39]","previouslyFormattedCitation":"[39]"},"properties":{"noteIndex":0},"schema":"https://github.com/citation-style-language/schema/raw/master/csl-citation.json"}</w:instrText>
      </w:r>
      <w:r w:rsidRPr="00B13BCD">
        <w:fldChar w:fldCharType="separate"/>
      </w:r>
      <w:r w:rsidRPr="00B13BCD">
        <w:rPr>
          <w:noProof/>
        </w:rPr>
        <w:t>[39]</w:t>
      </w:r>
      <w:r w:rsidRPr="00B13BCD">
        <w:fldChar w:fldCharType="end"/>
      </w:r>
      <w:r w:rsidRPr="00B13BCD">
        <w:t xml:space="preserve">. It involves the processes of sensing and shaping opportunities that are essential for DCs </w:t>
      </w:r>
      <w:r w:rsidRPr="00B13BCD">
        <w:fldChar w:fldCharType="begin" w:fldLock="1"/>
      </w:r>
      <w:r w:rsidRPr="00B13BCD">
        <w:instrText>ADDIN CSL_CITATION {"citationItems":[{"id":"ITEM-1","itemData":{"ISSN":"1094-6705","author":[{"dropping-particle":"","family":"Wilden","given":"Ralf","non-dropping-particle":"","parse-names":false,"suffix":""},{"dropping-particle":"","family":"Akaka","given":"Melissa Archpru","non-dropping-particle":"","parse-names":false,"suffix":""},{"dropping-particle":"","family":"Karpen","given":"Ingo O","non-dropping-particle":"","parse-names":false,"suffix":""},{"dropping-particle":"","family":"Hohberger","given":"Jan","non-dropping-particle":"","parse-names":false,"suffix":""}],"container-title":"Journal of service research","id":"ITEM-1","issue":"4","issued":{"date-parts":[["2017"]]},"page":"345-361","publisher":"Sage Publications Sage CA: Los Angeles, CA","title":"The evolution and prospects of service-dominant logic: An investigation of past, present, and future research","type":"article-journal","volume":"20"},"uris":["http://www.mendeley.com/documents/?uuid=0ad9369f-6182-4853-bb9c-66908ff8ebcc"]}],"mendeley":{"formattedCitation":"[38]","plainTextFormattedCitation":"[38]","previouslyFormattedCitation":"[38]"},"properties":{"noteIndex":0},"schema":"https://github.com/citation-style-language/schema/raw/master/csl-citation.json"}</w:instrText>
      </w:r>
      <w:r w:rsidRPr="00B13BCD">
        <w:fldChar w:fldCharType="separate"/>
      </w:r>
      <w:r w:rsidRPr="00B13BCD">
        <w:rPr>
          <w:noProof/>
        </w:rPr>
        <w:t>[38]</w:t>
      </w:r>
      <w:r w:rsidRPr="00B13BCD">
        <w:fldChar w:fldCharType="end"/>
      </w:r>
      <w:r w:rsidRPr="00B13BCD">
        <w:t>. From the S-D logic lens, we explore the competitive circumstances to identify the resources for a firm that create value to provide an edge over the competition</w:t>
      </w:r>
      <w:r w:rsidR="00E97B99">
        <w:t>.</w:t>
      </w:r>
    </w:p>
    <w:p w14:paraId="5930C99B" w14:textId="77777777" w:rsidR="00E97B99" w:rsidRDefault="00E97B99" w:rsidP="00427835">
      <w:pPr>
        <w:pStyle w:val="Text"/>
      </w:pPr>
    </w:p>
    <w:p w14:paraId="3FB3176D" w14:textId="4EC2A0C9" w:rsidR="00E97B99" w:rsidRDefault="0089034F" w:rsidP="00427835">
      <w:pPr>
        <w:pStyle w:val="Heading2"/>
        <w:jc w:val="both"/>
      </w:pPr>
      <w:r>
        <w:t>Dynamic Capability View</w:t>
      </w:r>
    </w:p>
    <w:p w14:paraId="078CC46D" w14:textId="77777777" w:rsidR="0089034F" w:rsidRPr="00B13BCD" w:rsidRDefault="0089034F" w:rsidP="00427835">
      <w:pPr>
        <w:jc w:val="both"/>
      </w:pPr>
      <w:r w:rsidRPr="00B13BCD">
        <w:t xml:space="preserve">According to </w:t>
      </w:r>
      <w:r w:rsidRPr="00B13BCD">
        <w:fldChar w:fldCharType="begin" w:fldLock="1"/>
      </w:r>
      <w:r w:rsidRPr="00B13BCD">
        <w:instrText>ADDIN CSL_CITATION {"citationItems":[{"id":"ITEM-1","itemData":{"ISSN":"1450-2194","author":[{"dropping-particle":"","family":"Wu","given":"Qiang","non-dropping-particle":"","parse-names":false,"suffix":""},{"dropping-particle":"","family":"He","given":"Qile","non-dropping-particle":"","parse-names":false,"suffix":""},{"dropping-particle":"","family":"Duan","given":"Yanqing","non-dropping-particle":"","parse-names":false,"suffix":""}],"container-title":"EuroMed journal of business","id":"ITEM-1","issue":"3","issued":{"date-parts":[["2013"]]},"page":"255-272","publisher":"Emerald Group Publishing Limited","title":"Explicating dynamic capabilities for corporate sustainability","type":"article-journal","volume":"8"},"uris":["http://www.mendeley.com/documents/?uuid=4898fef5-e188-4fc5-9d64-b29ad422651c"]}],"mendeley":{"formattedCitation":"[40]","plainTextFormattedCitation":"[40]","previouslyFormattedCitation":"[40]"},"properties":{"noteIndex":0},"schema":"https://github.com/citation-style-language/schema/raw/master/csl-citation.json"}</w:instrText>
      </w:r>
      <w:r w:rsidRPr="00B13BCD">
        <w:fldChar w:fldCharType="separate"/>
      </w:r>
      <w:r w:rsidRPr="00B13BCD">
        <w:rPr>
          <w:noProof/>
        </w:rPr>
        <w:t>[40]</w:t>
      </w:r>
      <w:r w:rsidRPr="00B13BCD">
        <w:fldChar w:fldCharType="end"/>
      </w:r>
      <w:r w:rsidRPr="00B13BCD">
        <w:t xml:space="preserve">, DCs assist a firm in adjusting to evolving circumstances and attaining its sustainability objectives. Researchers suggest that firms can overcome the challenge of transitioning from a linear economy-based approach to a circular economy (CE) business model by cultivating DCs </w:t>
      </w:r>
      <w:r w:rsidRPr="00B13BCD">
        <w:fldChar w:fldCharType="begin" w:fldLock="1"/>
      </w:r>
      <w:r w:rsidRPr="00B13BCD">
        <w:instrText>ADDIN CSL_CITATION {"citationItems":[{"id":"ITEM-1","itemData":{"ISSN":"0964-4733","author":[{"dropping-particle":"","family":"Khan","given":"Owais","non-dropping-particle":"","parse-names":false,"suffix":""},{"dropping-particle":"","family":"Daddi","given":"Tiberio","non-dropping-particle":"","parse-names":false,"suffix":""},{"dropping-particle":"","family":"Iraldo","given":"Fabio","non-dropping-particle":"","parse-names":false,"suffix":""}],"container-title":"Business Strategy and the Environment","id":"ITEM-1","issue":"3","issued":{"date-parts":[["2020"]]},"page":"1479-1493","publisher":"Wiley Online Library","title":"Microfoundations of dynamic capabilities: Insights from circular economy business cases","type":"article-journal","volume":"29"},"uris":["http://www.mendeley.com/documents/?uuid=d96028ad-0cbf-4d78-a0be-a6315e7153a1"]}],"mendeley":{"formattedCitation":"[41]","plainTextFormattedCitation":"[41]","previouslyFormattedCitation":"[41]"},"properties":{"noteIndex":0},"schema":"https://github.com/citation-style-language/schema/raw/master/csl-citation.json"}</w:instrText>
      </w:r>
      <w:r w:rsidRPr="00B13BCD">
        <w:fldChar w:fldCharType="separate"/>
      </w:r>
      <w:r w:rsidRPr="00B13BCD">
        <w:rPr>
          <w:noProof/>
        </w:rPr>
        <w:t>[41]</w:t>
      </w:r>
      <w:r w:rsidRPr="00B13BCD">
        <w:fldChar w:fldCharType="end"/>
      </w:r>
      <w:r w:rsidRPr="00B13BCD">
        <w:t xml:space="preserve">. The study conducted by </w:t>
      </w:r>
      <w:r w:rsidRPr="00B13BCD">
        <w:fldChar w:fldCharType="begin" w:fldLock="1"/>
      </w:r>
      <w:r w:rsidRPr="00B13BCD">
        <w:instrText>ADDIN CSL_CITATION {"citationItems":[{"id":"ITEM-1","itemData":{"ISSN":"0964-4733","author":[{"dropping-particle":"","family":"Khan","given":"Owais","non-dropping-particle":"","parse-names":false,"suffix":""},{"dropping-particle":"","family":"Daddi","given":"Tiberio","non-dropping-particle":"","parse-names":false,"suffix":""},{"dropping-particle":"","family":"Iraldo","given":"Fabio","non-dropping-particle":"","parse-names":false,"suffix":""}],"container-title":"Business Strategy and the Environment","id":"ITEM-1","issue":"3","issued":{"date-parts":[["2020"]]},"page":"1479-1493","publisher":"Wiley Online Library","title":"Microfoundations of dynamic capabilities: Insights from circular economy business cases","type":"article-journal","volume":"29"},"uris":["http://www.mendeley.com/documents/?uuid=d96028ad-0cbf-4d78-a0be-a6315e7153a1"]}],"mendeley":{"formattedCitation":"[41]","plainTextFormattedCitation":"[41]","previouslyFormattedCitation":"[41]"},"properties":{"noteIndex":0},"schema":"https://github.com/citation-style-language/schema/raw/master/csl-citation.json"}</w:instrText>
      </w:r>
      <w:r w:rsidRPr="00B13BCD">
        <w:fldChar w:fldCharType="separate"/>
      </w:r>
      <w:r w:rsidRPr="00B13BCD">
        <w:rPr>
          <w:noProof/>
        </w:rPr>
        <w:t>[41]</w:t>
      </w:r>
      <w:r w:rsidRPr="00B13BCD">
        <w:fldChar w:fldCharType="end"/>
      </w:r>
      <w:r w:rsidRPr="00B13BCD">
        <w:t xml:space="preserve"> highlight the role of DCs in facilitating CE demonstrating how the act of sensing, seizing and reconfiguring activities can enhance its success. DCs play a crucial role in facilitating the implementation of CE rules, resulting in an accelerated transition to CE. This is supported by studies conducted by </w:t>
      </w:r>
      <w:r w:rsidRPr="00B13BCD">
        <w:fldChar w:fldCharType="begin" w:fldLock="1"/>
      </w:r>
      <w:r w:rsidRPr="00B13BCD">
        <w:instrText>ADDIN CSL_CITATION {"citationItems":[{"id":"ITEM-1","itemData":{"ISSN":"0964-4733","author":[{"dropping-particle":"","family":"Angelis","given":"Roberta","non-dropping-particle":"De","parse-names":false,"suffix":""},{"dropping-particle":"","family":"Morgan","given":"Robert","non-dropping-particle":"","parse-names":false,"suffix":""},{"dropping-particle":"","family":"Luca","given":"Luigi M","non-dropping-particle":"De","parse-names":false,"suffix":""}],"container-title":"Business Strategy and the Environment","id":"ITEM-1","issued":{"date-parts":[["2023"]]},"publisher":"Wiley Online Library","title":"Open strategy and dynamic capabilities: A framework for circular economy business models research","type":"article-journal"},"uris":["http://www.mendeley.com/documents/?uuid=9b20c482-05b2-4379-994b-7776ddd608f3"]}],"mendeley":{"formattedCitation":"[42]","plainTextFormattedCitation":"[42]","previouslyFormattedCitation":"[42]"},"properties":{"noteIndex":0},"schema":"https://github.com/citation-style-language/schema/raw/master/csl-citation.json"}</w:instrText>
      </w:r>
      <w:r w:rsidRPr="00B13BCD">
        <w:fldChar w:fldCharType="separate"/>
      </w:r>
      <w:r w:rsidRPr="00B13BCD">
        <w:rPr>
          <w:noProof/>
        </w:rPr>
        <w:t>[42]</w:t>
      </w:r>
      <w:r w:rsidRPr="00B13BCD">
        <w:fldChar w:fldCharType="end"/>
      </w:r>
      <w:r w:rsidRPr="00B13BCD">
        <w:t xml:space="preserve"> de Angelis et al. (2023) and </w:t>
      </w:r>
      <w:r w:rsidRPr="00B13BCD">
        <w:fldChar w:fldCharType="begin" w:fldLock="1"/>
      </w:r>
      <w:r w:rsidRPr="00B13BCD">
        <w:instrText>ADDIN CSL_CITATION {"citationItems":[{"id":"ITEM-1","itemData":{"ISSN":"0964-4733","author":[{"dropping-particle":"","family":"Seles","given":"Bruno Michel Roman Pais","non-dropping-particle":"","parse-names":false,"suffix":""},{"dropping-particle":"","family":"Mascarenhas","given":"Janaina","non-dropping-particle":"","parse-names":false,"suffix":""},{"dropping-particle":"","family":"Lopes de Sousa Jabbour","given":"Ana Beatriz","non-dropping-particle":"","parse-names":false,"suffix":""},{"dropping-particle":"","family":"Trevisan","given":"Adriana Hoffman","non-dropping-particle":"","parse-names":false,"suffix":""}],"container-title":"Business Strategy and the Environment","id":"ITEM-1","issue":"4","issued":{"date-parts":[["2022"]]},"page":"1814-1837","publisher":"Wiley Online Library","title":"Smoothing the circular economy transition: The role of resources and capabilities enablers","type":"article-journal","volume":"31"},"uris":["http://www.mendeley.com/documents/?uuid=ec9eab7e-dc73-4c1f-a4a4-325132ab7754"]}],"mendeley":{"formattedCitation":"[43]","plainTextFormattedCitation":"[43]","previouslyFormattedCitation":"[43]"},"properties":{"noteIndex":0},"schema":"https://github.com/citation-style-language/schema/raw/master/csl-citation.json"}</w:instrText>
      </w:r>
      <w:r w:rsidRPr="00B13BCD">
        <w:fldChar w:fldCharType="separate"/>
      </w:r>
      <w:r w:rsidRPr="00B13BCD">
        <w:rPr>
          <w:noProof/>
        </w:rPr>
        <w:t>[43]</w:t>
      </w:r>
      <w:r w:rsidRPr="00B13BCD">
        <w:fldChar w:fldCharType="end"/>
      </w:r>
      <w:r w:rsidRPr="00B13BCD">
        <w:t xml:space="preserve">. </w:t>
      </w:r>
      <w:r w:rsidRPr="00B13BCD">
        <w:fldChar w:fldCharType="begin" w:fldLock="1"/>
      </w:r>
      <w:r w:rsidRPr="00B13BCD">
        <w:instrText>ADDIN CSL_CITATION {"citationItems":[{"id":"ITEM-1","itemData":{"ISSN":"0964-4733","author":[{"dropping-particle":"","family":"Coppola","given":"Carla","non-dropping-particle":"","parse-names":false,"suffix":""},{"dropping-particle":"","family":"Vollero","given":"Agostino","non-dropping-particle":"","parse-names":false,"suffix":""},{"dropping-particle":"","family":"Siano","given":"Alfonso","non-dropping-particle":"","parse-names":false,"suffix":""}],"container-title":"Business Strategy and the Environment","id":"ITEM-1","issued":{"date-parts":[["2023"]]},"publisher":"Wiley Online Library","title":"Developing dynamic capabilities for the circular economy in the textile and clothing industry in Italy: A natural‐resource‐based view","type":"article-journal"},"uris":["http://www.mendeley.com/documents/?uuid=15aefb25-6e6e-4ea2-860f-099aac4ad3f8"]}],"mendeley":{"formattedCitation":"[44]","plainTextFormattedCitation":"[44]","previouslyFormattedCitation":"[44]"},"properties":{"noteIndex":0},"schema":"https://github.com/citation-style-language/schema/raw/master/csl-citation.json"}</w:instrText>
      </w:r>
      <w:r w:rsidRPr="00B13BCD">
        <w:fldChar w:fldCharType="separate"/>
      </w:r>
      <w:r w:rsidRPr="00B13BCD">
        <w:rPr>
          <w:noProof/>
        </w:rPr>
        <w:t>[44]</w:t>
      </w:r>
      <w:r w:rsidRPr="00B13BCD">
        <w:fldChar w:fldCharType="end"/>
      </w:r>
      <w:r w:rsidRPr="00B13BCD">
        <w:t xml:space="preserve"> examined the necessary DCs to implement pollution control, product care, and sustainable development strategies in the textile sector. In this study, we have considered the mobile telephony sector to study DCs through their SI and SDI processes leading to CVC, CS, and CL.</w:t>
      </w:r>
    </w:p>
    <w:p w14:paraId="3E582F10" w14:textId="77777777" w:rsidR="0089034F" w:rsidRPr="00B13BCD" w:rsidRDefault="0089034F" w:rsidP="00427835">
      <w:pPr>
        <w:jc w:val="both"/>
      </w:pPr>
      <w:r w:rsidRPr="00B13BCD">
        <w:t xml:space="preserve">The theory of DCs was developed to improve the </w:t>
      </w:r>
      <w:r w:rsidRPr="00B13BCD">
        <w:rPr>
          <w:lang w:val="en-GB" w:eastAsia="en-GB" w:bidi="hi-IN"/>
        </w:rPr>
        <w:t xml:space="preserve">resource-based view (RBV) </w:t>
      </w:r>
      <w:r w:rsidRPr="00B13BCD">
        <w:t xml:space="preserve"> by encapsulating the evolutionary nature of resources and capabilities </w:t>
      </w:r>
      <w:r w:rsidRPr="00B13BCD">
        <w:rPr>
          <w:vertAlign w:val="superscript"/>
        </w:rPr>
        <w:fldChar w:fldCharType="begin" w:fldLock="1"/>
      </w:r>
      <w:r w:rsidRPr="00B13BCD">
        <w:instrText>ADDIN CSL_CITATION {"citationItems":[{"id":"ITEM-1","itemData":{"abstract":"This paper focuses on dynamic capabilities and, more generally, the resource-based view of the firm. We argue that dynamic capabilities are a set of specific and identifiable processes such as product development, strategic decision making, and alliancing. They are neither vague nor tautological. Although dynamic capabilities are idiosyncratic in their details and path dependent in their emergence, they have significant commonalities across firms (popularly termed ‘best practice’). This suggests that they are more homogeneous, fungible, equifinal, and substitutable than is usually assumed. In moderately dynamic markets, dynamic capabilities resemble the traditional conception of routines. They are detailed, analytic, stable processes with predictable outcomes. In contrast, in high-velocity markets, they are simple, highly experiential and fragile processes with unpredictable outcomes. Finally, well-known learning mechanisms guide the evolution of dynamic capabilities. In moderately dynamic markets, the evolutionary emphasis is on variation. In high-velocity markets, it is on selection. At the level of RBV, we conclude that traditional RBV misidentifies the locus of long-term competitive advantage in dynamic markets, overemphasizes the strategic logic of leverage, and reaches a boundary condition in high-velocity markets. Copyright","author":[{"dropping-particle":"","family":"Eisenhardt","given":"Kathleen M","non-dropping-particle":"","parse-names":false,"suffix":""},{"dropping-particle":"","family":"Martin","given":"Jeffrey A","non-dropping-particle":"","parse-names":false,"suffix":""}],"id":"ITEM-1","issued":{"date-parts":[["2000"]]},"page":"1105-1121","title":"DYNAMIC CAPABILITIES : WHAT ARE THEY ?","type":"article-journal","volume":"1121"},"uris":["http://www.mendeley.com/documents/?uuid=0250d0fd-82ad-4a60-97d3-5d0b254aa869"]}],"mendeley":{"formattedCitation":"[45]","plainTextFormattedCitation":"[45]","previouslyFormattedCitation":"[45]"},"properties":{"noteIndex":0},"schema":"https://github.com/citation-style-language/schema/raw/master/csl-citation.json"}</w:instrText>
      </w:r>
      <w:r w:rsidRPr="00B13BCD">
        <w:rPr>
          <w:vertAlign w:val="superscript"/>
        </w:rPr>
        <w:fldChar w:fldCharType="separate"/>
      </w:r>
      <w:r w:rsidRPr="00B13BCD">
        <w:rPr>
          <w:noProof/>
        </w:rPr>
        <w:t>[45]</w:t>
      </w:r>
      <w:r w:rsidRPr="00B13BCD">
        <w:fldChar w:fldCharType="end"/>
      </w:r>
      <w:r w:rsidRPr="00B13BCD">
        <w:t xml:space="preserve">. </w:t>
      </w:r>
      <w:r w:rsidRPr="00B13BCD">
        <w:rPr>
          <w:lang w:val="en-GB" w:eastAsia="en-GB" w:bidi="hi-IN"/>
        </w:rPr>
        <w:t xml:space="preserve">it is only through a distinctive arrangement of resources that a firm may attain sustainable competitive advantage </w:t>
      </w:r>
      <w:r w:rsidRPr="00B13BCD">
        <w:rPr>
          <w:lang w:val="en-GB" w:eastAsia="en-GB" w:bidi="hi-IN"/>
        </w:rPr>
        <w:fldChar w:fldCharType="begin" w:fldLock="1"/>
      </w:r>
      <w:r w:rsidRPr="00B13BCD">
        <w:rPr>
          <w:lang w:val="en-GB" w:eastAsia="en-GB" w:bidi="hi-IN"/>
        </w:rPr>
        <w:instrText>ADDIN CSL_CITATION {"citationItems":[{"id":"ITEM-1","itemData":{"ISSN":"0925-5273","author":[{"dropping-particle":"","family":"Siems","given":"Erik","non-dropping-particle":"","parse-names":false,"suffix":""},{"dropping-particle":"","family":"Land","given":"Anna","non-dropping-particle":"","parse-names":false,"suffix":""},{"dropping-particle":"","family":"Seuring","given":"Stefan","non-dropping-particle":"","parse-names":false,"suffix":""}],"container-title":"International Journal of Production Economics","id":"ITEM-1","issued":{"date-parts":[["2021"]]},"page":"108128","publisher":"Elsevier","title":"Dynamic capabilities in sustainable supply chain management: an inter-temporal comparison of the food and automotive industries","type":"article-journal","volume":"236"},"uris":["http://www.mendeley.com/documents/?uuid=fd8d2c5e-a7a6-40c1-babd-eb59f09f2265"]}],"mendeley":{"formattedCitation":"[46]","plainTextFormattedCitation":"[46]","previouslyFormattedCitation":"[46]"},"properties":{"noteIndex":0},"schema":"https://github.com/citation-style-language/schema/raw/master/csl-citation.json"}</w:instrText>
      </w:r>
      <w:r w:rsidRPr="00B13BCD">
        <w:rPr>
          <w:lang w:val="en-GB" w:eastAsia="en-GB" w:bidi="hi-IN"/>
        </w:rPr>
        <w:fldChar w:fldCharType="separate"/>
      </w:r>
      <w:r w:rsidRPr="00B13BCD">
        <w:rPr>
          <w:noProof/>
          <w:lang w:val="en-GB" w:eastAsia="en-GB" w:bidi="hi-IN"/>
        </w:rPr>
        <w:t>[46]</w:t>
      </w:r>
      <w:r w:rsidRPr="00B13BCD">
        <w:rPr>
          <w:lang w:val="en-GB" w:eastAsia="en-GB" w:bidi="hi-IN"/>
        </w:rPr>
        <w:fldChar w:fldCharType="end"/>
      </w:r>
      <w:r w:rsidRPr="00B13BCD">
        <w:rPr>
          <w:lang w:val="en-GB" w:eastAsia="en-GB" w:bidi="hi-IN"/>
        </w:rPr>
        <w:t xml:space="preserve">. </w:t>
      </w:r>
      <w:r w:rsidRPr="00B13BCD">
        <w:t xml:space="preserve">The DCs associated with SI have been identified as critical drivers of sustained high performance </w:t>
      </w:r>
      <w:r w:rsidRPr="00B13BCD">
        <w:rPr>
          <w:vertAlign w:val="superscript"/>
        </w:rPr>
        <w:fldChar w:fldCharType="begin" w:fldLock="1"/>
      </w:r>
      <w:r w:rsidRPr="00B13BCD">
        <w:instrText>ADDIN CSL_CITATION {"citationItems":[{"id":"ITEM-1","itemData":{"abstract":"The purpose of this article is to lay the foundations of a theory that can be used to interpret innovation processes in the service sector. The hypothesis underpinning this article is based on Lancaster's definition of the product (in both manufacturing and services) as a set of service characteristics. The article follows the example of those who have sought to apply Lancaster's work to technological phenomena. Various modes of innovation in the service sectors are highlighted and illustrated.","author":[{"dropping-particle":"","family":"Gallouj","given":"Faïz","non-dropping-particle":"","parse-names":false,"suffix":""},{"dropping-particle":"","family":"Weinstein","given":"Olivier","non-dropping-particle":"","parse-names":false,"suffix":""}],"container-title":"Research policy","id":"ITEM-1","issued":{"date-parts":[["1997"]]},"page":"537-556","title":"Innovation in services To cite this version","type":"article-journal","volume":"26"},"uris":["http://www.mendeley.com/documents/?uuid=1cb96337-fdb1-4e88-a6de-e48c9e7d0223"]}],"mendeley":{"formattedCitation":"[47]","plainTextFormattedCitation":"[47]","previouslyFormattedCitation":"[47]"},"properties":{"noteIndex":0},"schema":"https://github.com/citation-style-language/schema/raw/master/csl-citation.json"}</w:instrText>
      </w:r>
      <w:r w:rsidRPr="00B13BCD">
        <w:rPr>
          <w:vertAlign w:val="superscript"/>
        </w:rPr>
        <w:fldChar w:fldCharType="separate"/>
      </w:r>
      <w:r w:rsidRPr="00B13BCD">
        <w:rPr>
          <w:noProof/>
        </w:rPr>
        <w:t>[47]</w:t>
      </w:r>
      <w:r w:rsidRPr="00B13BCD">
        <w:fldChar w:fldCharType="end"/>
      </w:r>
      <w:r w:rsidRPr="00B13BCD">
        <w:t xml:space="preserve">. According to </w:t>
      </w:r>
      <w:r w:rsidRPr="00B13BCD">
        <w:fldChar w:fldCharType="begin" w:fldLock="1"/>
      </w:r>
      <w:r w:rsidRPr="00B13BCD">
        <w:instrText>ADDIN CSL_CITATION {"citationItems":[{"id":"ITEM-1","itemData":{"DOI":"10.1002/(SICI)1097-0266(199708)18:7&lt;509::AID-SMJ882&gt;3.0.CO;2-Z","ISBN":"978-0-7506-7088-3","ISSN":"01432095","PMID":"20859841","abstract":"The dynamic capabilities framework analyzes the sources and methods of wealth creation and capture by private enterprise firms operating in environments of rapid technological change. The competitive advantage of firms is seen as resting on distinctive processes (ways of coordinating and combining), shaped by the firm's (specific) asset positions (such as the firm's portfolio of difficult-to-trade knowledge assets and complementary assets), and the evolution path(s) it has adopted or inherited. The importance of path dependencies is amplified where conditions of increasing returns exist. Whether and how a firm's competitive advantage is eroded depends on the stability of market demand, and the ease of replicability (expanding internally) and imitatability (replication by competitors). If correct, the framework suggests that private wealth creation in regimes of rapid technological change depends in large measure on honing internal technological, organizational, and managerial processes inside the firm. In short, identifying new opportunities and organizing effectively and efficiently to embrace them are generally more fundamental to private wealth creation than is strategizing, if by strategizing one means engaging in business conduct that keeps competitors off balance, raises rival's costs, and excludes new entrants.","author":[{"dropping-particle":"","family":"Teece","given":"David","non-dropping-particle":"","parse-names":false,"suffix":""},{"dropping-particle":"","family":"Pisano","given":"Gary","non-dropping-particle":"","parse-names":false,"suffix":""},{"dropping-particle":"","family":"Shuen","given":"Amy","non-dropping-particle":"","parse-names":false,"suffix":""}],"container-title":"Strategic management journal","id":"ITEM-1","issue":"7","issued":{"date-parts":[["1997"]]},"page":"509-533","title":"Dynamic capabilities and strategic management","type":"article-journal","volume":"18"},"uris":["http://www.mendeley.com/documents/?uuid=10d5f21b-aa62-4a24-9b0f-1f31f0644f82"]}],"mendeley":{"formattedCitation":"[48]","plainTextFormattedCitation":"[48]","previouslyFormattedCitation":"[48]"},"properties":{"noteIndex":0},"schema":"https://github.com/citation-style-language/schema/raw/master/csl-citation.json"}</w:instrText>
      </w:r>
      <w:r w:rsidRPr="00B13BCD">
        <w:fldChar w:fldCharType="separate"/>
      </w:r>
      <w:r w:rsidRPr="00B13BCD">
        <w:rPr>
          <w:noProof/>
        </w:rPr>
        <w:t>[48]</w:t>
      </w:r>
      <w:r w:rsidRPr="00B13BCD">
        <w:fldChar w:fldCharType="end"/>
      </w:r>
      <w:r w:rsidRPr="00B13BCD">
        <w:t xml:space="preserve">, organizations must possess DCs to continuously innovate new services and implement service provision's underlying principles. </w:t>
      </w:r>
    </w:p>
    <w:p w14:paraId="58124BC2" w14:textId="60929344" w:rsidR="0089034F" w:rsidRPr="00B13BCD" w:rsidRDefault="0089034F" w:rsidP="00427835">
      <w:pPr>
        <w:jc w:val="both"/>
      </w:pPr>
      <w:r w:rsidRPr="00B13BCD">
        <w:t xml:space="preserve">This research on the synthesis between innovation in services and innovation in </w:t>
      </w:r>
      <w:r w:rsidR="007F1847">
        <w:t>SD</w:t>
      </w:r>
      <w:r w:rsidRPr="00B13BCD">
        <w:t xml:space="preserve"> contributes to establishing the combination as a DC. The combined constructive interaction working as an operant resource, as defined in the S-D logic, applies itself to the operand resources to deliver customer value. SDI enhances a service firm's ability to develop and improve innovative services. We propose that this DC influences a service firm's CVC.</w:t>
      </w:r>
    </w:p>
    <w:p w14:paraId="5FF6C73C" w14:textId="50F12E3D" w:rsidR="00E97B99" w:rsidRDefault="0089034F" w:rsidP="00427835">
      <w:pPr>
        <w:pStyle w:val="Text"/>
      </w:pPr>
      <w:r w:rsidRPr="00B13BCD">
        <w:t xml:space="preserve">Our contribution to </w:t>
      </w:r>
      <w:r w:rsidRPr="008A4E67">
        <w:t>DCs theory lies in our explicit emphasis on the interaction between SI and SDI as a crucial DC. Much recent work on DCs emphasizes the link between capabilities and S-D logic as shown in Table I below</w:t>
      </w:r>
      <w:r w:rsidR="00E97B99" w:rsidRPr="008A4E67">
        <w:t>.</w:t>
      </w:r>
    </w:p>
    <w:p w14:paraId="197C11BE" w14:textId="77777777" w:rsidR="009E1C18" w:rsidRDefault="009E1C18" w:rsidP="00427835">
      <w:pPr>
        <w:pStyle w:val="Text"/>
      </w:pPr>
    </w:p>
    <w:p w14:paraId="58341D24" w14:textId="71626CEB" w:rsidR="00A51BCC" w:rsidRDefault="009E1C18" w:rsidP="003B516B">
      <w:pPr>
        <w:pStyle w:val="Text"/>
        <w:ind w:firstLine="0"/>
        <w:jc w:val="center"/>
      </w:pPr>
      <w:r w:rsidRPr="00A51BCC">
        <w:t>TABLE I: RESEARCH EXTRACTS ON THE COMBINED THEORIES OF S-D LOGIC AND DYNAMIC CAPABILITIES</w:t>
      </w:r>
    </w:p>
    <w:tbl>
      <w:tblPr>
        <w:tblW w:w="5103" w:type="dxa"/>
        <w:tblLook w:val="04A0" w:firstRow="1" w:lastRow="0" w:firstColumn="1" w:lastColumn="0" w:noHBand="0" w:noVBand="1"/>
      </w:tblPr>
      <w:tblGrid>
        <w:gridCol w:w="1061"/>
        <w:gridCol w:w="4042"/>
      </w:tblGrid>
      <w:tr w:rsidR="00093714" w:rsidRPr="00E97AA4" w14:paraId="54FE5A16" w14:textId="77777777" w:rsidTr="00C46279">
        <w:trPr>
          <w:trHeight w:val="332"/>
        </w:trPr>
        <w:tc>
          <w:tcPr>
            <w:tcW w:w="1061" w:type="dxa"/>
            <w:tcBorders>
              <w:top w:val="single" w:sz="4" w:space="0" w:color="auto"/>
              <w:left w:val="nil"/>
              <w:bottom w:val="single" w:sz="4" w:space="0" w:color="auto"/>
              <w:right w:val="nil"/>
            </w:tcBorders>
            <w:shd w:val="clear" w:color="auto" w:fill="auto"/>
            <w:noWrap/>
            <w:vAlign w:val="center"/>
            <w:hideMark/>
          </w:tcPr>
          <w:p w14:paraId="04DC55E4" w14:textId="77777777" w:rsidR="00093714" w:rsidRPr="00E97AA4" w:rsidRDefault="00093714" w:rsidP="007674BE">
            <w:pPr>
              <w:jc w:val="center"/>
              <w:rPr>
                <w:b/>
                <w:bCs/>
                <w:color w:val="000000"/>
                <w:sz w:val="18"/>
                <w:szCs w:val="18"/>
              </w:rPr>
            </w:pPr>
            <w:bookmarkStart w:id="2" w:name="_Hlk179967818"/>
            <w:r w:rsidRPr="00E97AA4">
              <w:rPr>
                <w:b/>
                <w:bCs/>
                <w:color w:val="000000"/>
                <w:sz w:val="18"/>
                <w:szCs w:val="18"/>
              </w:rPr>
              <w:t>Authors</w:t>
            </w:r>
          </w:p>
        </w:tc>
        <w:tc>
          <w:tcPr>
            <w:tcW w:w="4042" w:type="dxa"/>
            <w:tcBorders>
              <w:top w:val="single" w:sz="4" w:space="0" w:color="auto"/>
              <w:left w:val="nil"/>
              <w:bottom w:val="single" w:sz="4" w:space="0" w:color="auto"/>
              <w:right w:val="nil"/>
            </w:tcBorders>
            <w:shd w:val="clear" w:color="auto" w:fill="auto"/>
            <w:noWrap/>
            <w:vAlign w:val="center"/>
            <w:hideMark/>
          </w:tcPr>
          <w:p w14:paraId="13D7B318" w14:textId="77777777" w:rsidR="00093714" w:rsidRPr="00E97AA4" w:rsidRDefault="00093714" w:rsidP="007674BE">
            <w:pPr>
              <w:jc w:val="center"/>
              <w:rPr>
                <w:b/>
                <w:bCs/>
                <w:color w:val="000000"/>
                <w:sz w:val="18"/>
                <w:szCs w:val="18"/>
              </w:rPr>
            </w:pPr>
            <w:r w:rsidRPr="00E97AA4">
              <w:rPr>
                <w:b/>
                <w:bCs/>
                <w:color w:val="000000"/>
                <w:sz w:val="18"/>
                <w:szCs w:val="18"/>
              </w:rPr>
              <w:t>Key Findings</w:t>
            </w:r>
          </w:p>
        </w:tc>
      </w:tr>
      <w:tr w:rsidR="00093714" w:rsidRPr="00E97AA4" w14:paraId="49C6BE3B" w14:textId="77777777" w:rsidTr="00C46279">
        <w:trPr>
          <w:trHeight w:val="1306"/>
        </w:trPr>
        <w:tc>
          <w:tcPr>
            <w:tcW w:w="1061" w:type="dxa"/>
            <w:tcBorders>
              <w:top w:val="single" w:sz="4" w:space="0" w:color="auto"/>
              <w:left w:val="nil"/>
              <w:bottom w:val="single" w:sz="4" w:space="0" w:color="auto"/>
              <w:right w:val="nil"/>
            </w:tcBorders>
            <w:shd w:val="clear" w:color="auto" w:fill="auto"/>
          </w:tcPr>
          <w:p w14:paraId="3CD2EAF0" w14:textId="0AB9374F" w:rsidR="00093714" w:rsidRPr="00E97AA4" w:rsidRDefault="00C46279" w:rsidP="007674BE">
            <w:pPr>
              <w:rPr>
                <w:color w:val="000000"/>
                <w:sz w:val="18"/>
                <w:szCs w:val="18"/>
              </w:rPr>
            </w:pPr>
            <w:r>
              <w:rPr>
                <w:color w:val="000000"/>
                <w:sz w:val="18"/>
                <w:szCs w:val="18"/>
              </w:rPr>
              <w:t>[11], [49]</w:t>
            </w:r>
          </w:p>
        </w:tc>
        <w:tc>
          <w:tcPr>
            <w:tcW w:w="4042" w:type="dxa"/>
            <w:tcBorders>
              <w:top w:val="single" w:sz="4" w:space="0" w:color="auto"/>
              <w:left w:val="nil"/>
              <w:bottom w:val="single" w:sz="4" w:space="0" w:color="auto"/>
              <w:right w:val="nil"/>
            </w:tcBorders>
            <w:shd w:val="clear" w:color="auto" w:fill="auto"/>
          </w:tcPr>
          <w:p w14:paraId="028BD714" w14:textId="77777777" w:rsidR="00093714" w:rsidRPr="00E97AA4" w:rsidRDefault="00093714" w:rsidP="007674BE">
            <w:pPr>
              <w:jc w:val="both"/>
              <w:rPr>
                <w:color w:val="000000"/>
                <w:sz w:val="18"/>
                <w:szCs w:val="18"/>
              </w:rPr>
            </w:pPr>
            <w:r w:rsidRPr="00E97AA4">
              <w:rPr>
                <w:color w:val="000000"/>
                <w:sz w:val="18"/>
                <w:szCs w:val="18"/>
              </w:rPr>
              <w:t>Operant resources are generally unseen and intangible; they comprise fundamental competences or dynamic capabilities. This developing managerial paradigm sees the client as a source of operant resources for the firm, co-producing exchange value.</w:t>
            </w:r>
          </w:p>
        </w:tc>
      </w:tr>
      <w:tr w:rsidR="00093714" w:rsidRPr="00E97AA4" w14:paraId="6C234EA2" w14:textId="77777777" w:rsidTr="00C46279">
        <w:trPr>
          <w:trHeight w:val="887"/>
        </w:trPr>
        <w:tc>
          <w:tcPr>
            <w:tcW w:w="1061" w:type="dxa"/>
            <w:tcBorders>
              <w:top w:val="single" w:sz="4" w:space="0" w:color="auto"/>
              <w:left w:val="nil"/>
              <w:bottom w:val="single" w:sz="4" w:space="0" w:color="auto"/>
              <w:right w:val="nil"/>
            </w:tcBorders>
            <w:shd w:val="clear" w:color="auto" w:fill="auto"/>
            <w:hideMark/>
          </w:tcPr>
          <w:p w14:paraId="687CBE77" w14:textId="2A2C90A3" w:rsidR="00093714" w:rsidRPr="00E97AA4" w:rsidRDefault="00C46279" w:rsidP="007674BE">
            <w:pPr>
              <w:rPr>
                <w:color w:val="000000"/>
                <w:sz w:val="18"/>
                <w:szCs w:val="18"/>
              </w:rPr>
            </w:pPr>
            <w:r>
              <w:rPr>
                <w:color w:val="000000"/>
                <w:sz w:val="18"/>
                <w:szCs w:val="18"/>
              </w:rPr>
              <w:t>[50]</w:t>
            </w:r>
          </w:p>
        </w:tc>
        <w:tc>
          <w:tcPr>
            <w:tcW w:w="4042" w:type="dxa"/>
            <w:tcBorders>
              <w:top w:val="single" w:sz="4" w:space="0" w:color="auto"/>
              <w:left w:val="nil"/>
              <w:bottom w:val="single" w:sz="4" w:space="0" w:color="auto"/>
              <w:right w:val="nil"/>
            </w:tcBorders>
            <w:shd w:val="clear" w:color="auto" w:fill="auto"/>
            <w:hideMark/>
          </w:tcPr>
          <w:p w14:paraId="14A3D4B1" w14:textId="77777777" w:rsidR="00093714" w:rsidRPr="00E97AA4" w:rsidRDefault="00093714" w:rsidP="007674BE">
            <w:pPr>
              <w:jc w:val="both"/>
              <w:rPr>
                <w:color w:val="000000"/>
                <w:sz w:val="18"/>
                <w:szCs w:val="18"/>
              </w:rPr>
            </w:pPr>
            <w:r w:rsidRPr="00E97AA4">
              <w:rPr>
                <w:color w:val="000000"/>
                <w:sz w:val="18"/>
                <w:szCs w:val="18"/>
              </w:rPr>
              <w:t>Classification of operant and operand resources into seven categories and suggested that all operant resources can be viewed as dynamic capabilities.</w:t>
            </w:r>
          </w:p>
        </w:tc>
      </w:tr>
      <w:tr w:rsidR="00093714" w:rsidRPr="00E97AA4" w14:paraId="203B45FB" w14:textId="77777777" w:rsidTr="00C46279">
        <w:trPr>
          <w:trHeight w:val="987"/>
        </w:trPr>
        <w:tc>
          <w:tcPr>
            <w:tcW w:w="1061" w:type="dxa"/>
            <w:tcBorders>
              <w:top w:val="single" w:sz="4" w:space="0" w:color="auto"/>
              <w:left w:val="nil"/>
              <w:bottom w:val="single" w:sz="4" w:space="0" w:color="auto"/>
              <w:right w:val="nil"/>
            </w:tcBorders>
            <w:shd w:val="clear" w:color="auto" w:fill="auto"/>
            <w:hideMark/>
          </w:tcPr>
          <w:p w14:paraId="218C8FDE" w14:textId="39D5D011" w:rsidR="00093714" w:rsidRPr="00E97AA4" w:rsidRDefault="00C46279" w:rsidP="007674BE">
            <w:pPr>
              <w:rPr>
                <w:color w:val="000000"/>
                <w:sz w:val="18"/>
                <w:szCs w:val="18"/>
              </w:rPr>
            </w:pPr>
            <w:r>
              <w:rPr>
                <w:color w:val="000000"/>
                <w:sz w:val="18"/>
                <w:szCs w:val="18"/>
              </w:rPr>
              <w:t>[12], [35], [51]</w:t>
            </w:r>
          </w:p>
        </w:tc>
        <w:tc>
          <w:tcPr>
            <w:tcW w:w="4042" w:type="dxa"/>
            <w:tcBorders>
              <w:top w:val="single" w:sz="4" w:space="0" w:color="auto"/>
              <w:left w:val="nil"/>
              <w:bottom w:val="single" w:sz="4" w:space="0" w:color="auto"/>
              <w:right w:val="nil"/>
            </w:tcBorders>
            <w:shd w:val="clear" w:color="auto" w:fill="auto"/>
            <w:hideMark/>
          </w:tcPr>
          <w:p w14:paraId="28780A99" w14:textId="77777777" w:rsidR="00093714" w:rsidRPr="00E97AA4" w:rsidRDefault="00093714" w:rsidP="007674BE">
            <w:pPr>
              <w:rPr>
                <w:color w:val="000000"/>
                <w:sz w:val="18"/>
                <w:szCs w:val="18"/>
              </w:rPr>
            </w:pPr>
            <w:r w:rsidRPr="00E97AA4">
              <w:rPr>
                <w:color w:val="000000"/>
                <w:sz w:val="18"/>
                <w:szCs w:val="18"/>
              </w:rPr>
              <w:t xml:space="preserve">Emphasizes on the intricate and dynamic nature of social systems, which offer service, integrate resources, and co-create value. </w:t>
            </w:r>
          </w:p>
        </w:tc>
      </w:tr>
      <w:tr w:rsidR="00093714" w:rsidRPr="00E97AA4" w14:paraId="3DB67ACD" w14:textId="77777777" w:rsidTr="00C46279">
        <w:trPr>
          <w:trHeight w:val="967"/>
        </w:trPr>
        <w:tc>
          <w:tcPr>
            <w:tcW w:w="1061" w:type="dxa"/>
            <w:tcBorders>
              <w:top w:val="single" w:sz="4" w:space="0" w:color="auto"/>
              <w:left w:val="nil"/>
              <w:bottom w:val="single" w:sz="4" w:space="0" w:color="auto"/>
              <w:right w:val="nil"/>
            </w:tcBorders>
            <w:shd w:val="clear" w:color="auto" w:fill="auto"/>
            <w:hideMark/>
          </w:tcPr>
          <w:p w14:paraId="1CF88314" w14:textId="16832C6C" w:rsidR="00093714" w:rsidRPr="00E97AA4" w:rsidRDefault="00C46279" w:rsidP="007674BE">
            <w:pPr>
              <w:rPr>
                <w:color w:val="000000"/>
                <w:sz w:val="18"/>
                <w:szCs w:val="18"/>
              </w:rPr>
            </w:pPr>
            <w:r>
              <w:rPr>
                <w:color w:val="000000"/>
                <w:sz w:val="18"/>
                <w:szCs w:val="18"/>
              </w:rPr>
              <w:t>[52]</w:t>
            </w:r>
          </w:p>
        </w:tc>
        <w:tc>
          <w:tcPr>
            <w:tcW w:w="4042" w:type="dxa"/>
            <w:tcBorders>
              <w:top w:val="single" w:sz="4" w:space="0" w:color="auto"/>
              <w:left w:val="nil"/>
              <w:bottom w:val="single" w:sz="4" w:space="0" w:color="auto"/>
              <w:right w:val="nil"/>
            </w:tcBorders>
            <w:shd w:val="clear" w:color="auto" w:fill="auto"/>
            <w:hideMark/>
          </w:tcPr>
          <w:p w14:paraId="04C96864" w14:textId="77777777" w:rsidR="00093714" w:rsidRPr="00E97AA4" w:rsidRDefault="00093714" w:rsidP="007674BE">
            <w:pPr>
              <w:jc w:val="both"/>
              <w:rPr>
                <w:color w:val="000000"/>
                <w:sz w:val="18"/>
                <w:szCs w:val="18"/>
              </w:rPr>
            </w:pPr>
            <w:r w:rsidRPr="00E97AA4">
              <w:rPr>
                <w:color w:val="000000"/>
                <w:sz w:val="18"/>
                <w:szCs w:val="18"/>
              </w:rPr>
              <w:t>Acknowledges the importance of operant resources such as knowledge and dynamic capacities since these improve the use of resources over time.</w:t>
            </w:r>
          </w:p>
        </w:tc>
      </w:tr>
      <w:tr w:rsidR="00093714" w:rsidRPr="00E97AA4" w14:paraId="030D0ABD" w14:textId="77777777" w:rsidTr="00C46279">
        <w:trPr>
          <w:trHeight w:val="1216"/>
        </w:trPr>
        <w:tc>
          <w:tcPr>
            <w:tcW w:w="1061" w:type="dxa"/>
            <w:tcBorders>
              <w:top w:val="single" w:sz="4" w:space="0" w:color="auto"/>
              <w:left w:val="nil"/>
              <w:bottom w:val="single" w:sz="4" w:space="0" w:color="auto"/>
              <w:right w:val="nil"/>
            </w:tcBorders>
            <w:shd w:val="clear" w:color="auto" w:fill="auto"/>
            <w:hideMark/>
          </w:tcPr>
          <w:p w14:paraId="1C91E656" w14:textId="64DECC78" w:rsidR="00093714" w:rsidRPr="00E97AA4" w:rsidRDefault="00C46279" w:rsidP="007674BE">
            <w:pPr>
              <w:rPr>
                <w:color w:val="000000"/>
                <w:sz w:val="18"/>
                <w:szCs w:val="18"/>
              </w:rPr>
            </w:pPr>
            <w:r>
              <w:rPr>
                <w:sz w:val="18"/>
                <w:szCs w:val="18"/>
              </w:rPr>
              <w:t>[30]</w:t>
            </w:r>
          </w:p>
        </w:tc>
        <w:tc>
          <w:tcPr>
            <w:tcW w:w="4042" w:type="dxa"/>
            <w:tcBorders>
              <w:top w:val="single" w:sz="4" w:space="0" w:color="auto"/>
              <w:left w:val="nil"/>
              <w:bottom w:val="single" w:sz="4" w:space="0" w:color="auto"/>
              <w:right w:val="nil"/>
            </w:tcBorders>
            <w:shd w:val="clear" w:color="auto" w:fill="auto"/>
            <w:hideMark/>
          </w:tcPr>
          <w:p w14:paraId="243E3F3F" w14:textId="77777777" w:rsidR="00093714" w:rsidRPr="00E97AA4" w:rsidRDefault="00093714" w:rsidP="007674BE">
            <w:pPr>
              <w:jc w:val="both"/>
              <w:rPr>
                <w:color w:val="000000"/>
                <w:sz w:val="18"/>
                <w:szCs w:val="18"/>
              </w:rPr>
            </w:pPr>
            <w:r w:rsidRPr="00E97AA4">
              <w:rPr>
                <w:color w:val="000000"/>
                <w:sz w:val="18"/>
                <w:szCs w:val="18"/>
              </w:rPr>
              <w:t>An increasing tendency in the literature on strategic management is the identification and elaboration of the micro-foundations that facilitate the comprehension of "higher-order," more macro-level structures.</w:t>
            </w:r>
          </w:p>
        </w:tc>
      </w:tr>
      <w:tr w:rsidR="00093714" w:rsidRPr="00E97AA4" w14:paraId="1540388C" w14:textId="77777777" w:rsidTr="00C46279">
        <w:trPr>
          <w:trHeight w:val="1306"/>
        </w:trPr>
        <w:tc>
          <w:tcPr>
            <w:tcW w:w="1061" w:type="dxa"/>
            <w:tcBorders>
              <w:top w:val="single" w:sz="4" w:space="0" w:color="auto"/>
              <w:left w:val="nil"/>
              <w:bottom w:val="single" w:sz="4" w:space="0" w:color="auto"/>
              <w:right w:val="nil"/>
            </w:tcBorders>
            <w:shd w:val="clear" w:color="auto" w:fill="auto"/>
          </w:tcPr>
          <w:p w14:paraId="2661A6A4" w14:textId="6E41D717" w:rsidR="00093714" w:rsidRPr="00E97AA4" w:rsidRDefault="00C46279" w:rsidP="007674BE">
            <w:pPr>
              <w:rPr>
                <w:color w:val="000000"/>
                <w:sz w:val="18"/>
                <w:szCs w:val="18"/>
              </w:rPr>
            </w:pPr>
            <w:r>
              <w:rPr>
                <w:sz w:val="18"/>
                <w:szCs w:val="18"/>
              </w:rPr>
              <w:t>[53]</w:t>
            </w:r>
          </w:p>
        </w:tc>
        <w:tc>
          <w:tcPr>
            <w:tcW w:w="4042" w:type="dxa"/>
            <w:tcBorders>
              <w:top w:val="single" w:sz="4" w:space="0" w:color="auto"/>
              <w:left w:val="nil"/>
              <w:bottom w:val="single" w:sz="4" w:space="0" w:color="auto"/>
              <w:right w:val="nil"/>
            </w:tcBorders>
            <w:shd w:val="clear" w:color="auto" w:fill="auto"/>
          </w:tcPr>
          <w:p w14:paraId="0B429AFB" w14:textId="77777777" w:rsidR="00093714" w:rsidRPr="00E97AA4" w:rsidRDefault="00093714" w:rsidP="007674BE">
            <w:pPr>
              <w:jc w:val="both"/>
              <w:rPr>
                <w:color w:val="000000"/>
                <w:sz w:val="18"/>
                <w:szCs w:val="18"/>
              </w:rPr>
            </w:pPr>
            <w:r w:rsidRPr="00E97AA4">
              <w:rPr>
                <w:color w:val="000000"/>
                <w:sz w:val="18"/>
                <w:szCs w:val="18"/>
              </w:rPr>
              <w:t>Dynamic capabilities are configured to meet the actor's strategic direction, and the defining dichotomy is between reacting to changes in the service environment ("being market driven") and proactively changing the service ecosystem ("being market driving").</w:t>
            </w:r>
          </w:p>
        </w:tc>
      </w:tr>
      <w:tr w:rsidR="00093714" w:rsidRPr="00E97AA4" w14:paraId="148F4588" w14:textId="77777777" w:rsidTr="00C46279">
        <w:trPr>
          <w:trHeight w:val="887"/>
        </w:trPr>
        <w:tc>
          <w:tcPr>
            <w:tcW w:w="1061" w:type="dxa"/>
            <w:tcBorders>
              <w:top w:val="single" w:sz="4" w:space="0" w:color="auto"/>
              <w:left w:val="nil"/>
              <w:bottom w:val="single" w:sz="4" w:space="0" w:color="auto"/>
              <w:right w:val="nil"/>
            </w:tcBorders>
            <w:shd w:val="clear" w:color="auto" w:fill="auto"/>
          </w:tcPr>
          <w:p w14:paraId="5BC61086" w14:textId="11CDC657" w:rsidR="00093714" w:rsidRPr="00E97AA4" w:rsidRDefault="00C46279" w:rsidP="007674BE">
            <w:pPr>
              <w:rPr>
                <w:color w:val="000000"/>
                <w:sz w:val="18"/>
                <w:szCs w:val="18"/>
              </w:rPr>
            </w:pPr>
            <w:r>
              <w:rPr>
                <w:sz w:val="18"/>
                <w:szCs w:val="18"/>
              </w:rPr>
              <w:t>[54]</w:t>
            </w:r>
          </w:p>
        </w:tc>
        <w:tc>
          <w:tcPr>
            <w:tcW w:w="4042" w:type="dxa"/>
            <w:tcBorders>
              <w:top w:val="single" w:sz="4" w:space="0" w:color="auto"/>
              <w:left w:val="nil"/>
              <w:bottom w:val="single" w:sz="4" w:space="0" w:color="auto"/>
              <w:right w:val="nil"/>
            </w:tcBorders>
            <w:shd w:val="clear" w:color="auto" w:fill="auto"/>
          </w:tcPr>
          <w:p w14:paraId="5874D153" w14:textId="77777777" w:rsidR="00093714" w:rsidRPr="00E97AA4" w:rsidRDefault="00093714" w:rsidP="007674BE">
            <w:pPr>
              <w:rPr>
                <w:color w:val="000000"/>
                <w:sz w:val="18"/>
                <w:szCs w:val="18"/>
              </w:rPr>
            </w:pPr>
            <w:r w:rsidRPr="00E97AA4">
              <w:rPr>
                <w:color w:val="000000"/>
                <w:sz w:val="18"/>
                <w:szCs w:val="18"/>
              </w:rPr>
              <w:t>Called for development of new resources and capabilities for value creation and innovative solutions in a context of perpetual change.</w:t>
            </w:r>
          </w:p>
        </w:tc>
      </w:tr>
      <w:tr w:rsidR="00093714" w:rsidRPr="00E97AA4" w14:paraId="5B1E85E5" w14:textId="77777777" w:rsidTr="00C46279">
        <w:trPr>
          <w:trHeight w:val="907"/>
        </w:trPr>
        <w:tc>
          <w:tcPr>
            <w:tcW w:w="1061" w:type="dxa"/>
            <w:tcBorders>
              <w:top w:val="single" w:sz="4" w:space="0" w:color="auto"/>
              <w:left w:val="nil"/>
              <w:bottom w:val="single" w:sz="4" w:space="0" w:color="auto"/>
              <w:right w:val="nil"/>
            </w:tcBorders>
            <w:shd w:val="clear" w:color="auto" w:fill="auto"/>
            <w:hideMark/>
          </w:tcPr>
          <w:p w14:paraId="576B26DB" w14:textId="6265B81C" w:rsidR="00093714" w:rsidRPr="00E97AA4" w:rsidRDefault="00C46279" w:rsidP="007674BE">
            <w:pPr>
              <w:rPr>
                <w:color w:val="000000"/>
                <w:sz w:val="18"/>
                <w:szCs w:val="18"/>
              </w:rPr>
            </w:pPr>
            <w:r>
              <w:rPr>
                <w:color w:val="000000"/>
                <w:sz w:val="18"/>
                <w:szCs w:val="18"/>
              </w:rPr>
              <w:t>[38]</w:t>
            </w:r>
          </w:p>
        </w:tc>
        <w:tc>
          <w:tcPr>
            <w:tcW w:w="4042" w:type="dxa"/>
            <w:tcBorders>
              <w:top w:val="single" w:sz="4" w:space="0" w:color="auto"/>
              <w:left w:val="nil"/>
              <w:bottom w:val="single" w:sz="4" w:space="0" w:color="auto"/>
              <w:right w:val="nil"/>
            </w:tcBorders>
            <w:shd w:val="clear" w:color="auto" w:fill="auto"/>
            <w:hideMark/>
          </w:tcPr>
          <w:p w14:paraId="44BE7F18" w14:textId="77777777" w:rsidR="00093714" w:rsidRPr="00E97AA4" w:rsidRDefault="00093714" w:rsidP="007674BE">
            <w:pPr>
              <w:jc w:val="both"/>
              <w:rPr>
                <w:color w:val="000000"/>
                <w:sz w:val="18"/>
                <w:szCs w:val="18"/>
              </w:rPr>
            </w:pPr>
            <w:r w:rsidRPr="00E97AA4">
              <w:rPr>
                <w:color w:val="000000"/>
                <w:sz w:val="18"/>
                <w:szCs w:val="18"/>
              </w:rPr>
              <w:t>Recommended for research integrating dynamic capability and service-dominant logic views.</w:t>
            </w:r>
          </w:p>
        </w:tc>
      </w:tr>
      <w:tr w:rsidR="00093714" w:rsidRPr="00E97AA4" w14:paraId="4A2D6504" w14:textId="77777777" w:rsidTr="00C46279">
        <w:trPr>
          <w:trHeight w:val="1037"/>
        </w:trPr>
        <w:tc>
          <w:tcPr>
            <w:tcW w:w="1061" w:type="dxa"/>
            <w:tcBorders>
              <w:top w:val="single" w:sz="4" w:space="0" w:color="auto"/>
              <w:left w:val="nil"/>
              <w:bottom w:val="single" w:sz="4" w:space="0" w:color="auto"/>
              <w:right w:val="nil"/>
            </w:tcBorders>
            <w:shd w:val="clear" w:color="auto" w:fill="auto"/>
            <w:hideMark/>
          </w:tcPr>
          <w:p w14:paraId="3D039BA7" w14:textId="447FC8BD" w:rsidR="00093714" w:rsidRPr="00E97AA4" w:rsidRDefault="00C46279" w:rsidP="007674BE">
            <w:pPr>
              <w:rPr>
                <w:color w:val="000000"/>
                <w:sz w:val="18"/>
                <w:szCs w:val="18"/>
              </w:rPr>
            </w:pPr>
            <w:r>
              <w:rPr>
                <w:color w:val="000000"/>
                <w:sz w:val="18"/>
                <w:szCs w:val="18"/>
              </w:rPr>
              <w:t>[55]</w:t>
            </w:r>
          </w:p>
        </w:tc>
        <w:tc>
          <w:tcPr>
            <w:tcW w:w="4042" w:type="dxa"/>
            <w:tcBorders>
              <w:top w:val="single" w:sz="4" w:space="0" w:color="auto"/>
              <w:left w:val="nil"/>
              <w:bottom w:val="single" w:sz="4" w:space="0" w:color="auto"/>
              <w:right w:val="nil"/>
            </w:tcBorders>
            <w:shd w:val="clear" w:color="auto" w:fill="auto"/>
            <w:hideMark/>
          </w:tcPr>
          <w:p w14:paraId="4E771A01" w14:textId="77777777" w:rsidR="00093714" w:rsidRPr="00E97AA4" w:rsidRDefault="00093714" w:rsidP="007674BE">
            <w:pPr>
              <w:jc w:val="both"/>
              <w:rPr>
                <w:color w:val="000000"/>
                <w:sz w:val="18"/>
                <w:szCs w:val="18"/>
              </w:rPr>
            </w:pPr>
            <w:r w:rsidRPr="00E97AA4">
              <w:rPr>
                <w:color w:val="000000"/>
                <w:sz w:val="18"/>
                <w:szCs w:val="18"/>
              </w:rPr>
              <w:t>Defined dynamic capabilities as “operant resources, working upon other operand and operant resources that allow actors to systematically influence resource integration and institutions.”</w:t>
            </w:r>
          </w:p>
        </w:tc>
      </w:tr>
      <w:tr w:rsidR="00093714" w:rsidRPr="00E97AA4" w14:paraId="16ADF2EF" w14:textId="77777777" w:rsidTr="00C46279">
        <w:trPr>
          <w:trHeight w:val="687"/>
        </w:trPr>
        <w:tc>
          <w:tcPr>
            <w:tcW w:w="1061" w:type="dxa"/>
            <w:tcBorders>
              <w:top w:val="single" w:sz="4" w:space="0" w:color="auto"/>
              <w:left w:val="nil"/>
              <w:bottom w:val="single" w:sz="4" w:space="0" w:color="auto"/>
              <w:right w:val="nil"/>
            </w:tcBorders>
            <w:shd w:val="clear" w:color="auto" w:fill="auto"/>
            <w:hideMark/>
          </w:tcPr>
          <w:p w14:paraId="4A891D53" w14:textId="4FCF6459" w:rsidR="00093714" w:rsidRPr="00E97AA4" w:rsidRDefault="00C46279" w:rsidP="007674BE">
            <w:pPr>
              <w:rPr>
                <w:color w:val="000000"/>
                <w:sz w:val="18"/>
                <w:szCs w:val="18"/>
              </w:rPr>
            </w:pPr>
            <w:r>
              <w:rPr>
                <w:color w:val="000000"/>
                <w:sz w:val="18"/>
                <w:szCs w:val="18"/>
              </w:rPr>
              <w:t>[56]</w:t>
            </w:r>
          </w:p>
        </w:tc>
        <w:tc>
          <w:tcPr>
            <w:tcW w:w="4042" w:type="dxa"/>
            <w:tcBorders>
              <w:top w:val="single" w:sz="4" w:space="0" w:color="auto"/>
              <w:left w:val="nil"/>
              <w:bottom w:val="single" w:sz="4" w:space="0" w:color="auto"/>
              <w:right w:val="nil"/>
            </w:tcBorders>
            <w:shd w:val="clear" w:color="auto" w:fill="auto"/>
            <w:hideMark/>
          </w:tcPr>
          <w:p w14:paraId="0936CEF3" w14:textId="77777777" w:rsidR="00093714" w:rsidRPr="00E97AA4" w:rsidRDefault="00093714" w:rsidP="007674BE">
            <w:pPr>
              <w:rPr>
                <w:color w:val="000000"/>
                <w:sz w:val="18"/>
                <w:szCs w:val="18"/>
              </w:rPr>
            </w:pPr>
            <w:r w:rsidRPr="00E97AA4">
              <w:rPr>
                <w:color w:val="000000"/>
                <w:sz w:val="18"/>
                <w:szCs w:val="18"/>
              </w:rPr>
              <w:t>Characterized the actors in S-D Logic in four categories depending on their contextual and dynamic facets.</w:t>
            </w:r>
          </w:p>
        </w:tc>
      </w:tr>
      <w:bookmarkEnd w:id="2"/>
    </w:tbl>
    <w:p w14:paraId="3E81C0BD" w14:textId="77777777" w:rsidR="00F14D23" w:rsidRDefault="00F14D23" w:rsidP="00427835">
      <w:pPr>
        <w:pStyle w:val="Text"/>
      </w:pPr>
    </w:p>
    <w:p w14:paraId="31515DCC" w14:textId="7A58D787" w:rsidR="00F14D23" w:rsidRDefault="00F14D23" w:rsidP="00427835">
      <w:pPr>
        <w:pStyle w:val="Text"/>
      </w:pPr>
      <w:r w:rsidRPr="00B13BCD">
        <w:t>In line with the findings and drawing from these observations, we examine the proposed model</w:t>
      </w:r>
      <w:r>
        <w:t>.</w:t>
      </w:r>
    </w:p>
    <w:p w14:paraId="19462257" w14:textId="14C37E9F" w:rsidR="00E97B99" w:rsidRPr="00334008" w:rsidRDefault="00334008" w:rsidP="000F7A33">
      <w:pPr>
        <w:pStyle w:val="Heading1"/>
      </w:pPr>
      <w:r w:rsidRPr="00334008">
        <w:t>CONCEPTUAL FRAMEWORK AND HYPOTHESES DEVELOPMENT</w:t>
      </w:r>
    </w:p>
    <w:p w14:paraId="40FB00C0" w14:textId="77777777" w:rsidR="00F14D23" w:rsidRPr="00B13BCD" w:rsidRDefault="00F14D23" w:rsidP="00427835">
      <w:pPr>
        <w:pStyle w:val="Heading2"/>
        <w:jc w:val="both"/>
      </w:pPr>
      <w:r w:rsidRPr="00B13BCD">
        <w:t>Service Innovation, Customer Value Creation and Customer Satisfaction</w:t>
      </w:r>
    </w:p>
    <w:p w14:paraId="785899F7" w14:textId="4661C1E7" w:rsidR="00F14D23" w:rsidRPr="00B13BCD" w:rsidRDefault="00F14D23" w:rsidP="00427835">
      <w:pPr>
        <w:jc w:val="both"/>
      </w:pPr>
      <w:r w:rsidRPr="00B13BCD">
        <w:t xml:space="preserve">Researchers have argued that firms must innovate to cater to the changing trends, needs, and perceptions of their customers </w:t>
      </w:r>
      <w:r w:rsidRPr="00B13BCD">
        <w:fldChar w:fldCharType="begin" w:fldLock="1"/>
      </w:r>
      <w:r w:rsidRPr="00B13BCD">
        <w:instrText>ADDIN CSL_CITATION {"citationItems":[{"id":"ITEM-1","itemData":{"DOI":"10.1016/j.respol.2006.09.009","ISSN":"00487333","abstract":"How innovators capture value from innovation is an enduring question. Two decades ago an effort was made in \"Profiting from Innovation\" to unlock this conundrum. This paper reflects on the framework offered, identifies and reviews the analytical foundations of the theory, and recognizes subsequent contributions and advancements. Linkages are also made to the strategic management literature on \"resources\" and \"dynamic capabilities\". Elements of a Schumpeterian theory of the firm are outlined, along with a framework to assist management in designing technology commercialization strategies. © 2006.","author":[{"dropping-particle":"","family":"Teece","given":"David J.","non-dropping-particle":"","parse-names":false,"suffix":""}],"container-title":"Research Policy","id":"ITEM-1","issue":"8 SPEC. ISS.","issued":{"date-parts":[["2006"]]},"page":"1131-1146","title":"Reflections on \"Profiting from Innovation\"","type":"article-journal","volume":"35"},"uris":["http://www.mendeley.com/documents/?uuid=63af71c5-1c64-4622-ba1f-266396d712d7"]}],"mendeley":{"formattedCitation":"[49]","plainTextFormattedCitation":"[49]","previouslyFormattedCitation":"[49]"},"properties":{"noteIndex":0},"schema":"https://github.com/citation-style-language/schema/raw/master/csl-citation.json"}</w:instrText>
      </w:r>
      <w:r w:rsidRPr="00B13BCD">
        <w:fldChar w:fldCharType="separate"/>
      </w:r>
      <w:r w:rsidRPr="00B13BCD">
        <w:rPr>
          <w:noProof/>
        </w:rPr>
        <w:t>[</w:t>
      </w:r>
      <w:r w:rsidR="00C46279">
        <w:rPr>
          <w:noProof/>
        </w:rPr>
        <w:t>57</w:t>
      </w:r>
      <w:r w:rsidRPr="00B13BCD">
        <w:rPr>
          <w:noProof/>
        </w:rPr>
        <w:t>]</w:t>
      </w:r>
      <w:r w:rsidRPr="00B13BCD">
        <w:fldChar w:fldCharType="end"/>
      </w:r>
      <w:r w:rsidRPr="00B13BCD">
        <w:t xml:space="preserve">. CVC is also the central idea behind SD logic </w:t>
      </w:r>
      <w:r w:rsidRPr="00B13BCD">
        <w:fldChar w:fldCharType="begin" w:fldLock="1"/>
      </w:r>
      <w:r w:rsidRPr="00B13BCD">
        <w:instrText>ADDIN CSL_CITATION {"citationItems":[{"id":"ITEM-1","itemData":{"DOI":"10.1300/J047v07n04_02","ISBN":"9781446222454","abstract":"Marketing inherited a model of exchange from economics, which had a dominant logic based on the exchange of \"goods,\" which usually are manufactured output. The dominant logic focused on tangible resources, embedded value, and transactions. Over the past several decades, new perspectives have emerged that have a revised logic focused on intangible resources, the cocreation of value, and relationships. The authors believe that the new perspectives are converging to form a new dominant logic for marketing, one in which service provision rather than goods is fundamental to economic exchange. The authors explore this evolving logic and the corresponding shift in perspective for marketing scholars, marketing practitioners, and marketing educators.","author":[{"dropping-particle":"","family":"Vargo","given":"Stephen L.","non-dropping-particle":"","parse-names":false,"suffix":""},{"dropping-particle":"","family":"Lusch","given":"Robert F.","non-dropping-particle":"","parse-names":false,"suffix":""}],"container-title":"The Journal of Marjeting","id":"ITEM-1","issue":"1","issued":{"date-parts":[["2004"]]},"page":"1-17","title":"Evolving to for Logic Marketing","type":"article-journal","volume":"68"},"uris":["http://www.mendeley.com/documents/?uuid=8e1b9ce2-6d62-436e-889c-8191cda66d6b"]}],"mendeley":{"formattedCitation":"[50]","plainTextFormattedCitation":"[50]","previouslyFormattedCitation":"[50]"},"properties":{"noteIndex":0},"schema":"https://github.com/citation-style-language/schema/raw/master/csl-citation.json"}</w:instrText>
      </w:r>
      <w:r w:rsidRPr="00B13BCD">
        <w:fldChar w:fldCharType="separate"/>
      </w:r>
      <w:r w:rsidRPr="00B13BCD">
        <w:rPr>
          <w:noProof/>
        </w:rPr>
        <w:t>[5</w:t>
      </w:r>
      <w:r w:rsidR="00C46279">
        <w:rPr>
          <w:noProof/>
        </w:rPr>
        <w:t>8</w:t>
      </w:r>
      <w:r w:rsidRPr="00B13BCD">
        <w:rPr>
          <w:noProof/>
        </w:rPr>
        <w:t>]</w:t>
      </w:r>
      <w:r w:rsidRPr="00B13BCD">
        <w:fldChar w:fldCharType="end"/>
      </w:r>
      <w:r w:rsidRPr="00B13BCD">
        <w:t xml:space="preserve">, which states that the value-creation process starts when consumption of the service takes place by a customer </w:t>
      </w:r>
      <w:r w:rsidRPr="00B13BCD">
        <w:fldChar w:fldCharType="begin" w:fldLock="1"/>
      </w:r>
      <w:r w:rsidRPr="00B13BCD">
        <w:instrText>ADDIN CSL_CITATION {"citationItems":[{"id":"ITEM-1","itemData":{"DOI":"10.1300/J047v07n04_02","ISBN":"9781446222454","abstract":"Marketing inherited a model of exchange from economics, which had a dominant logic based on the exchange of \"goods,\" which usually are manufactured output. The dominant logic focused on tangible resources, embedded value, and transactions. Over the past several decades, new perspectives have emerged that have a revised logic focused on intangible resources, the cocreation of value, and relationships. The authors believe that the new perspectives are converging to form a new dominant logic for marketing, one in which service provision rather than goods is fundamental to economic exchange. The authors explore this evolving logic and the corresponding shift in perspective for marketing scholars, marketing practitioners, and marketing educators.","author":[{"dropping-particle":"","family":"Vargo","given":"Stephen L.","non-dropping-particle":"","parse-names":false,"suffix":""},{"dropping-particle":"","family":"Lusch","given":"Robert F.","non-dropping-particle":"","parse-names":false,"suffix":""}],"container-title":"The Journal of Marjeting","id":"ITEM-1","issue":"1","issued":{"date-parts":[["2004"]]},"page":"1-17","title":"Evolving to for Logic Marketing","type":"article-journal","volume":"68"},"uris":["http://www.mendeley.com/documents/?uuid=8e1b9ce2-6d62-436e-889c-8191cda66d6b"]},{"id":"ITEM-2","itemData":{"ISSN":"1552-7824","author":[{"dropping-particle":"","family":"Payne","given":"Adrian F","non-dropping-particle":"","parse-names":false,"suffix":""},{"dropping-particle":"","family":"Storbacka","given":"Kaj","non-dropping-particle":"","parse-names":false,"suffix":""},{"dropping-particle":"","family":"Frow","given":"Pennie","non-dropping-particle":"","parse-names":false,"suffix":""}],"container-title":"Journal of the academy of marketing science","id":"ITEM-2","issue":"1","issued":{"date-parts":[["2008"]]},"page":"83-96","publisher":"Springer","title":"Managing the co-creation of value","type":"article-journal","volume":"36"},"uris":["http://www.mendeley.com/documents/?uuid=96dc9e28-38b7-4e95-a972-df0e512bbcec"]}],"mendeley":{"formattedCitation":"[50], [51]","plainTextFormattedCitation":"[50], [51]","previouslyFormattedCitation":"[50], [51]"},"properties":{"noteIndex":0},"schema":"https://github.com/citation-style-language/schema/raw/master/csl-citation.json"}</w:instrText>
      </w:r>
      <w:r w:rsidRPr="00B13BCD">
        <w:fldChar w:fldCharType="separate"/>
      </w:r>
      <w:r w:rsidRPr="00B13BCD">
        <w:rPr>
          <w:noProof/>
        </w:rPr>
        <w:t>[5</w:t>
      </w:r>
      <w:r w:rsidR="00C46279">
        <w:rPr>
          <w:noProof/>
        </w:rPr>
        <w:t>8</w:t>
      </w:r>
      <w:r w:rsidRPr="00B13BCD">
        <w:rPr>
          <w:noProof/>
        </w:rPr>
        <w:t>], [5</w:t>
      </w:r>
      <w:r w:rsidR="00C46279">
        <w:rPr>
          <w:noProof/>
        </w:rPr>
        <w:t>9</w:t>
      </w:r>
      <w:r w:rsidRPr="00B13BCD">
        <w:rPr>
          <w:noProof/>
        </w:rPr>
        <w:t>]</w:t>
      </w:r>
      <w:r w:rsidRPr="00B13BCD">
        <w:fldChar w:fldCharType="end"/>
      </w:r>
      <w:r w:rsidRPr="00B13BCD">
        <w:t xml:space="preserve">. SD logic suggests a way of thinking about value in terms of the benefits for the beneficiary (e.g., the customer) and highlights that value creation occurs in the customer's realm, rather than solely within the firm </w:t>
      </w:r>
      <w:r w:rsidRPr="00B13BCD">
        <w:fldChar w:fldCharType="begin" w:fldLock="1"/>
      </w:r>
      <w:r w:rsidRPr="00B13BCD">
        <w:instrText>ADDIN CSL_CITATION {"citationItems":[{"id":"ITEM-1","itemData":{"ISSN":"0965-254X","author":[{"dropping-particle":"","family":"Wieland","given":"Heiko","non-dropping-particle":"","parse-names":false,"suffix":""},{"dropping-particle":"","family":"Koskela-Huotari","given":"Kaisa","non-dropping-particle":"","parse-names":false,"suffix":""},{"dropping-particle":"","family":"Vargo","given":"Stephen L","non-dropping-particle":"","parse-names":false,"suffix":""}],"container-title":"Journal of Strategic Marketing","id":"ITEM-1","issue":"3-4","issued":{"date-parts":[["2016"]]},"page":"210-226","publisher":"Taylor &amp; Francis","title":"Extending actor participation in value creation: an institutional view","type":"article-journal","volume":"24"},"uris":["http://www.mendeley.com/documents/?uuid=7150784c-3d8f-49e3-b44c-690b334316ad"]}],"mendeley":{"formattedCitation":"[12]","plainTextFormattedCitation":"[12]","previouslyFormattedCitation":"[12]"},"properties":{"noteIndex":0},"schema":"https://github.com/citation-style-language/schema/raw/master/csl-citation.json"}</w:instrText>
      </w:r>
      <w:r w:rsidRPr="00B13BCD">
        <w:fldChar w:fldCharType="separate"/>
      </w:r>
      <w:r w:rsidRPr="00B13BCD">
        <w:rPr>
          <w:noProof/>
        </w:rPr>
        <w:t>[12]</w:t>
      </w:r>
      <w:r w:rsidRPr="00B13BCD">
        <w:fldChar w:fldCharType="end"/>
      </w:r>
      <w:r w:rsidRPr="00B13BCD">
        <w:t xml:space="preserve">, providing an alternative to the concept of circularity </w:t>
      </w:r>
      <w:r w:rsidRPr="00B13BCD">
        <w:fldChar w:fldCharType="begin" w:fldLock="1"/>
      </w:r>
      <w:r w:rsidRPr="00B13BCD">
        <w:instrText>ADDIN CSL_CITATION {"citationItems":[{"id":"ITEM-1","itemData":{"ISSN":"2730-597X","author":[{"dropping-particle":"","family":"Vargo","given":"Stephen L","non-dropping-particle":"","parse-names":false,"suffix":""}],"container-title":"Circular Economy and Sustainability","id":"ITEM-1","issue":"1","issued":{"date-parts":[["2021"]]},"page":"257-260","publisher":"Springer","title":"Beyond circularity—A Service-dominant (SD) logic perspective","type":"article-journal","volume":"1"},"uris":["http://www.mendeley.com/documents/?uuid=c86559db-c7dd-44ca-adea-4767cb2271ea"]}],"mendeley":{"formattedCitation":"[14]","plainTextFormattedCitation":"[14]","previouslyFormattedCitation":"[14]"},"properties":{"noteIndex":0},"schema":"https://github.com/citation-style-language/schema/raw/master/csl-citation.json"}</w:instrText>
      </w:r>
      <w:r w:rsidRPr="00B13BCD">
        <w:fldChar w:fldCharType="separate"/>
      </w:r>
      <w:r w:rsidRPr="00B13BCD">
        <w:rPr>
          <w:noProof/>
        </w:rPr>
        <w:t>[14]</w:t>
      </w:r>
      <w:r w:rsidRPr="00B13BCD">
        <w:fldChar w:fldCharType="end"/>
      </w:r>
      <w:r w:rsidRPr="00B13BCD">
        <w:t xml:space="preserve">. </w:t>
      </w:r>
    </w:p>
    <w:p w14:paraId="7A179F39" w14:textId="29B5C691" w:rsidR="00F14D23" w:rsidRPr="00B13BCD" w:rsidRDefault="00F14D23" w:rsidP="00427835">
      <w:pPr>
        <w:jc w:val="both"/>
      </w:pPr>
      <w:r w:rsidRPr="00B13BCD">
        <w:t xml:space="preserve">In today's challenging markets, CS is no longer adequate, and businesses must grasp service design to innovate successfully </w:t>
      </w:r>
      <w:r w:rsidRPr="00B13BCD">
        <w:lastRenderedPageBreak/>
        <w:t xml:space="preserve">with SI being the “new ticket” </w:t>
      </w:r>
      <w:r w:rsidRPr="00B13BCD">
        <w:fldChar w:fldCharType="begin" w:fldLock="1"/>
      </w:r>
      <w:r w:rsidRPr="00B13BCD">
        <w:instrText>ADDIN CSL_CITATION {"citationItems":[{"id":"ITEM-1","itemData":{"ISSN":"1757-5818","author":[{"dropping-particle":"","family":"Andreassen","given":"Tor Wallin","non-dropping-particle":"","parse-names":false,"suffix":""},{"dropping-particle":"","family":"Kristensson","given":"Per","non-dropping-particle":"","parse-names":false,"suffix":""},{"dropping-particle":"","family":"Lervik-Olsen","given":"Line","non-dropping-particle":"","parse-names":false,"suffix":""},{"dropping-particle":"","family":"Parasuraman","given":"Ananthanarayanan","non-dropping-particle":"","parse-names":false,"suffix":""},{"dropping-particle":"","family":"McColl-Kennedy","given":"Janet R","non-dropping-particle":"","parse-names":false,"suffix":""},{"dropping-particle":"","family":"Edvardsson","given":"Bo","non-dropping-particle":"","parse-names":false,"suffix":""},{"dropping-particle":"","family":"Colurcio","given":"Maria","non-dropping-particle":"","parse-names":false,"suffix":""}],"container-title":"Journal of Service Management","id":"ITEM-1","issued":{"date-parts":[["2016"]]},"publisher":"Emerald Group Publishing Limited","title":"Linking service design to value creation and service research","type":"article-journal"},"uris":["http://www.mendeley.com/documents/?uuid=61db0084-7c56-4e30-9a92-57dfd2cd2631"]}],"mendeley":{"formattedCitation":"[52]","plainTextFormattedCitation":"[52]","previouslyFormattedCitation":"[52]"},"properties":{"noteIndex":0},"schema":"https://github.com/citation-style-language/schema/raw/master/csl-citation.json"}</w:instrText>
      </w:r>
      <w:r w:rsidRPr="00B13BCD">
        <w:fldChar w:fldCharType="separate"/>
      </w:r>
      <w:r w:rsidRPr="00B13BCD">
        <w:rPr>
          <w:noProof/>
        </w:rPr>
        <w:t>[</w:t>
      </w:r>
      <w:r w:rsidR="00C46279">
        <w:rPr>
          <w:noProof/>
        </w:rPr>
        <w:t>60</w:t>
      </w:r>
      <w:r w:rsidRPr="00B13BCD">
        <w:rPr>
          <w:noProof/>
        </w:rPr>
        <w:t>]</w:t>
      </w:r>
      <w:r w:rsidRPr="00B13BCD">
        <w:fldChar w:fldCharType="end"/>
      </w:r>
      <w:r w:rsidRPr="00B13BCD">
        <w:t xml:space="preserve">. The evaluation of the performance of the service against a perceived standard satisfies or dissatisfies a customer </w:t>
      </w:r>
      <w:r w:rsidRPr="00B13BCD">
        <w:fldChar w:fldCharType="begin" w:fldLock="1"/>
      </w:r>
      <w:r w:rsidRPr="00B13BCD">
        <w:instrText>ADDIN CSL_CITATION {"citationItems":[{"id":"ITEM-1","itemData":{"DOI":"10.1016/S0019-8501(96)00112-5","ISSN":"00198501","abstract":"Relationship marketing is critical to both researchers and practitioners because it addresses issues aimed at retaining customers. Strategic customer retention is problematic and requires information from customers concerning: (1) what they value (need) now, (2) their satisfaction with suppliers' abilities to deliver that value, and (3) how their perceptions of value are changing. Currently there is little theoretical understanding of, and thus less than perfect normative advice for dealing with, the third issue. This article addresses this gap by presenting an argument for developing a customer value change theory and proposing a model that incorporates those events likely to trigger changes in three forms of value: values, desired value, and value judgements. The concepts presented build on current business efforts to predict what customers will want in the future, as well as on customer satisfaction and value research. © Elsevier Science Inc., 1997.","author":[{"dropping-particle":"","family":"Flint","given":"Daniel J.","non-dropping-particle":"","parse-names":false,"suffix":""},{"dropping-particle":"","family":"Woodruff","given":"Robert B.","non-dropping-particle":"","parse-names":false,"suffix":""},{"dropping-particle":"","family":"Gardial","given":"Sarah Fisher","non-dropping-particle":"","parse-names":false,"suffix":""}],"container-title":"Industrial Marketing Management","id":"ITEM-1","issue":"2","issued":{"date-parts":[["1997"]]},"page":"163-175","title":"Customer value change in industrial marketing relationships: A call for new strategies and research","type":"article-journal","volume":"26"},"uris":["http://www.mendeley.com/documents/?uuid=362f69e8-2607-468e-aee3-521b3a75ab0e"]}],"mendeley":{"formattedCitation":"[53]","plainTextFormattedCitation":"[53]","previouslyFormattedCitation":"[53]"},"properties":{"noteIndex":0},"schema":"https://github.com/citation-style-language/schema/raw/master/csl-citation.json"}</w:instrText>
      </w:r>
      <w:r w:rsidRPr="00B13BCD">
        <w:fldChar w:fldCharType="separate"/>
      </w:r>
      <w:r w:rsidRPr="00B13BCD">
        <w:rPr>
          <w:noProof/>
        </w:rPr>
        <w:t>[</w:t>
      </w:r>
      <w:r w:rsidR="00C46279">
        <w:rPr>
          <w:noProof/>
        </w:rPr>
        <w:t>61</w:t>
      </w:r>
      <w:r w:rsidRPr="00B13BCD">
        <w:rPr>
          <w:noProof/>
        </w:rPr>
        <w:t>]</w:t>
      </w:r>
      <w:r w:rsidRPr="00B13BCD">
        <w:fldChar w:fldCharType="end"/>
      </w:r>
      <w:r w:rsidRPr="00B13BCD">
        <w:t xml:space="preserve">. The theoretical underpinning of CS with respect to CVC has been studied and empirically confirmed </w:t>
      </w:r>
      <w:r w:rsidRPr="00B13BCD">
        <w:fldChar w:fldCharType="begin" w:fldLock="1"/>
      </w:r>
      <w:r w:rsidRPr="00B13BCD">
        <w:instrText>ADDIN CSL_CITATION {"citationItems":[{"id":"ITEM-1","itemData":{"DOI":"10.1016/j.chb.2009.03.003","ISSN":"07475632","abstract":"The purposes of this study are to construct an instrument to evaluate service quality of mobile value-added services and have a further discussion of the relationships among service quality, perceived value, customer satisfaction, and post-purchase intention. Structural equation modeling and multiple regression analysis were used to analyze the data collected from college and graduate students of 15 major universities in Taiwan. The main findings are as follows: (1) service quality positively influences both perceived value and customer satisfaction; (2) perceived value positively influences on both customer satisfaction and post-purchase intention; (3) customer satisfaction positively influences post-purchase intention; (4) service quality has an indirect positive influence on post-purchase intention through customer satisfaction or perceived value; (5) among the dimensions of service quality, \"customer service and system reliability\" is most influential on perceived value and customer satisfaction, and the influence of \"content quality\" ranks second; (6) the proposed model is proven with the effectiveness in explaining the relationships among service quality, perceived value, customer satisfaction, and post-purchase intention in mobile added-value services. © 2009 Elsevier Ltd. All rights reserved.","author":[{"dropping-particle":"","family":"Kuo","given":"Ying Feng","non-dropping-particle":"","parse-names":false,"suffix":""},{"dropping-particle":"","family":"Wu","given":"Chi Ming","non-dropping-particle":"","parse-names":false,"suffix":""},{"dropping-particle":"","family":"Deng","given":"Wei Jaw","non-dropping-particle":"","parse-names":false,"suffix":""}],"container-title":"Computers in Human Behavior","id":"ITEM-1","issue":"4","issued":{"date-parts":[["2009"]]},"page":"887-896","title":"The relationships among service quality, perceived value, customer satisfaction, and post-purchase intention in mobile value-added services","type":"article","volume":"25"},"uris":["http://www.mendeley.com/documents/?uuid=ece0f113-ebdd-4dd0-abdf-abb5ff12c7bb"]},{"id":"ITEM-2","itemData":{"DOI":"10.1016/j.telpol.2005.10.003","ISSN":"03085961","abstract":"While customer satisfaction and loyalty regarding most physical goods and services have been well explored in academic literature, there exists little research on these factors with respect to mobile telecommunications services. Nevertheless, standardized satisfaction measures are suggested to be useful for various telecom-industry stakeholders. However, such a global standard measure of satisfaction with mobile services does not exist. This study taps into these voids and examines the antecedents of customer satisfaction and loyalty through an empirical investigation of 210 young adult cellular subscribers in Canada by adapting the American Customer Satisfaction Model. Based on this model, the satisfaction index of young adult Canadians was calculated. Overall, this study offers insights for service providers, policymakers and subscribers; and forms the foundation for future benchmarking of the performance of wireless network operators in terms of user satisfaction and loyalty. © 2006.","author":[{"dropping-particle":"","family":"Turel","given":"Ofir","non-dropping-particle":"","parse-names":false,"suffix":""},{"dropping-particle":"","family":"Serenko","given":"Alexander","non-dropping-particle":"","parse-names":false,"suffix":""}],"container-title":"Telecommunications Policy","id":"ITEM-2","issue":"5-6","issued":{"date-parts":[["2006"]]},"page":"314-331","title":"Satisfaction with mobile services in Canada: An empirical investigation","type":"article-journal","volume":"30"},"uris":["http://www.mendeley.com/documents/?uuid=2f3fd7f6-4465-490d-83cc-455c570d981e"]}],"mendeley":{"formattedCitation":"[54], [55]","manualFormatting":"[62] ","plainTextFormattedCitation":"[54], [55]","previouslyFormattedCitation":"[54], [55]"},"properties":{"noteIndex":0},"schema":"https://github.com/citation-style-language/schema/raw/master/csl-citation.json"}</w:instrText>
      </w:r>
      <w:r w:rsidRPr="00B13BCD">
        <w:fldChar w:fldCharType="separate"/>
      </w:r>
      <w:r w:rsidRPr="00B13BCD">
        <w:rPr>
          <w:noProof/>
        </w:rPr>
        <w:t>[62]</w:t>
      </w:r>
      <w:r w:rsidRPr="00B13BCD" w:rsidDel="001245D8">
        <w:rPr>
          <w:noProof/>
        </w:rPr>
        <w:t xml:space="preserve"> </w:t>
      </w:r>
      <w:r w:rsidRPr="00B13BCD">
        <w:fldChar w:fldCharType="end"/>
      </w:r>
      <w:r w:rsidRPr="00B13BCD">
        <w:t>. In the customer’s assessment, value creation needs to take place to have CS. Since SI creates value, and greater value leaves customers more satisfied, we posit that:</w:t>
      </w:r>
    </w:p>
    <w:p w14:paraId="77444FB4" w14:textId="77777777" w:rsidR="00F14D23" w:rsidRPr="00B13BCD" w:rsidRDefault="00F14D23" w:rsidP="00427835">
      <w:pPr>
        <w:jc w:val="both"/>
        <w:rPr>
          <w:i/>
          <w:iCs/>
        </w:rPr>
      </w:pPr>
      <w:r w:rsidRPr="00B13BCD">
        <w:rPr>
          <w:i/>
          <w:iCs/>
        </w:rPr>
        <w:t>H1: Customer value creation mediates the relationship between service innovation and customer satisfaction, within the framework of circular economy.</w:t>
      </w:r>
    </w:p>
    <w:p w14:paraId="12B2B24A" w14:textId="77777777" w:rsidR="00F14D23" w:rsidRPr="00B13BCD" w:rsidRDefault="00F14D23" w:rsidP="00427835">
      <w:pPr>
        <w:pStyle w:val="Heading2"/>
        <w:jc w:val="both"/>
      </w:pPr>
      <w:r w:rsidRPr="00B13BCD">
        <w:t>Customer Value Creation, Customer Satisfaction and Customer Loyalty</w:t>
      </w:r>
    </w:p>
    <w:p w14:paraId="6C6E8B22" w14:textId="33ADEC76" w:rsidR="00F14D23" w:rsidRPr="00B13BCD" w:rsidRDefault="00F14D23" w:rsidP="00427835">
      <w:pPr>
        <w:jc w:val="both"/>
      </w:pPr>
      <w:r w:rsidRPr="00B13BCD">
        <w:t xml:space="preserve">Value can be enhanced by applying CE business strategies of “slowing resource loops” or “closing loops” comprising of extending product value or extending resource value respectively </w:t>
      </w:r>
      <w:r w:rsidRPr="00B13BCD">
        <w:fldChar w:fldCharType="begin" w:fldLock="1"/>
      </w:r>
      <w:r w:rsidRPr="00B13BCD">
        <w:instrText>ADDIN CSL_CITATION {"citationItems":[{"id":"ITEM-1","itemData":{"ISSN":"0959-6526","author":[{"dropping-particle":"","family":"Merli","given":"Roberto","non-dropping-particle":"","parse-names":false,"suffix":""},{"dropping-particle":"","family":"Preziosi","given":"Michele","non-dropping-particle":"","parse-names":false,"suffix":""},{"dropping-particle":"","family":"Acampora","given":"Alessia","non-dropping-particle":"","parse-names":false,"suffix":""}],"container-title":"Journal of cleaner production","id":"ITEM-1","issued":{"date-parts":[["2018"]]},"page":"703-722","publisher":"Elsevier","title":"How do scholars approach the circular economy? A systematic literature review","type":"article-journal","volume":"178"},"uris":["http://www.mendeley.com/documents/?uuid=3e42aad2-50d5-45af-ae8b-59ab7c86a4d7"]}],"mendeley":{"formattedCitation":"[4]","plainTextFormattedCitation":"[4]","previouslyFormattedCitation":"[4]"},"properties":{"noteIndex":0},"schema":"https://github.com/citation-style-language/schema/raw/master/csl-citation.json"}</w:instrText>
      </w:r>
      <w:r w:rsidRPr="00B13BCD">
        <w:fldChar w:fldCharType="separate"/>
      </w:r>
      <w:r w:rsidRPr="00B13BCD">
        <w:rPr>
          <w:noProof/>
        </w:rPr>
        <w:t>[4]</w:t>
      </w:r>
      <w:r w:rsidRPr="00B13BCD">
        <w:fldChar w:fldCharType="end"/>
      </w:r>
      <w:r w:rsidRPr="00B13BCD">
        <w:t xml:space="preserve">, thus enhancing the experience. In the CE, consumers actively close loops, resulting in more circular touch points between the company and consumers throughout multiple interactions and an extended customer experience </w:t>
      </w:r>
      <w:r w:rsidRPr="00B13BCD">
        <w:fldChar w:fldCharType="begin" w:fldLock="1"/>
      </w:r>
      <w:r w:rsidRPr="00B13BCD">
        <w:instrText>ADDIN CSL_CITATION {"citationItems":[{"id":"ITEM-1","itemData":{"ISSN":"0959-6526","author":[{"dropping-particle":"","family":"Boerdonk","given":"P J M","non-dropping-particle":"Van","parse-names":false,"suffix":""},{"dropping-particle":"","family":"Krikke","given":"H R","non-dropping-particle":"","parse-names":false,"suffix":""},{"dropping-particle":"","family":"Lambrechts","given":"WDBHM","non-dropping-particle":"","parse-names":false,"suffix":""}],"container-title":"Journal of cleaner production","id":"ITEM-1","issued":{"date-parts":[["2021"]]},"page":"125375","publisher":"Elsevier","title":"New business models in circular economy: A multiple case study into touch points creating customer values in health care","type":"article-journal","volume":"282"},"uris":["http://www.mendeley.com/documents/?uuid=1038b707-76a4-4a4a-8368-de55103169b4"]}],"mendeley":{"formattedCitation":"[56]","plainTextFormattedCitation":"[56]","previouslyFormattedCitation":"[56]"},"properties":{"noteIndex":0},"schema":"https://github.com/citation-style-language/schema/raw/master/csl-citation.json"}</w:instrText>
      </w:r>
      <w:r w:rsidRPr="00B13BCD">
        <w:fldChar w:fldCharType="separate"/>
      </w:r>
      <w:r w:rsidRPr="00B13BCD">
        <w:rPr>
          <w:noProof/>
        </w:rPr>
        <w:t>[</w:t>
      </w:r>
      <w:r w:rsidR="00D36324">
        <w:rPr>
          <w:noProof/>
        </w:rPr>
        <w:t>64</w:t>
      </w:r>
      <w:r w:rsidRPr="00B13BCD">
        <w:rPr>
          <w:noProof/>
        </w:rPr>
        <w:t>]</w:t>
      </w:r>
      <w:r w:rsidRPr="00B13BCD">
        <w:fldChar w:fldCharType="end"/>
      </w:r>
      <w:r w:rsidRPr="00B13BCD">
        <w:t xml:space="preserve">. This experience may also combine with the buying process due to which the product or service was used </w:t>
      </w:r>
      <w:r w:rsidRPr="00B13BCD">
        <w:fldChar w:fldCharType="begin" w:fldLock="1"/>
      </w:r>
      <w:r w:rsidRPr="00B13BCD">
        <w:instrText>ADDIN CSL_CITATION {"citationItems":[{"id":"ITEM-1","itemData":{"ISSN":"0040-1625","author":[{"dropping-particle":"","family":"Pham","given":"Thi Song Hanh","non-dropping-particle":"","parse-names":false,"suffix":""},{"dropping-particle":"","family":"Ahammad","given":"Mohammad Faisal","non-dropping-particle":"","parse-names":false,"suffix":""}],"container-title":"Technological Forecasting and Social Change","id":"ITEM-1","issued":{"date-parts":[["2017"]]},"page":"332-342","publisher":"Elsevier","title":"Antecedents and consequences of online customer satisfaction: A holistic process perspective","type":"article-journal","volume":"124"},"uris":["http://www.mendeley.com/documents/?uuid=7e2b6a3a-7f3b-476b-921f-aaa9a2f852c5"]}],"mendeley":{"formattedCitation":"[57]","plainTextFormattedCitation":"[57]","previouslyFormattedCitation":"[57]"},"properties":{"noteIndex":0},"schema":"https://github.com/citation-style-language/schema/raw/master/csl-citation.json"}</w:instrText>
      </w:r>
      <w:r w:rsidRPr="00B13BCD">
        <w:fldChar w:fldCharType="separate"/>
      </w:r>
      <w:r w:rsidRPr="00B13BCD">
        <w:rPr>
          <w:noProof/>
        </w:rPr>
        <w:t>[</w:t>
      </w:r>
      <w:r w:rsidR="00D36324">
        <w:rPr>
          <w:noProof/>
        </w:rPr>
        <w:t>65</w:t>
      </w:r>
      <w:r w:rsidRPr="00B13BCD">
        <w:rPr>
          <w:noProof/>
        </w:rPr>
        <w:t>]</w:t>
      </w:r>
      <w:r w:rsidRPr="00B13BCD">
        <w:fldChar w:fldCharType="end"/>
      </w:r>
      <w:r w:rsidRPr="00B13BCD">
        <w:t xml:space="preserve">. Characterizations based on outcomes regard service experience as an antecedent or result of other dimensions </w:t>
      </w:r>
      <w:r w:rsidRPr="00B13BCD">
        <w:fldChar w:fldCharType="begin" w:fldLock="1"/>
      </w:r>
      <w:r w:rsidRPr="00B13BCD">
        <w:instrText>ADDIN CSL_CITATION {"citationItems":[{"id":"ITEM-1","itemData":{"ISSN":"1757-5818","author":[{"dropping-particle":"","family":"Jaakkola","given":"Elina","non-dropping-particle":"","parse-names":false,"suffix":""},{"dropping-particle":"","family":"Helkkula","given":"Anu","non-dropping-particle":"","parse-names":false,"suffix":""},{"dropping-particle":"","family":"Aarikka-Stenroos","given":"Leena","non-dropping-particle":"","parse-names":false,"suffix":""}],"container-title":"Journal of Service Management","id":"ITEM-1","issued":{"date-parts":[["2015"]]},"publisher":"Emerald Group Publishing Limited","title":"Service experience co-creation: conceptualization, implications, and future research directions","type":"article-journal"},"uris":["http://www.mendeley.com/documents/?uuid=de8ae708-b3a2-4ad3-8bd6-775f4be9394c"]}],"mendeley":{"formattedCitation":"[58]","plainTextFormattedCitation":"[58]","previouslyFormattedCitation":"[58]"},"properties":{"noteIndex":0},"schema":"https://github.com/citation-style-language/schema/raw/master/csl-citation.json"}</w:instrText>
      </w:r>
      <w:r w:rsidRPr="00B13BCD">
        <w:fldChar w:fldCharType="separate"/>
      </w:r>
      <w:r w:rsidRPr="00B13BCD">
        <w:rPr>
          <w:noProof/>
        </w:rPr>
        <w:t>[</w:t>
      </w:r>
      <w:r w:rsidR="00D36324">
        <w:rPr>
          <w:noProof/>
        </w:rPr>
        <w:t>66</w:t>
      </w:r>
      <w:r w:rsidRPr="00B13BCD">
        <w:rPr>
          <w:noProof/>
        </w:rPr>
        <w:t>]</w:t>
      </w:r>
      <w:r w:rsidRPr="00B13BCD">
        <w:fldChar w:fldCharType="end"/>
      </w:r>
      <w:r w:rsidRPr="00B13BCD">
        <w:t xml:space="preserve">, such as CS, CL, and positive word-of-mouth </w:t>
      </w:r>
      <w:r w:rsidRPr="00B13BCD">
        <w:fldChar w:fldCharType="begin" w:fldLock="1"/>
      </w:r>
      <w:r w:rsidRPr="00B13BCD">
        <w:instrText>ADDIN CSL_CITATION {"citationItems":[{"id":"ITEM-1","itemData":{"author":[{"dropping-particle":"","family":"Klaus","given":"Philipp","non-dropping-particle":"","parse-names":false,"suffix":""},{"dropping-particle":"","family":"Edvardsson","given":"B","non-dropping-particle":"","parse-names":false,"suffix":""},{"dropping-particle":"","family":"Maklan","given":"S","non-dropping-particle":"","parse-names":false,"suffix":""}],"container-title":"12th International Research Conference in Service Management, La Londe les Maures, France","id":"ITEM-1","issued":{"date-parts":[["2012"]]},"title":"Developing a typology of customer experience management practice–from preservers to vanguards","type":"paper-conference"},"uris":["http://www.mendeley.com/documents/?uuid=75a78efb-9e0a-4a75-bc93-71b53debdeb7"]}],"mendeley":{"formattedCitation":"[59]","plainTextFormattedCitation":"[59]","previouslyFormattedCitation":"[59]"},"properties":{"noteIndex":0},"schema":"https://github.com/citation-style-language/schema/raw/master/csl-citation.json"}</w:instrText>
      </w:r>
      <w:r w:rsidRPr="00B13BCD">
        <w:fldChar w:fldCharType="separate"/>
      </w:r>
      <w:r w:rsidRPr="00B13BCD">
        <w:rPr>
          <w:noProof/>
        </w:rPr>
        <w:t>[</w:t>
      </w:r>
      <w:r w:rsidR="00D36324">
        <w:rPr>
          <w:noProof/>
        </w:rPr>
        <w:t>67</w:t>
      </w:r>
      <w:r w:rsidRPr="00B13BCD">
        <w:rPr>
          <w:noProof/>
        </w:rPr>
        <w:t>]</w:t>
      </w:r>
      <w:r w:rsidRPr="00B13BCD">
        <w:fldChar w:fldCharType="end"/>
      </w:r>
      <w:r w:rsidRPr="00B13BCD">
        <w:t xml:space="preserve">. </w:t>
      </w:r>
    </w:p>
    <w:p w14:paraId="67DC97C7" w14:textId="5A9B102F" w:rsidR="00F14D23" w:rsidRPr="00B13BCD" w:rsidRDefault="00F14D23" w:rsidP="00427835">
      <w:pPr>
        <w:jc w:val="both"/>
      </w:pPr>
      <w:r w:rsidRPr="00B13BCD">
        <w:t xml:space="preserve">CL has been defined as “a deeply held commitment to rebuy or re-patronize a preferred product or service consistently in the future, thereby causing repetitive same-brand or same-brand-set purchasing, despite situational influences and marketing efforts having the potential to cause switching behavior” </w:t>
      </w:r>
      <w:r w:rsidRPr="00B13BCD">
        <w:fldChar w:fldCharType="begin" w:fldLock="1"/>
      </w:r>
      <w:r w:rsidRPr="00B13BCD">
        <w:instrText>ADDIN CSL_CITATION {"citationItems":[{"id":"ITEM-1","itemData":{"DOI":"10.2307/1252099","ISSN":"00222429","abstract":"Both practitioners and academics understand that consumer loyalty and satisfaction are linked inextricably.They also understand that this relation is asymmetric. Although loyal consumers are most typically satisfied, satisfaction does not universally translate into loyalty. To explain the satisfaction-loyalty conundrum, the author investgates what aspect of the consumer satisfaction response has implications for loyalty and what portion of the loyalty response is due to this satisfaction component. The analysis concludes that satisfaction is a necessary step in loyalty formation but becomes less significant as loyalty begins to set through other mechanisms. These mechanisms, omitted from consideration in current models, include the roles of personal determinism (\"fortitude\") and social bonding at the institutional and personal level. When these additional factors are brought into account, ultimate loyalty emerges as a combination of perceived product superiority, personal fortitude, social bonding, and their synergistic effects. As each fails to be attained or is unattainable by individual firms that serve consumer markets, the potential for loyalty erodes. A disquieting conclusion from this analysis is that loyalty cannot be achieved or pursued as a reasonable goal by many providers because of the nature of the product category or consumer disinterest. For some firms, satisfaction is the only feasible goal for which they should strive; thus, satisfaction remains a worthy pursuit among the consumer marketing community. The disparity between the pursuit of satisfaction versus loyalty, as well as the fundamental content of the loyalty response, poses several investigative directions for the next wave of postconsumption research.","author":[{"dropping-particle":"","family":"Oliver","given":"Richard L.","non-dropping-particle":"","parse-names":false,"suffix":""}],"container-title":"Journal of Marketing","id":"ITEM-1","issue":"SUPPL.","issued":{"date-parts":[["1999"]]},"page":"33-44","title":"Whence consumer loyalty?","type":"article-journal","volume":"63"},"uris":["http://www.mendeley.com/documents/?uuid=3b3efed7-0875-4132-8ef0-00438bcb9d94"]}],"mendeley":{"formattedCitation":"[60]","plainTextFormattedCitation":"[60]","previouslyFormattedCitation":"[60]"},"properties":{"noteIndex":0},"schema":"https://github.com/citation-style-language/schema/raw/master/csl-citation.json"}</w:instrText>
      </w:r>
      <w:r w:rsidRPr="00B13BCD">
        <w:fldChar w:fldCharType="separate"/>
      </w:r>
      <w:r w:rsidRPr="00B13BCD">
        <w:rPr>
          <w:noProof/>
        </w:rPr>
        <w:t>[6</w:t>
      </w:r>
      <w:r w:rsidR="00D36324">
        <w:rPr>
          <w:noProof/>
        </w:rPr>
        <w:t>8</w:t>
      </w:r>
      <w:r w:rsidRPr="00B13BCD">
        <w:rPr>
          <w:noProof/>
        </w:rPr>
        <w:t>]</w:t>
      </w:r>
      <w:r w:rsidRPr="00B13BCD">
        <w:fldChar w:fldCharType="end"/>
      </w:r>
      <w:r w:rsidRPr="00B13BCD">
        <w:t xml:space="preserve">. CL indicates the inclination of the customer to have a long-term affiliation with the service provider, which is the outcome of multiple transactions and longitudinal satisfaction </w:t>
      </w:r>
      <w:r w:rsidRPr="00B13BCD">
        <w:fldChar w:fldCharType="begin" w:fldLock="1"/>
      </w:r>
      <w:r w:rsidRPr="00B13BCD">
        <w:instrText>ADDIN CSL_CITATION {"citationItems":[{"id":"ITEM-1","itemData":{"ISSN":"2055-6225","author":[{"dropping-particle":"","family":"Hussain","given":"Khalid","non-dropping-particle":"","parse-names":false,"suffix":""},{"dropping-particle":"","family":"Jing","given":"Fengjie","non-dropping-particle":"","parse-names":false,"suffix":""},{"dropping-particle":"","family":"Junaid","given":"Muhammad","non-dropping-particle":"","parse-names":false,"suffix":""},{"dropping-particle":"","family":"Bukhari","given":"Farasat Ali Shah","non-dropping-particle":"","parse-names":false,"suffix":""},{"dropping-particle":"","family":"Shi","given":"Huayu","non-dropping-particle":"","parse-names":false,"suffix":""}],"container-title":"Journal of Service Theory and Practice","id":"ITEM-1","issued":{"date-parts":[["2019"]]},"publisher":"Emerald Publishing Limited","title":"The dynamic outcomes of service quality: a longitudinal investigation","type":"article-journal"},"uris":["http://www.mendeley.com/documents/?uuid=28d8e3dd-25c5-46d1-a826-6a2842f6b71d"]}],"mendeley":{"formattedCitation":"[61]","plainTextFormattedCitation":"[61]","previouslyFormattedCitation":"[61]"},"properties":{"noteIndex":0},"schema":"https://github.com/citation-style-language/schema/raw/master/csl-citation.json"}</w:instrText>
      </w:r>
      <w:r w:rsidRPr="00B13BCD">
        <w:fldChar w:fldCharType="separate"/>
      </w:r>
      <w:r w:rsidRPr="00B13BCD">
        <w:rPr>
          <w:noProof/>
        </w:rPr>
        <w:t>[6</w:t>
      </w:r>
      <w:r w:rsidR="00D36324">
        <w:rPr>
          <w:noProof/>
        </w:rPr>
        <w:t>9</w:t>
      </w:r>
      <w:r w:rsidRPr="00B13BCD">
        <w:rPr>
          <w:noProof/>
        </w:rPr>
        <w:t>]</w:t>
      </w:r>
      <w:r w:rsidRPr="00B13BCD">
        <w:fldChar w:fldCharType="end"/>
      </w:r>
      <w:r w:rsidRPr="00B13BCD">
        <w:t xml:space="preserve">. Thus, the relationships that affect CS eventually also affect CL. Since a multitude of transactions affect CL, CS has a direct linkage with CVC and SI and shares a similar relationship with them. Therefore, it is posited that: </w:t>
      </w:r>
    </w:p>
    <w:p w14:paraId="14B79406" w14:textId="77777777" w:rsidR="00F14D23" w:rsidRPr="00B13BCD" w:rsidRDefault="00F14D23" w:rsidP="00427835">
      <w:pPr>
        <w:jc w:val="both"/>
        <w:rPr>
          <w:i/>
          <w:iCs/>
        </w:rPr>
      </w:pPr>
      <w:r w:rsidRPr="00B13BCD">
        <w:rPr>
          <w:i/>
          <w:iCs/>
        </w:rPr>
        <w:t>H2: Customer satisfaction mediates the relationship between service innovation and customer loyalty, within the framework of circular economy.</w:t>
      </w:r>
    </w:p>
    <w:p w14:paraId="61B65EC7" w14:textId="77777777" w:rsidR="00F14D23" w:rsidRPr="00B13BCD" w:rsidRDefault="00F14D23" w:rsidP="00427835">
      <w:pPr>
        <w:jc w:val="both"/>
        <w:rPr>
          <w:i/>
          <w:iCs/>
        </w:rPr>
      </w:pPr>
      <w:r w:rsidRPr="00B13BCD">
        <w:rPr>
          <w:i/>
          <w:iCs/>
        </w:rPr>
        <w:t>H3: Customer value creation and customer satisfaction serially mediate the relationship between service innovation and customer loyalty, within the framework of circular economy.</w:t>
      </w:r>
    </w:p>
    <w:p w14:paraId="2C5EE5C4" w14:textId="77777777" w:rsidR="00F14D23" w:rsidRPr="00B13BCD" w:rsidRDefault="00F14D23" w:rsidP="00427835">
      <w:pPr>
        <w:pStyle w:val="Heading2"/>
        <w:jc w:val="both"/>
      </w:pPr>
      <w:r w:rsidRPr="00B13BCD">
        <w:t xml:space="preserve">Service Innovation and Service Delivery Innovation </w:t>
      </w:r>
    </w:p>
    <w:p w14:paraId="4FA15224" w14:textId="0B55FE4D" w:rsidR="00F14D23" w:rsidRPr="00B13BCD" w:rsidRDefault="00F14D23" w:rsidP="00427835">
      <w:pPr>
        <w:jc w:val="both"/>
      </w:pPr>
      <w:r w:rsidRPr="00B13BCD">
        <w:fldChar w:fldCharType="begin" w:fldLock="1"/>
      </w:r>
      <w:r w:rsidRPr="00B13BCD">
        <w:instrText>ADDIN CSL_CITATION {"citationItems":[{"id":"ITEM-1","itemData":{"ISSN":"0959-6526","author":[{"dropping-particle":"","family":"Erdiaw-Kwasie","given":"Michael Odei","non-dropping-particle":"","parse-names":false,"suffix":""},{"dropping-particle":"","family":"Abunyewah","given":"Matthew","non-dropping-particle":"","parse-names":false,"suffix":""},{"dropping-particle":"","family":"Yusif","given":"Salifu","non-dropping-particle":"","parse-names":false,"suffix":""},{"dropping-particle":"","family":"Erdiaw-Kwasie","given":"Angela","non-dropping-particle":"","parse-names":false,"suffix":""}],"container-title":"Journal of Cleaner production","id":"ITEM-1","issued":{"date-parts":[["2023"]]},"page":"135429","publisher":"Elsevier","title":"Does circular economy knowledge matter in sustainable service provision? A moderation analysis","type":"article-journal","volume":"383"},"uris":["http://www.mendeley.com/documents/?uuid=208d44f1-a108-4d86-a77f-430ea83026ab"]}],"mendeley":{"formattedCitation":"[62]","plainTextFormattedCitation":"[62]","previouslyFormattedCitation":"[62]"},"properties":{"noteIndex":0},"schema":"https://github.com/citation-style-language/schema/raw/master/csl-citation.json"}</w:instrText>
      </w:r>
      <w:r w:rsidRPr="00B13BCD">
        <w:fldChar w:fldCharType="separate"/>
      </w:r>
      <w:r w:rsidRPr="00B13BCD">
        <w:rPr>
          <w:noProof/>
        </w:rPr>
        <w:t>[62]</w:t>
      </w:r>
      <w:r w:rsidRPr="00B13BCD">
        <w:fldChar w:fldCharType="end"/>
      </w:r>
      <w:r w:rsidRPr="00B13BCD">
        <w:t xml:space="preserve"> suggest that managers should accelerate the use of CE strategies to enhance the sustainable delivery of services to their customers. Customers' perspectives on the </w:t>
      </w:r>
      <w:r w:rsidR="007F1847">
        <w:t>SD</w:t>
      </w:r>
      <w:r w:rsidRPr="00B13BCD">
        <w:t xml:space="preserve"> process are critical for successful service design and management </w:t>
      </w:r>
      <w:r w:rsidRPr="00B13BCD">
        <w:fldChar w:fldCharType="begin" w:fldLock="1"/>
      </w:r>
      <w:r w:rsidRPr="00B13BCD">
        <w:instrText>ADDIN CSL_CITATION {"citationItems":[{"id":"ITEM-1","itemData":{"ISSN":"2055-6225","author":[{"dropping-particle":"","family":"Halvorsrud","given":"Ragnhild","non-dropping-particle":"","parse-names":false,"suffix":""},{"dropping-particle":"","family":"Kvale","given":"Knut","non-dropping-particle":"","parse-names":false,"suffix":""},{"dropping-particle":"","family":"Følstad","given":"Asbjørn","non-dropping-particle":"","parse-names":false,"suffix":""}],"container-title":"Journal of service theory and practice","id":"ITEM-1","issued":{"date-parts":[["2016"]]},"publisher":"Emerald Group Publishing Limited","title":"Improving service quality through customer journey analysis","type":"article-journal"},"uris":["http://www.mendeley.com/documents/?uuid=e1a37bb1-aef2-476f-9c8a-79793c70d9ed"]}],"mendeley":{"formattedCitation":"[63]","plainTextFormattedCitation":"[63]","previouslyFormattedCitation":"[63]"},"properties":{"noteIndex":0},"schema":"https://github.com/citation-style-language/schema/raw/master/csl-citation.json"}</w:instrText>
      </w:r>
      <w:r w:rsidRPr="00B13BCD">
        <w:fldChar w:fldCharType="separate"/>
      </w:r>
      <w:r w:rsidRPr="00B13BCD">
        <w:rPr>
          <w:noProof/>
        </w:rPr>
        <w:t>[</w:t>
      </w:r>
      <w:r w:rsidR="00D36324">
        <w:rPr>
          <w:noProof/>
        </w:rPr>
        <w:t>71</w:t>
      </w:r>
      <w:r w:rsidRPr="00B13BCD">
        <w:rPr>
          <w:noProof/>
        </w:rPr>
        <w:t>]</w:t>
      </w:r>
      <w:r w:rsidRPr="00B13BCD">
        <w:fldChar w:fldCharType="end"/>
      </w:r>
      <w:r w:rsidRPr="00B13BCD">
        <w:t xml:space="preserve">. Services are bringing differentiation and supporting it where products cannot </w:t>
      </w:r>
      <w:r w:rsidRPr="00B13BCD">
        <w:fldChar w:fldCharType="begin" w:fldLock="1"/>
      </w:r>
      <w:r w:rsidRPr="00B13BCD">
        <w:instrText>ADDIN CSL_CITATION {"citationItems":[{"id":"ITEM-1","itemData":{"DOI":"10.1108/14601060210415144","ISSN":"14601060","abstract":"Services lie at the very hub of the economic activity of all societies, and interlink closely with all other sectors of the economy. The exponential growth of services internationally has not only intensified competition, but has also simultaneously posed a challenge and an opportunity for the managers of services. This study examines the factors underlying the growth of services, and emerging views on what constitutes a “resource” for service organisations. To this end, the roles of technology, knowledge and networks are examined as interdependent factors. It is argued here that today's “resources” are the culmination of various advances in knowledge. Technology facilitates the maintenance of networks with customers and partners inside and outside the firm. The network of relationships renders the firm's capabilities “amorphous” in nature. This study suggests that this amorphous knowledge represents the true “resource” in a service firm, and ultimately provides the creative potential for “innovation” – the so-called “core competency”. However, innovation per se does not benefit the firm unless it manifests superior value in the customer-driven marketplace. Moreover, this study argues that service innovation results only when a firm is able to focus its entire energies to think on behalf of the customer. © 2002, MCB UP Limited","author":[{"dropping-particle":"","family":"Kandampully","given":"Jay","non-dropping-particle":"","parse-names":false,"suffix":""}],"container-title":"European Journal of Innovation Management","id":"ITEM-1","issue":"1","issued":{"date-parts":[["2002"]]},"page":"18-26","title":"Innovation as the core competency of a service organisation: The role of technology, knowledge and networks","type":"article-journal","volume":"5"},"uris":["http://www.mendeley.com/documents/?uuid=87b6938a-8333-4bef-a200-0b32b6bbdad7"]}],"mendeley":{"formattedCitation":"[64]","plainTextFormattedCitation":"[64]","previouslyFormattedCitation":"[64]"},"properties":{"noteIndex":0},"schema":"https://github.com/citation-style-language/schema/raw/master/csl-citation.json"}</w:instrText>
      </w:r>
      <w:r w:rsidRPr="00B13BCD">
        <w:fldChar w:fldCharType="separate"/>
      </w:r>
      <w:r w:rsidRPr="00B13BCD">
        <w:rPr>
          <w:noProof/>
        </w:rPr>
        <w:t>[</w:t>
      </w:r>
      <w:r w:rsidR="00D36324">
        <w:rPr>
          <w:noProof/>
        </w:rPr>
        <w:t>72</w:t>
      </w:r>
      <w:r w:rsidRPr="00B13BCD">
        <w:rPr>
          <w:noProof/>
        </w:rPr>
        <w:t>]</w:t>
      </w:r>
      <w:r w:rsidRPr="00B13BCD">
        <w:fldChar w:fldCharType="end"/>
      </w:r>
      <w:r w:rsidRPr="00B13BCD">
        <w:t xml:space="preserve">, and SI is assisting enterprises to increase their performance and growth </w:t>
      </w:r>
      <w:r w:rsidRPr="00B13BCD">
        <w:fldChar w:fldCharType="begin" w:fldLock="1"/>
      </w:r>
      <w:r w:rsidRPr="00B13BCD">
        <w:instrText>ADDIN CSL_CITATION {"citationItems":[{"id":"ITEM-1","itemData":{"ISSN":"15329194","author":[{"dropping-particle":"","family":"Berry","given":"Leonard L.","non-dropping-particle":"","parse-names":false,"suffix":""},{"dropping-particle":"","family":"Shankar","given":"Venkatesh","non-dropping-particle":"","parse-names":false,"suffix":""},{"dropping-particle":"","family":"Parish","given":"Janet Turner","non-dropping-particle":"","parse-names":false,"suffix":""},{"dropping-particle":"","family":"Cadwallader","given":"Susan","non-dropping-particle":"","parse-names":false,"suffix":""},{"dropping-particle":"","family":"Dotzel","given":"Thomas","non-dropping-particle":"","parse-names":false,"suffix":""}],"container-title":"MIT Sloan Management Review","id":"ITEM-1","issue":"2","issued":{"date-parts":[["2006"]]},"page":"56-63","title":"Creating new markets through service innovation","type":"article-journal","volume":"47"},"uris":["http://www.mendeley.com/documents/?uuid=ee42a7db-f769-49fd-a745-49e85bd71ce1"]}],"mendeley":{"formattedCitation":"[65]","plainTextFormattedCitation":"[65]","previouslyFormattedCitation":"[65]"},"properties":{"noteIndex":0},"schema":"https://github.com/citation-style-language/schema/raw/master/csl-citation.json"}</w:instrText>
      </w:r>
      <w:r w:rsidRPr="00B13BCD">
        <w:fldChar w:fldCharType="separate"/>
      </w:r>
      <w:r w:rsidRPr="00B13BCD">
        <w:rPr>
          <w:noProof/>
        </w:rPr>
        <w:t>[</w:t>
      </w:r>
      <w:r w:rsidR="00D36324">
        <w:rPr>
          <w:noProof/>
        </w:rPr>
        <w:t>73</w:t>
      </w:r>
      <w:r w:rsidRPr="00B13BCD">
        <w:rPr>
          <w:noProof/>
        </w:rPr>
        <w:t>]</w:t>
      </w:r>
      <w:r w:rsidRPr="00B13BCD">
        <w:fldChar w:fldCharType="end"/>
      </w:r>
      <w:r w:rsidRPr="00B13BCD">
        <w:t xml:space="preserve">. Environmental factors in product development, especially when services integrated into new product designs are sustainable, are important even when replacing the product, and available services can facilitate system innovation </w:t>
      </w:r>
      <w:r w:rsidRPr="00B13BCD">
        <w:fldChar w:fldCharType="begin" w:fldLock="1"/>
      </w:r>
      <w:r w:rsidRPr="00B13BCD">
        <w:instrText>ADDIN CSL_CITATION {"citationItems":[{"id":"ITEM-1","itemData":{"ISSN":"1447165896","author":[{"dropping-particle":"","family":"Roos","given":"Göran","non-dropping-particle":"","parse-names":false,"suffix":""},{"dropping-particle":"","family":"Agarwal","given":"Renu","non-dropping-particle":"","parse-names":false,"suffix":""}],"container-title":"The handbook of service innovation","id":"ITEM-1","issued":{"date-parts":[["2015"]]},"page":"501-520","publisher":"Springer","title":"Services innovation in a circular economy","type":"article-journal"},"uris":["http://www.mendeley.com/documents/?uuid=e065eb98-7f5a-43b1-a943-57be8c2ebc7f"]}],"mendeley":{"formattedCitation":"[66]","plainTextFormattedCitation":"[66]","previouslyFormattedCitation":"[66]"},"properties":{"noteIndex":0},"schema":"https://github.com/citation-style-language/schema/raw/master/csl-citation.json"}</w:instrText>
      </w:r>
      <w:r w:rsidRPr="00B13BCD">
        <w:fldChar w:fldCharType="separate"/>
      </w:r>
      <w:r w:rsidRPr="00B13BCD">
        <w:rPr>
          <w:noProof/>
        </w:rPr>
        <w:t>[</w:t>
      </w:r>
      <w:r w:rsidR="00D36324">
        <w:rPr>
          <w:noProof/>
        </w:rPr>
        <w:t>74</w:t>
      </w:r>
      <w:r w:rsidRPr="00B13BCD">
        <w:rPr>
          <w:noProof/>
        </w:rPr>
        <w:t>]</w:t>
      </w:r>
      <w:r w:rsidRPr="00B13BCD">
        <w:fldChar w:fldCharType="end"/>
      </w:r>
      <w:r w:rsidRPr="00B13BCD">
        <w:t xml:space="preserve">. </w:t>
      </w:r>
    </w:p>
    <w:p w14:paraId="7AD902EB" w14:textId="2F9B529C" w:rsidR="00F14D23" w:rsidRPr="00B13BCD" w:rsidRDefault="00F14D23" w:rsidP="00427835">
      <w:pPr>
        <w:jc w:val="both"/>
      </w:pPr>
      <w:r w:rsidRPr="00B13BCD">
        <w:t xml:space="preserve">The proliferation of customers into different segments and their changes in preferences in what they shop, why they shop, and how they shop keep firms guessing on how to reduce cost while </w:t>
      </w:r>
      <w:r w:rsidRPr="00B13BCD">
        <w:t xml:space="preserve">delivering enhanced value and improving ways to deliver their services </w:t>
      </w:r>
      <w:r w:rsidRPr="00B13BCD">
        <w:fldChar w:fldCharType="begin" w:fldLock="1"/>
      </w:r>
      <w:r w:rsidRPr="00B13BCD">
        <w:instrText>ADDIN CSL_CITATION {"citationItems":[{"id":"ITEM-1","itemData":{"DOI":"10.1177/1094670509338619","ISSN":"1094-6705","abstract":"Service innovation is one means of gaining an advantage in a highly competitive environment. In addition, service delivery has played a key role in interactions with customers in recent years. Yet, research on the link between innovation and service delivery is scant. This article theoretically and empirically examines innovation in service delivery and its antecedents and consequences. The authors identify innovation orientation, external partner collaboration, and information technology capability as the antecedents of service delivery innovation and analyze the impact of service delivery innovation on firm performance. Respondents were managers in the marketing and information technology departments of financial firms in Taiwan. Overall, 298 responses were received (including 123 paired responses from both department managers). Findings indicated that service delivery innovation contributes to firm performance. These results support the crucial influences of innovation orientation and information technology capability on service delivery innovation. ABSTRACT FROM AUTHOR Copyright of Journal of Service Research is the property of Sage Publications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Abstracts.)","author":[{"dropping-particle":"","family":"Chen","given":"Ja-Shen","non-dropping-particle":"","parse-names":false,"suffix":""},{"dropping-particle":"","family":"Hung Tai Tsou","given":"","non-dropping-particle":"","parse-names":false,"suffix":""},{"dropping-particle":"","family":"Huang","given":"Astrid Ya-Hui","non-dropping-particle":"","parse-names":false,"suffix":""}],"container-title":"Journal of Service Research","id":"ITEM-1","issue":"1","issued":{"date-parts":[["2009"]]},"page":"36-55","title":"Service Delivery Innovation","type":"article-journal","volume":"12"},"uris":["http://www.mendeley.com/documents/?uuid=bf98a838-8a22-4d99-8e46-0436c72f0eea"]}],"mendeley":{"formattedCitation":"[24]","plainTextFormattedCitation":"[24]","previouslyFormattedCitation":"[24]"},"properties":{"noteIndex":0},"schema":"https://github.com/citation-style-language/schema/raw/master/csl-citation.json"}</w:instrText>
      </w:r>
      <w:r w:rsidRPr="00B13BCD">
        <w:fldChar w:fldCharType="separate"/>
      </w:r>
      <w:r w:rsidRPr="00B13BCD">
        <w:rPr>
          <w:noProof/>
        </w:rPr>
        <w:t>[24]</w:t>
      </w:r>
      <w:r w:rsidRPr="00B13BCD">
        <w:fldChar w:fldCharType="end"/>
      </w:r>
      <w:r w:rsidRPr="00B13BCD">
        <w:t xml:space="preserve">. With complexity increasing in service contexts and firm-consumer interfaces, multi-channel, multi-device, location-based, and context-aware services provide a mix and integrate the value provided in a variety of design contexts </w:t>
      </w:r>
      <w:r w:rsidRPr="00B13BCD">
        <w:fldChar w:fldCharType="begin" w:fldLock="1"/>
      </w:r>
      <w:r w:rsidRPr="00B13BCD">
        <w:instrText>ADDIN CSL_CITATION {"citationItems":[{"id":"ITEM-1","itemData":{"ISSN":"0001-0782","author":[{"dropping-particle":"","family":"Maglio","given":"Paul P","non-dropping-particle":"","parse-names":false,"suffix":""},{"dropping-particle":"","family":"Srinivasan","given":"Savitha","non-dropping-particle":"","parse-names":false,"suffix":""},{"dropping-particle":"","family":"Kreulen","given":"Jeffrey T","non-dropping-particle":"","parse-names":false,"suffix":""},{"dropping-particle":"","family":"Spohrer","given":"Jim","non-dropping-particle":"","parse-names":false,"suffix":""}],"container-title":"Communications of the ACM","id":"ITEM-1","issue":"7","issued":{"date-parts":[["2006"]]},"page":"81-85","publisher":"ACM New York, NY, USA","title":"Service systems, service scientists, SSME, and innovation","type":"article-journal","volume":"49"},"uris":["http://www.mendeley.com/documents/?uuid=8159b598-855a-4d9b-baf4-52ef8ea1bab1"]}],"mendeley":{"formattedCitation":"[67]","plainTextFormattedCitation":"[67]","previouslyFormattedCitation":"[67]"},"properties":{"noteIndex":0},"schema":"https://github.com/citation-style-language/schema/raw/master/csl-citation.json"}</w:instrText>
      </w:r>
      <w:r w:rsidRPr="00B13BCD">
        <w:fldChar w:fldCharType="separate"/>
      </w:r>
      <w:r w:rsidRPr="00B13BCD">
        <w:rPr>
          <w:noProof/>
        </w:rPr>
        <w:t>[7</w:t>
      </w:r>
      <w:r w:rsidR="00D36324">
        <w:rPr>
          <w:noProof/>
        </w:rPr>
        <w:t>5</w:t>
      </w:r>
      <w:r w:rsidRPr="00B13BCD">
        <w:rPr>
          <w:noProof/>
        </w:rPr>
        <w:t>]</w:t>
      </w:r>
      <w:r w:rsidRPr="00B13BCD">
        <w:fldChar w:fldCharType="end"/>
      </w:r>
      <w:r w:rsidRPr="00B13BCD">
        <w:t xml:space="preserve">. </w:t>
      </w:r>
      <w:r w:rsidRPr="00B13BCD">
        <w:fldChar w:fldCharType="begin" w:fldLock="1"/>
      </w:r>
      <w:r w:rsidRPr="00B13BCD">
        <w:instrText>ADDIN CSL_CITATION {"citationItems":[{"id":"ITEM-1","itemData":{"ISSN":"1094-6705","author":[{"dropping-particle":"","family":"Patrício","given":"Lia","non-dropping-particle":"","parse-names":false,"suffix":""},{"dropping-particle":"","family":"Fisk","given":"Raymond P","non-dropping-particle":"","parse-names":false,"suffix":""},{"dropping-particle":"","family":"Falcão e Cunha","given":"João","non-dropping-particle":"","parse-names":false,"suffix":""},{"dropping-particle":"","family":"Constantine","given":"Larry","non-dropping-particle":"","parse-names":false,"suffix":""}],"container-title":"Journal of service Research","id":"ITEM-1","issue":"2","issued":{"date-parts":[["2011"]]},"page":"180-200","publisher":"SAGE Publications Sage CA: Los Angeles, CA","title":"Multilevel service design: from customer value constellation to service experience blueprinting","type":"article-journal","volume":"14"},"uris":["http://www.mendeley.com/documents/?uuid=d652b5f4-e7a0-4989-bf57-a2e35d2daae7"]}],"mendeley":{"formattedCitation":"[68]","plainTextFormattedCitation":"[68]","previouslyFormattedCitation":"[68]"},"properties":{"noteIndex":0},"schema":"https://github.com/citation-style-language/schema/raw/master/csl-citation.json"}</w:instrText>
      </w:r>
      <w:r w:rsidRPr="00B13BCD">
        <w:fldChar w:fldCharType="separate"/>
      </w:r>
      <w:r w:rsidRPr="00B13BCD">
        <w:rPr>
          <w:noProof/>
        </w:rPr>
        <w:t>[</w:t>
      </w:r>
      <w:r w:rsidR="00D36324">
        <w:rPr>
          <w:noProof/>
        </w:rPr>
        <w:t>7</w:t>
      </w:r>
      <w:r w:rsidRPr="00B13BCD">
        <w:rPr>
          <w:noProof/>
        </w:rPr>
        <w:t>6]</w:t>
      </w:r>
      <w:r w:rsidRPr="00B13BCD">
        <w:fldChar w:fldCharType="end"/>
      </w:r>
      <w:r w:rsidRPr="00B13BCD">
        <w:t xml:space="preserve"> put forward a multilevel service design based on seven service designs by </w:t>
      </w:r>
      <w:r w:rsidRPr="00B13BCD">
        <w:fldChar w:fldCharType="begin" w:fldLock="1"/>
      </w:r>
      <w:r w:rsidRPr="00B13BCD">
        <w:instrText>ADDIN CSL_CITATION {"citationItems":[{"id":"ITEM-1","itemData":{"author":[{"dropping-particle":"","family":"Glushko","given":"Robert J","non-dropping-particle":"","parse-names":false,"suffix":""}],"container-title":"Handbook of service science","id":"ITEM-1","issued":{"date-parts":[["2010"]]},"page":"219-249","publisher":"Springer","title":"Seven contexts for service system design","type":"chapter"},"uris":["http://www.mendeley.com/documents/?uuid=fad4664a-e803-44ca-a44c-7663f355439d"]}],"mendeley":{"formattedCitation":"[69]","plainTextFormattedCitation":"[69]","previouslyFormattedCitation":"[69]"},"properties":{"noteIndex":0},"schema":"https://github.com/citation-style-language/schema/raw/master/csl-citation.json"}</w:instrText>
      </w:r>
      <w:r w:rsidRPr="00B13BCD">
        <w:fldChar w:fldCharType="separate"/>
      </w:r>
      <w:r w:rsidRPr="00B13BCD">
        <w:rPr>
          <w:noProof/>
        </w:rPr>
        <w:t>[</w:t>
      </w:r>
      <w:r w:rsidR="00D36324">
        <w:rPr>
          <w:noProof/>
        </w:rPr>
        <w:t>77</w:t>
      </w:r>
      <w:r w:rsidRPr="00B13BCD">
        <w:rPr>
          <w:noProof/>
        </w:rPr>
        <w:t>]</w:t>
      </w:r>
      <w:r w:rsidRPr="00B13BCD">
        <w:fldChar w:fldCharType="end"/>
      </w:r>
      <w:r w:rsidRPr="00B13BCD">
        <w:t xml:space="preserve"> and proposed that an appropriate service interface can enhance the service experience. This service experience can be either “phenomenological” or “process-based,” or have characterizations of both as described by </w:t>
      </w:r>
      <w:r w:rsidRPr="00B13BCD">
        <w:fldChar w:fldCharType="begin" w:fldLock="1"/>
      </w:r>
      <w:r w:rsidRPr="00B13BCD">
        <w:instrText>ADDIN CSL_CITATION {"citationItems":[{"id":"ITEM-1","itemData":{"ISSN":"1757-5818","author":[{"dropping-particle":"","family":"Helkkula","given":"Anu","non-dropping-particle":"","parse-names":false,"suffix":""}],"container-title":"Journal of Service Management","id":"ITEM-1","issued":{"date-parts":[["2011"]]},"publisher":"Emerald Group Publishing Limited","title":"Characterising the concept of service experience","type":"article-journal"},"uris":["http://www.mendeley.com/documents/?uuid=b335cf10-2e07-48f0-9688-d8dfe2eca374"]}],"mendeley":{"formattedCitation":"[70]","plainTextFormattedCitation":"[70]","previouslyFormattedCitation":"[70]"},"properties":{"noteIndex":0},"schema":"https://github.com/citation-style-language/schema/raw/master/csl-citation.json"}</w:instrText>
      </w:r>
      <w:r w:rsidRPr="00B13BCD">
        <w:fldChar w:fldCharType="separate"/>
      </w:r>
      <w:r w:rsidRPr="00B13BCD">
        <w:rPr>
          <w:noProof/>
        </w:rPr>
        <w:t>[7</w:t>
      </w:r>
      <w:r w:rsidR="00D36324">
        <w:rPr>
          <w:noProof/>
        </w:rPr>
        <w:t>8</w:t>
      </w:r>
      <w:r w:rsidRPr="00B13BCD">
        <w:rPr>
          <w:noProof/>
        </w:rPr>
        <w:t>]</w:t>
      </w:r>
      <w:r w:rsidRPr="00B13BCD">
        <w:fldChar w:fldCharType="end"/>
      </w:r>
      <w:r w:rsidRPr="00B13BCD">
        <w:t xml:space="preserve">. </w:t>
      </w:r>
    </w:p>
    <w:p w14:paraId="7251FB63" w14:textId="465D286F" w:rsidR="00F14D23" w:rsidRDefault="00F14D23" w:rsidP="00427835">
      <w:pPr>
        <w:jc w:val="both"/>
      </w:pPr>
      <w:r w:rsidRPr="00B13BCD">
        <w:t xml:space="preserve">In the SI literature in the OI context, co-creation entails: (1) customer participation in the design of the new service offering </w:t>
      </w:r>
      <w:r w:rsidRPr="00B13BCD">
        <w:fldChar w:fldCharType="begin" w:fldLock="1"/>
      </w:r>
      <w:r w:rsidRPr="00B13BCD">
        <w:instrText>ADDIN CSL_CITATION {"citationItems":[{"id":"ITEM-1","itemData":{"ISSN":"0166-4972","author":[{"dropping-particle":"","family":"Edvardsson","given":"Bo","non-dropping-particle":"","parse-names":false,"suffix":""},{"dropping-particle":"","family":"Kristensson","given":"Per","non-dropping-particle":"","parse-names":false,"suffix":""},{"dropping-particle":"","family":"Magnusson","given":"Peter","non-dropping-particle":"","parse-names":false,"suffix":""},{"dropping-particle":"","family":"Sundström","given":"Erik","non-dropping-particle":"","parse-names":false,"suffix":""}],"container-title":"Technovation","id":"ITEM-1","issue":"7-8","issued":{"date-parts":[["2012"]]},"page":"419-429","publisher":"Elsevier","title":"Customer integration within service development—A review of methods and an analysis of insitu and exsitu contributions","type":"article-journal","volume":"32"},"uris":["http://www.mendeley.com/documents/?uuid=be1b07f3-7ff9-4e35-864c-c25662d6870c"]}],"mendeley":{"formattedCitation":"[71]","plainTextFormattedCitation":"[71]","previouslyFormattedCitation":"[71]"},"properties":{"noteIndex":0},"schema":"https://github.com/citation-style-language/schema/raw/master/csl-citation.json"}</w:instrText>
      </w:r>
      <w:r w:rsidRPr="00B13BCD">
        <w:fldChar w:fldCharType="separate"/>
      </w:r>
      <w:r w:rsidRPr="00B13BCD">
        <w:rPr>
          <w:noProof/>
        </w:rPr>
        <w:t>[7</w:t>
      </w:r>
      <w:r w:rsidR="00D36324">
        <w:rPr>
          <w:noProof/>
        </w:rPr>
        <w:t>9</w:t>
      </w:r>
      <w:r w:rsidRPr="00B13BCD">
        <w:rPr>
          <w:noProof/>
        </w:rPr>
        <w:t>]</w:t>
      </w:r>
      <w:r w:rsidRPr="00B13BCD">
        <w:fldChar w:fldCharType="end"/>
      </w:r>
      <w:r w:rsidRPr="00B13BCD">
        <w:t xml:space="preserve">, and (2) engagement among several service providers to combine the resources that compose the </w:t>
      </w:r>
      <w:r w:rsidR="007F1847">
        <w:t>SD</w:t>
      </w:r>
      <w:r w:rsidRPr="00B13BCD">
        <w:t xml:space="preserve"> system for an enhanced service experience </w:t>
      </w:r>
      <w:r w:rsidRPr="00B13BCD">
        <w:fldChar w:fldCharType="begin" w:fldLock="1"/>
      </w:r>
      <w:r w:rsidRPr="00B13BCD">
        <w:instrText>ADDIN CSL_CITATION {"citationItems":[{"id":"ITEM-1","itemData":{"ISSN":"1094-6705","author":[{"dropping-particle":"","family":"Patrício","given":"Lia","non-dropping-particle":"","parse-names":false,"suffix":""},{"dropping-particle":"","family":"Fisk","given":"Raymond P","non-dropping-particle":"","parse-names":false,"suffix":""},{"dropping-particle":"","family":"Falcão e Cunha","given":"João","non-dropping-particle":"","parse-names":false,"suffix":""},{"dropping-particle":"","family":"Constantine","given":"Larry","non-dropping-particle":"","parse-names":false,"suffix":""}],"container-title":"Journal of service Research","id":"ITEM-1","issue":"2","issued":{"date-parts":[["2011"]]},"page":"180-200","publisher":"SAGE Publications Sage CA: Los Angeles, CA","title":"Multilevel service design: from customer value constellation to service experience blueprinting","type":"article-journal","volume":"14"},"uris":["http://www.mendeley.com/documents/?uuid=d652b5f4-e7a0-4989-bf57-a2e35d2daae7"]},{"id":"ITEM-2","itemData":{"ISSN":"1757-5818","author":[{"dropping-particle":"","family":"Teixeira","given":"Jorge","non-dropping-particle":"","parse-names":false,"suffix":""},{"dropping-particle":"","family":"Patrício","given":"Lia","non-dropping-particle":"","parse-names":false,"suffix":""},{"dropping-particle":"","family":"Nunes","given":"Nuno J","non-dropping-particle":"","parse-names":false,"suffix":""},{"dropping-particle":"","family":"Nóbrega","given":"Leonel","non-dropping-particle":"","parse-names":false,"suffix":""},{"dropping-particle":"","family":"Fisk","given":"Raymond P","non-dropping-particle":"","parse-names":false,"suffix":""},{"dropping-particle":"","family":"Constantine","given":"Larry","non-dropping-particle":"","parse-names":false,"suffix":""}],"container-title":"Journal of Service management","id":"ITEM-2","issued":{"date-parts":[["2012"]]},"publisher":"Emerald Group Publishing Limited","title":"Customer experience modeling: from customer experience to service design","type":"article-journal"},"uris":["http://www.mendeley.com/documents/?uuid=0afbb232-21d1-4214-95ee-30d95db2f1d7"]}],"mendeley":{"formattedCitation":"[68], [72]","plainTextFormattedCitation":"[68], [72]","previouslyFormattedCitation":"[68], [72]"},"properties":{"noteIndex":0},"schema":"https://github.com/citation-style-language/schema/raw/master/csl-citation.json"}</w:instrText>
      </w:r>
      <w:r w:rsidRPr="00B13BCD">
        <w:fldChar w:fldCharType="separate"/>
      </w:r>
      <w:r w:rsidRPr="00B13BCD">
        <w:rPr>
          <w:noProof/>
        </w:rPr>
        <w:t>[</w:t>
      </w:r>
      <w:r w:rsidR="00D36324">
        <w:rPr>
          <w:noProof/>
        </w:rPr>
        <w:t>7</w:t>
      </w:r>
      <w:r w:rsidRPr="00B13BCD">
        <w:rPr>
          <w:noProof/>
        </w:rPr>
        <w:t>6], [</w:t>
      </w:r>
      <w:r w:rsidR="00D36324">
        <w:rPr>
          <w:noProof/>
        </w:rPr>
        <w:t>80</w:t>
      </w:r>
      <w:r w:rsidRPr="00B13BCD">
        <w:rPr>
          <w:noProof/>
        </w:rPr>
        <w:t>]</w:t>
      </w:r>
      <w:r w:rsidRPr="00B13BCD">
        <w:fldChar w:fldCharType="end"/>
      </w:r>
      <w:r w:rsidRPr="00B13BCD">
        <w:t xml:space="preserve">. The </w:t>
      </w:r>
      <w:r w:rsidR="007F1847">
        <w:t>SD</w:t>
      </w:r>
      <w:r w:rsidRPr="00B13BCD">
        <w:t xml:space="preserve"> process is one of the elements that service design integrates to shape the customer's experience </w:t>
      </w:r>
      <w:r w:rsidRPr="00B13BCD">
        <w:fldChar w:fldCharType="begin" w:fldLock="1"/>
      </w:r>
      <w:r w:rsidRPr="00B13BCD">
        <w:instrText>ADDIN CSL_CITATION {"citationItems":[{"id":"ITEM-1","itemData":{"ISSN":"1757-5818","author":[{"dropping-particle":"","family":"Teixeira","given":"Jorge","non-dropping-particle":"","parse-names":false,"suffix":""},{"dropping-particle":"","family":"Patrício","given":"Lia","non-dropping-particle":"","parse-names":false,"suffix":""},{"dropping-particle":"","family":"Nunes","given":"Nuno J","non-dropping-particle":"","parse-names":false,"suffix":""},{"dropping-particle":"","family":"Nóbrega","given":"Leonel","non-dropping-particle":"","parse-names":false,"suffix":""},{"dropping-particle":"","family":"Fisk","given":"Raymond P","non-dropping-particle":"","parse-names":false,"suffix":""},{"dropping-particle":"","family":"Constantine","given":"Larry","non-dropping-particle":"","parse-names":false,"suffix":""}],"container-title":"Journal of Service management","id":"ITEM-1","issued":{"date-parts":[["2012"]]},"publisher":"Emerald Group Publishing Limited","title":"Customer experience modeling: from customer experience to service design","type":"article-journal"},"uris":["http://www.mendeley.com/documents/?uuid=0afbb232-21d1-4214-95ee-30d95db2f1d7"]}],"mendeley":{"formattedCitation":"[72]","plainTextFormattedCitation":"[72]","previouslyFormattedCitation":"[72]"},"properties":{"noteIndex":0},"schema":"https://github.com/citation-style-language/schema/raw/master/csl-citation.json"}</w:instrText>
      </w:r>
      <w:r w:rsidRPr="00B13BCD">
        <w:fldChar w:fldCharType="separate"/>
      </w:r>
      <w:r w:rsidRPr="00B13BCD">
        <w:rPr>
          <w:noProof/>
        </w:rPr>
        <w:t>[</w:t>
      </w:r>
      <w:r w:rsidR="00D36324">
        <w:rPr>
          <w:noProof/>
        </w:rPr>
        <w:t>80</w:t>
      </w:r>
      <w:r w:rsidRPr="00B13BCD">
        <w:rPr>
          <w:noProof/>
        </w:rPr>
        <w:t>]</w:t>
      </w:r>
      <w:r w:rsidRPr="00B13BCD">
        <w:fldChar w:fldCharType="end"/>
      </w:r>
      <w:r w:rsidRPr="00B13BCD">
        <w:t>. SI has been used as an umbrella term for all the elements included in service product development and processes used in service provisioning. We studied the literature to understand how various scholars have portrayed SDI in Table II below:</w:t>
      </w:r>
    </w:p>
    <w:p w14:paraId="1CA63BEF" w14:textId="77777777" w:rsidR="009E1C18" w:rsidRDefault="009E1C18" w:rsidP="00427835">
      <w:pPr>
        <w:jc w:val="both"/>
        <w:rPr>
          <w:sz w:val="16"/>
          <w:szCs w:val="16"/>
        </w:rPr>
      </w:pPr>
    </w:p>
    <w:p w14:paraId="3CCCD201" w14:textId="496F6FAC" w:rsidR="00021D76" w:rsidRPr="009E1C18" w:rsidRDefault="009E1C18" w:rsidP="003B516B">
      <w:pPr>
        <w:jc w:val="center"/>
        <w:rPr>
          <w:sz w:val="16"/>
          <w:szCs w:val="16"/>
        </w:rPr>
      </w:pPr>
      <w:r w:rsidRPr="00A51BCC">
        <w:t>TABLE II: RESEARCH EXTRACTS COVERING SDI</w:t>
      </w:r>
    </w:p>
    <w:tbl>
      <w:tblPr>
        <w:tblW w:w="4962" w:type="dxa"/>
        <w:tblLayout w:type="fixed"/>
        <w:tblLook w:val="04A0" w:firstRow="1" w:lastRow="0" w:firstColumn="1" w:lastColumn="0" w:noHBand="0" w:noVBand="1"/>
      </w:tblPr>
      <w:tblGrid>
        <w:gridCol w:w="709"/>
        <w:gridCol w:w="1559"/>
        <w:gridCol w:w="1843"/>
        <w:gridCol w:w="851"/>
      </w:tblGrid>
      <w:tr w:rsidR="005B0AC6" w:rsidRPr="003615E0" w14:paraId="5BF8BE34" w14:textId="77777777" w:rsidTr="00697DB6">
        <w:trPr>
          <w:trHeight w:val="171"/>
        </w:trPr>
        <w:tc>
          <w:tcPr>
            <w:tcW w:w="709"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14:paraId="1044BA11" w14:textId="77777777" w:rsidR="005B0AC6" w:rsidRPr="003615E0" w:rsidRDefault="005B0AC6" w:rsidP="007674BE">
            <w:pPr>
              <w:jc w:val="center"/>
              <w:rPr>
                <w:b/>
                <w:bCs/>
                <w:color w:val="000000"/>
                <w:sz w:val="16"/>
                <w:szCs w:val="16"/>
                <w:lang w:val="en-GB" w:eastAsia="en-GB"/>
              </w:rPr>
            </w:pPr>
            <w:bookmarkStart w:id="3" w:name="_Hlk179968274"/>
            <w:r w:rsidRPr="003615E0">
              <w:rPr>
                <w:b/>
                <w:bCs/>
                <w:color w:val="000000"/>
                <w:sz w:val="16"/>
                <w:szCs w:val="16"/>
                <w:lang w:val="en-GB" w:eastAsia="en-GB"/>
              </w:rPr>
              <w:t>Authors</w:t>
            </w:r>
          </w:p>
        </w:tc>
        <w:tc>
          <w:tcPr>
            <w:tcW w:w="1559" w:type="dxa"/>
            <w:tcBorders>
              <w:top w:val="single" w:sz="8" w:space="0" w:color="auto"/>
              <w:left w:val="nil"/>
              <w:bottom w:val="single" w:sz="8" w:space="0" w:color="auto"/>
              <w:right w:val="nil"/>
            </w:tcBorders>
            <w:shd w:val="clear" w:color="auto" w:fill="auto"/>
            <w:tcMar>
              <w:left w:w="28" w:type="dxa"/>
              <w:right w:w="28" w:type="dxa"/>
            </w:tcMar>
            <w:vAlign w:val="bottom"/>
            <w:hideMark/>
          </w:tcPr>
          <w:p w14:paraId="37A2C6A3" w14:textId="7F784F54" w:rsidR="005B0AC6" w:rsidRPr="003615E0" w:rsidRDefault="007F1847" w:rsidP="007674BE">
            <w:pPr>
              <w:jc w:val="center"/>
              <w:rPr>
                <w:b/>
                <w:bCs/>
                <w:color w:val="000000"/>
                <w:sz w:val="16"/>
                <w:szCs w:val="16"/>
                <w:lang w:val="en-GB" w:eastAsia="en-GB"/>
              </w:rPr>
            </w:pPr>
            <w:r>
              <w:rPr>
                <w:b/>
                <w:bCs/>
                <w:color w:val="000000"/>
                <w:sz w:val="16"/>
                <w:szCs w:val="16"/>
                <w:lang w:val="en-GB" w:eastAsia="en-GB"/>
              </w:rPr>
              <w:t xml:space="preserve">SD </w:t>
            </w:r>
            <w:r w:rsidR="005B0AC6" w:rsidRPr="003615E0">
              <w:rPr>
                <w:b/>
                <w:bCs/>
                <w:color w:val="000000"/>
                <w:sz w:val="16"/>
                <w:szCs w:val="16"/>
                <w:lang w:val="en-GB" w:eastAsia="en-GB"/>
              </w:rPr>
              <w:t xml:space="preserve">separate from </w:t>
            </w:r>
            <w:r w:rsidR="00697DB6">
              <w:rPr>
                <w:b/>
                <w:bCs/>
                <w:color w:val="000000"/>
                <w:sz w:val="16"/>
                <w:szCs w:val="16"/>
                <w:lang w:val="en-GB" w:eastAsia="en-GB"/>
              </w:rPr>
              <w:t>SI</w:t>
            </w:r>
            <w:r w:rsidR="005B0AC6" w:rsidRPr="003615E0">
              <w:rPr>
                <w:b/>
                <w:bCs/>
                <w:color w:val="000000"/>
                <w:sz w:val="16"/>
                <w:szCs w:val="16"/>
                <w:lang w:val="en-GB" w:eastAsia="en-GB"/>
              </w:rPr>
              <w:t xml:space="preserve"> </w:t>
            </w:r>
          </w:p>
        </w:tc>
        <w:tc>
          <w:tcPr>
            <w:tcW w:w="1843" w:type="dxa"/>
            <w:tcBorders>
              <w:top w:val="single" w:sz="8" w:space="0" w:color="auto"/>
              <w:left w:val="nil"/>
              <w:bottom w:val="single" w:sz="8" w:space="0" w:color="auto"/>
              <w:right w:val="nil"/>
            </w:tcBorders>
            <w:shd w:val="clear" w:color="auto" w:fill="auto"/>
            <w:tcMar>
              <w:left w:w="28" w:type="dxa"/>
              <w:right w:w="28" w:type="dxa"/>
            </w:tcMar>
            <w:vAlign w:val="bottom"/>
            <w:hideMark/>
          </w:tcPr>
          <w:p w14:paraId="7AAB3859" w14:textId="074420BA" w:rsidR="005B0AC6" w:rsidRPr="003615E0" w:rsidRDefault="007F1847" w:rsidP="007674BE">
            <w:pPr>
              <w:jc w:val="center"/>
              <w:rPr>
                <w:b/>
                <w:bCs/>
                <w:color w:val="000000"/>
                <w:sz w:val="16"/>
                <w:szCs w:val="16"/>
                <w:lang w:val="en-GB" w:eastAsia="en-GB"/>
              </w:rPr>
            </w:pPr>
            <w:r>
              <w:rPr>
                <w:b/>
                <w:bCs/>
                <w:color w:val="000000"/>
                <w:sz w:val="16"/>
                <w:szCs w:val="16"/>
                <w:lang w:val="en-GB" w:eastAsia="en-GB"/>
              </w:rPr>
              <w:t>SDI</w:t>
            </w:r>
            <w:r w:rsidR="005B0AC6" w:rsidRPr="003615E0">
              <w:rPr>
                <w:b/>
                <w:bCs/>
                <w:color w:val="000000"/>
                <w:sz w:val="16"/>
                <w:szCs w:val="16"/>
                <w:lang w:val="en-GB" w:eastAsia="en-GB"/>
              </w:rPr>
              <w:t xml:space="preserve"> embedded in S</w:t>
            </w:r>
            <w:r>
              <w:rPr>
                <w:b/>
                <w:bCs/>
                <w:color w:val="000000"/>
                <w:sz w:val="16"/>
                <w:szCs w:val="16"/>
                <w:lang w:val="en-GB" w:eastAsia="en-GB"/>
              </w:rPr>
              <w:t>I</w:t>
            </w:r>
          </w:p>
        </w:tc>
        <w:tc>
          <w:tcPr>
            <w:tcW w:w="851" w:type="dxa"/>
            <w:tcBorders>
              <w:top w:val="single" w:sz="8" w:space="0" w:color="auto"/>
              <w:left w:val="nil"/>
              <w:bottom w:val="single" w:sz="8" w:space="0" w:color="auto"/>
              <w:right w:val="nil"/>
            </w:tcBorders>
            <w:shd w:val="clear" w:color="auto" w:fill="auto"/>
            <w:tcMar>
              <w:left w:w="28" w:type="dxa"/>
              <w:right w:w="28" w:type="dxa"/>
            </w:tcMar>
            <w:vAlign w:val="bottom"/>
            <w:hideMark/>
          </w:tcPr>
          <w:p w14:paraId="159DA612" w14:textId="77777777" w:rsidR="005B0AC6" w:rsidRPr="003615E0" w:rsidRDefault="005B0AC6" w:rsidP="007674BE">
            <w:pPr>
              <w:jc w:val="center"/>
              <w:rPr>
                <w:b/>
                <w:bCs/>
                <w:color w:val="000000"/>
                <w:sz w:val="16"/>
                <w:szCs w:val="16"/>
                <w:lang w:val="en-GB" w:eastAsia="en-GB"/>
              </w:rPr>
            </w:pPr>
            <w:r w:rsidRPr="003615E0">
              <w:rPr>
                <w:b/>
                <w:bCs/>
                <w:color w:val="000000"/>
                <w:sz w:val="16"/>
                <w:szCs w:val="16"/>
                <w:lang w:val="en-GB" w:eastAsia="en-GB"/>
              </w:rPr>
              <w:t>Method of Study</w:t>
            </w:r>
          </w:p>
        </w:tc>
      </w:tr>
      <w:tr w:rsidR="005B0AC6" w:rsidRPr="003615E0" w14:paraId="6A1F81DF" w14:textId="77777777" w:rsidTr="00D75BEE">
        <w:trPr>
          <w:trHeight w:val="896"/>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70A5BD89" w14:textId="57CC02F4" w:rsidR="005B0AC6" w:rsidRPr="003615E0" w:rsidRDefault="00D36324" w:rsidP="007674BE">
            <w:pPr>
              <w:rPr>
                <w:color w:val="000000"/>
                <w:sz w:val="16"/>
                <w:szCs w:val="16"/>
                <w:lang w:val="en-GB" w:eastAsia="en-GB"/>
              </w:rPr>
            </w:pPr>
            <w:r>
              <w:rPr>
                <w:color w:val="000000"/>
                <w:sz w:val="16"/>
                <w:szCs w:val="16"/>
                <w:lang w:val="en-GB" w:eastAsia="en-GB"/>
              </w:rPr>
              <w:t>[81]</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21651926"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 </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3E827B54"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Considered as one of the dimensions under SI and mentioned as 'new service delivery system'</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2EC22C05"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Qualitative</w:t>
            </w:r>
          </w:p>
        </w:tc>
      </w:tr>
      <w:tr w:rsidR="005B0AC6" w:rsidRPr="003615E0" w14:paraId="053BE23D" w14:textId="77777777" w:rsidTr="00D75BEE">
        <w:trPr>
          <w:trHeight w:val="1191"/>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55C641D8" w14:textId="70C7A7C9" w:rsidR="005B0AC6" w:rsidRPr="003615E0" w:rsidRDefault="00D36324" w:rsidP="007674BE">
            <w:pPr>
              <w:rPr>
                <w:color w:val="000000"/>
                <w:sz w:val="16"/>
                <w:szCs w:val="16"/>
                <w:lang w:val="en-GB" w:eastAsia="en-GB"/>
              </w:rPr>
            </w:pPr>
            <w:r>
              <w:rPr>
                <w:color w:val="000000"/>
                <w:sz w:val="16"/>
                <w:szCs w:val="16"/>
                <w:lang w:val="en-GB" w:eastAsia="en-GB"/>
              </w:rPr>
              <w:t>[82]</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31D8E2A5"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 </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687BB259"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In experiential services, using a "journey perspective," innovation in SD is one of five design areas for holistic service innovation.</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6C75FB70"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Qualitative</w:t>
            </w:r>
          </w:p>
        </w:tc>
      </w:tr>
      <w:tr w:rsidR="005B0AC6" w:rsidRPr="003615E0" w14:paraId="72B409DB" w14:textId="77777777" w:rsidTr="00D75BEE">
        <w:trPr>
          <w:trHeight w:val="1191"/>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6562FD06" w14:textId="3B73E099" w:rsidR="005B0AC6" w:rsidRPr="003615E0" w:rsidRDefault="00D36324" w:rsidP="007674BE">
            <w:pPr>
              <w:rPr>
                <w:color w:val="000000"/>
                <w:sz w:val="16"/>
                <w:szCs w:val="16"/>
                <w:lang w:val="en-GB" w:eastAsia="en-GB"/>
              </w:rPr>
            </w:pPr>
            <w:r>
              <w:rPr>
                <w:color w:val="000000"/>
                <w:sz w:val="16"/>
                <w:szCs w:val="16"/>
                <w:lang w:val="en-GB" w:eastAsia="en-GB"/>
              </w:rPr>
              <w:t>[24]</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2191B83B" w14:textId="165200F4" w:rsidR="005B0AC6" w:rsidRPr="003615E0" w:rsidRDefault="005B0AC6" w:rsidP="007674BE">
            <w:pPr>
              <w:jc w:val="center"/>
              <w:rPr>
                <w:color w:val="000000"/>
                <w:sz w:val="16"/>
                <w:szCs w:val="16"/>
                <w:lang w:val="en-GB" w:eastAsia="en-GB"/>
              </w:rPr>
            </w:pPr>
            <w:r w:rsidRPr="003615E0">
              <w:rPr>
                <w:color w:val="000000"/>
                <w:sz w:val="16"/>
                <w:szCs w:val="16"/>
                <w:lang w:val="en-GB" w:eastAsia="en-GB"/>
              </w:rPr>
              <w:t>Firm performance is measured by studying SDI and its antecedents emphasizing scant research.</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6E557C3C" w14:textId="77777777" w:rsidR="005B0AC6" w:rsidRPr="003615E0" w:rsidRDefault="005B0AC6" w:rsidP="007674BE">
            <w:pPr>
              <w:rPr>
                <w:color w:val="000000"/>
                <w:sz w:val="16"/>
                <w:szCs w:val="16"/>
                <w:lang w:val="en-GB" w:eastAsia="en-GB"/>
              </w:rPr>
            </w:pPr>
            <w:r w:rsidRPr="003615E0">
              <w:rPr>
                <w:color w:val="000000"/>
                <w:sz w:val="16"/>
                <w:szCs w:val="16"/>
                <w:lang w:val="en-GB" w:eastAsia="en-GB"/>
              </w:rPr>
              <w:t> </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608BEA9A"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Quantitative</w:t>
            </w:r>
          </w:p>
        </w:tc>
      </w:tr>
      <w:tr w:rsidR="005B0AC6" w:rsidRPr="003615E0" w14:paraId="158B6BB3" w14:textId="77777777" w:rsidTr="00D75BEE">
        <w:trPr>
          <w:trHeight w:val="1191"/>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7FEB16AF" w14:textId="38F8655E" w:rsidR="005B0AC6" w:rsidRPr="003615E0" w:rsidRDefault="00D36324" w:rsidP="007674BE">
            <w:pPr>
              <w:rPr>
                <w:color w:val="000000"/>
                <w:sz w:val="16"/>
                <w:szCs w:val="16"/>
                <w:lang w:val="en-GB" w:eastAsia="en-GB"/>
              </w:rPr>
            </w:pPr>
            <w:r>
              <w:rPr>
                <w:color w:val="000000"/>
                <w:sz w:val="16"/>
                <w:szCs w:val="16"/>
                <w:lang w:val="en-GB" w:eastAsia="en-GB"/>
              </w:rPr>
              <w:t>[83]</w:t>
            </w:r>
            <w:r w:rsidR="005B0AC6" w:rsidRPr="003615E0">
              <w:rPr>
                <w:color w:val="000000"/>
                <w:sz w:val="16"/>
                <w:szCs w:val="16"/>
                <w:lang w:val="en-GB" w:eastAsia="en-GB"/>
              </w:rPr>
              <w:t xml:space="preserve"> </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78D228CA"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 </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3173B8E8"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SI is conceptualized as an "elevated service offering" comprising multidimensional aspects, including a new service delivery system.</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3F8968EF"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Qualitative</w:t>
            </w:r>
          </w:p>
        </w:tc>
      </w:tr>
      <w:tr w:rsidR="005B0AC6" w:rsidRPr="003615E0" w14:paraId="040FBD2C" w14:textId="77777777" w:rsidTr="00D75BEE">
        <w:trPr>
          <w:trHeight w:val="896"/>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20AF6176" w14:textId="3D45C737" w:rsidR="005B0AC6" w:rsidRPr="003615E0" w:rsidRDefault="00D36324" w:rsidP="007674BE">
            <w:pPr>
              <w:rPr>
                <w:color w:val="000000"/>
                <w:sz w:val="16"/>
                <w:szCs w:val="16"/>
                <w:lang w:val="en-GB" w:eastAsia="en-GB"/>
              </w:rPr>
            </w:pPr>
            <w:r>
              <w:rPr>
                <w:color w:val="000000"/>
                <w:sz w:val="16"/>
                <w:szCs w:val="16"/>
                <w:lang w:val="en-GB" w:eastAsia="en-GB"/>
              </w:rPr>
              <w:t>[84]</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033A9E86"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The prime variable studied with the help of a conceptual model is SDI within the firm.</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7AE0260F" w14:textId="77777777" w:rsidR="005B0AC6" w:rsidRPr="003615E0" w:rsidRDefault="005B0AC6" w:rsidP="007674BE">
            <w:pPr>
              <w:rPr>
                <w:color w:val="000000"/>
                <w:sz w:val="16"/>
                <w:szCs w:val="16"/>
                <w:lang w:val="en-GB" w:eastAsia="en-GB"/>
              </w:rPr>
            </w:pPr>
            <w:r w:rsidRPr="003615E0">
              <w:rPr>
                <w:color w:val="000000"/>
                <w:sz w:val="16"/>
                <w:szCs w:val="16"/>
                <w:lang w:val="en-GB" w:eastAsia="en-GB"/>
              </w:rPr>
              <w:t> </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0421142D"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Quantitative</w:t>
            </w:r>
          </w:p>
        </w:tc>
      </w:tr>
      <w:tr w:rsidR="005B0AC6" w:rsidRPr="003615E0" w14:paraId="77444410" w14:textId="77777777" w:rsidTr="00D75BEE">
        <w:trPr>
          <w:trHeight w:val="1191"/>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6AD8E4A6" w14:textId="08005477" w:rsidR="005B0AC6" w:rsidRPr="003615E0" w:rsidRDefault="00D36324" w:rsidP="007674BE">
            <w:pPr>
              <w:rPr>
                <w:color w:val="000000"/>
                <w:sz w:val="16"/>
                <w:szCs w:val="16"/>
                <w:lang w:val="en-GB" w:eastAsia="en-GB"/>
              </w:rPr>
            </w:pPr>
            <w:r>
              <w:rPr>
                <w:color w:val="000000"/>
                <w:sz w:val="16"/>
                <w:szCs w:val="16"/>
                <w:lang w:val="en-GB" w:eastAsia="en-GB"/>
              </w:rPr>
              <w:t>[85]</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1DC89FD4" w14:textId="77777777" w:rsidR="005B0AC6" w:rsidRPr="003615E0" w:rsidRDefault="005B0AC6" w:rsidP="007674BE">
            <w:pPr>
              <w:rPr>
                <w:color w:val="000000"/>
                <w:sz w:val="16"/>
                <w:szCs w:val="16"/>
                <w:lang w:val="en-GB" w:eastAsia="en-GB"/>
              </w:rPr>
            </w:pPr>
            <w:r w:rsidRPr="003615E0">
              <w:rPr>
                <w:color w:val="000000"/>
                <w:sz w:val="16"/>
                <w:szCs w:val="16"/>
                <w:lang w:val="en-GB" w:eastAsia="en-GB"/>
              </w:rPr>
              <w:t> </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34A854AB"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In this meta-analysis, 'proficient operations and delivery systems' is considered as one of the antecedents and success factors of SI performance.</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38C4F6FE"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Qualitative</w:t>
            </w:r>
          </w:p>
        </w:tc>
      </w:tr>
      <w:tr w:rsidR="005B0AC6" w:rsidRPr="003615E0" w14:paraId="07B1A6A6" w14:textId="77777777" w:rsidTr="00D75BEE">
        <w:trPr>
          <w:trHeight w:val="1023"/>
        </w:trPr>
        <w:tc>
          <w:tcPr>
            <w:tcW w:w="709" w:type="dxa"/>
            <w:tcBorders>
              <w:top w:val="nil"/>
              <w:left w:val="nil"/>
              <w:bottom w:val="single" w:sz="8" w:space="0" w:color="auto"/>
              <w:right w:val="nil"/>
            </w:tcBorders>
            <w:shd w:val="clear" w:color="auto" w:fill="auto"/>
            <w:tcMar>
              <w:left w:w="28" w:type="dxa"/>
              <w:right w:w="28" w:type="dxa"/>
            </w:tcMar>
            <w:vAlign w:val="center"/>
            <w:hideMark/>
          </w:tcPr>
          <w:p w14:paraId="10F41932" w14:textId="4B34A25E" w:rsidR="005B0AC6" w:rsidRPr="003615E0" w:rsidRDefault="00D36324" w:rsidP="007674BE">
            <w:pPr>
              <w:rPr>
                <w:color w:val="000000"/>
                <w:sz w:val="16"/>
                <w:szCs w:val="16"/>
                <w:lang w:val="en-GB" w:eastAsia="en-GB"/>
              </w:rPr>
            </w:pPr>
            <w:r>
              <w:rPr>
                <w:color w:val="000000"/>
                <w:sz w:val="16"/>
                <w:szCs w:val="16"/>
                <w:lang w:val="en-GB" w:eastAsia="en-GB"/>
              </w:rPr>
              <w:t>[86]</w:t>
            </w:r>
            <w:r w:rsidR="005B0AC6" w:rsidRPr="003615E0">
              <w:rPr>
                <w:color w:val="000000"/>
                <w:sz w:val="16"/>
                <w:szCs w:val="16"/>
                <w:lang w:val="en-GB" w:eastAsia="en-GB"/>
              </w:rPr>
              <w:t xml:space="preserve"> </w:t>
            </w:r>
          </w:p>
        </w:tc>
        <w:tc>
          <w:tcPr>
            <w:tcW w:w="1559" w:type="dxa"/>
            <w:tcBorders>
              <w:top w:val="nil"/>
              <w:left w:val="nil"/>
              <w:bottom w:val="single" w:sz="8" w:space="0" w:color="auto"/>
              <w:right w:val="nil"/>
            </w:tcBorders>
            <w:shd w:val="clear" w:color="auto" w:fill="auto"/>
            <w:tcMar>
              <w:left w:w="28" w:type="dxa"/>
              <w:right w:w="28" w:type="dxa"/>
            </w:tcMar>
            <w:vAlign w:val="center"/>
            <w:hideMark/>
          </w:tcPr>
          <w:p w14:paraId="7F773E8B" w14:textId="77777777" w:rsidR="005B0AC6" w:rsidRPr="003615E0" w:rsidRDefault="005B0AC6" w:rsidP="007674BE">
            <w:pPr>
              <w:rPr>
                <w:color w:val="000000"/>
                <w:sz w:val="16"/>
                <w:szCs w:val="16"/>
                <w:lang w:val="en-GB" w:eastAsia="en-GB"/>
              </w:rPr>
            </w:pPr>
            <w:r w:rsidRPr="003615E0">
              <w:rPr>
                <w:color w:val="000000"/>
                <w:sz w:val="16"/>
                <w:szCs w:val="16"/>
                <w:lang w:val="en-GB" w:eastAsia="en-GB"/>
              </w:rPr>
              <w:t> </w:t>
            </w:r>
          </w:p>
        </w:tc>
        <w:tc>
          <w:tcPr>
            <w:tcW w:w="1843" w:type="dxa"/>
            <w:tcBorders>
              <w:top w:val="nil"/>
              <w:left w:val="nil"/>
              <w:bottom w:val="single" w:sz="8" w:space="0" w:color="auto"/>
              <w:right w:val="nil"/>
            </w:tcBorders>
            <w:shd w:val="clear" w:color="auto" w:fill="auto"/>
            <w:tcMar>
              <w:left w:w="28" w:type="dxa"/>
              <w:right w:w="28" w:type="dxa"/>
            </w:tcMar>
            <w:vAlign w:val="center"/>
            <w:hideMark/>
          </w:tcPr>
          <w:p w14:paraId="1CA76138"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The study examined how SI enhances SD, treating improvements as process innovation through technology, rather than as innovation itself.</w:t>
            </w:r>
          </w:p>
        </w:tc>
        <w:tc>
          <w:tcPr>
            <w:tcW w:w="851" w:type="dxa"/>
            <w:tcBorders>
              <w:top w:val="nil"/>
              <w:left w:val="nil"/>
              <w:bottom w:val="single" w:sz="8" w:space="0" w:color="auto"/>
              <w:right w:val="nil"/>
            </w:tcBorders>
            <w:shd w:val="clear" w:color="auto" w:fill="auto"/>
            <w:tcMar>
              <w:left w:w="28" w:type="dxa"/>
              <w:right w:w="28" w:type="dxa"/>
            </w:tcMar>
            <w:vAlign w:val="center"/>
            <w:hideMark/>
          </w:tcPr>
          <w:p w14:paraId="5C496B99" w14:textId="77777777" w:rsidR="005B0AC6" w:rsidRPr="003615E0" w:rsidRDefault="005B0AC6" w:rsidP="007674BE">
            <w:pPr>
              <w:jc w:val="center"/>
              <w:rPr>
                <w:color w:val="000000"/>
                <w:sz w:val="16"/>
                <w:szCs w:val="16"/>
                <w:lang w:val="en-GB" w:eastAsia="en-GB"/>
              </w:rPr>
            </w:pPr>
            <w:r w:rsidRPr="003615E0">
              <w:rPr>
                <w:color w:val="000000"/>
                <w:sz w:val="16"/>
                <w:szCs w:val="16"/>
                <w:lang w:val="en-GB" w:eastAsia="en-GB"/>
              </w:rPr>
              <w:t>Quantitative</w:t>
            </w:r>
          </w:p>
        </w:tc>
      </w:tr>
      <w:bookmarkEnd w:id="3"/>
    </w:tbl>
    <w:p w14:paraId="6EEAAE99" w14:textId="77777777" w:rsidR="00CE0937" w:rsidRDefault="00CE0937" w:rsidP="00427835">
      <w:pPr>
        <w:jc w:val="both"/>
      </w:pPr>
    </w:p>
    <w:p w14:paraId="0A79EC59" w14:textId="1198CCCF" w:rsidR="00F14D23" w:rsidRPr="00B13BCD" w:rsidRDefault="00F14D23" w:rsidP="00427835">
      <w:pPr>
        <w:jc w:val="both"/>
      </w:pPr>
      <w:r w:rsidRPr="00B13BCD">
        <w:lastRenderedPageBreak/>
        <w:t xml:space="preserve">While elements such as customer experience, business models, and efficiency are recognized as helping SI succeed, their relative importance is not well known </w:t>
      </w:r>
      <w:r w:rsidRPr="00B13BCD">
        <w:fldChar w:fldCharType="begin" w:fldLock="1"/>
      </w:r>
      <w:r w:rsidRPr="00B13BCD">
        <w:instrText>ADDIN CSL_CITATION {"citationItems":[{"id":"ITEM-1","itemData":{"ISBN":"1094-6705","author":[{"dropping-particle":"","family":"Gustafsson","given":"Anders","non-dropping-particle":"","parse-names":false,"suffix":""},{"dropping-particle":"","family":"Snyder","given":"Hannah","non-dropping-particle":"","parse-names":false,"suffix":""},{"dropping-particle":"","family":"Witell","given":"Lars","non-dropping-particle":"","parse-names":false,"suffix":""}],"id":"ITEM-1","issued":{"date-parts":[["2020"]]},"publisher":"Sage Publications Sage CA: Los Angeles, CA","title":"Service innovation: a new conceptualization and path forward","type":"article"},"uris":["http://www.mendeley.com/documents/?uuid=238a8f3e-a345-4cc0-b783-16045062c291"]}],"mendeley":{"formattedCitation":"[73]","plainTextFormattedCitation":"[73]","previouslyFormattedCitation":"[73]"},"properties":{"noteIndex":0},"schema":"https://github.com/citation-style-language/schema/raw/master/csl-citation.json"}</w:instrText>
      </w:r>
      <w:r w:rsidRPr="00B13BCD">
        <w:fldChar w:fldCharType="separate"/>
      </w:r>
      <w:r w:rsidRPr="00B13BCD">
        <w:rPr>
          <w:noProof/>
        </w:rPr>
        <w:t>[</w:t>
      </w:r>
      <w:r w:rsidR="00D75BEE">
        <w:rPr>
          <w:noProof/>
        </w:rPr>
        <w:t>8</w:t>
      </w:r>
      <w:r w:rsidRPr="00B13BCD">
        <w:rPr>
          <w:noProof/>
        </w:rPr>
        <w:t>7]</w:t>
      </w:r>
      <w:r w:rsidRPr="00B13BCD">
        <w:fldChar w:fldCharType="end"/>
      </w:r>
      <w:r w:rsidRPr="00B13BCD">
        <w:t>. Forwarding the argument, we propose that the effect of SDI also needs to be studied as a separate construct from SI. S</w:t>
      </w:r>
      <w:r w:rsidR="007F1847">
        <w:t>D</w:t>
      </w:r>
      <w:r w:rsidRPr="00B13BCD">
        <w:t xml:space="preserve"> can result in service failure, whereas a well-executed delivery of service with a positive conclusion increases service quality and brand image ratings </w:t>
      </w:r>
      <w:r w:rsidRPr="00B13BCD">
        <w:fldChar w:fldCharType="begin" w:fldLock="1"/>
      </w:r>
      <w:r w:rsidRPr="00B13BCD">
        <w:instrText>ADDIN CSL_CITATION {"citationItems":[{"id":"ITEM-1","itemData":{"ISSN":"0008-1256","author":[{"dropping-particle":"","family":"Bitner","given":"Mary Jo","non-dropping-particle":"","parse-names":false,"suffix":""},{"dropping-particle":"","family":"Ostrom","given":"Amy L","non-dropping-particle":"","parse-names":false,"suffix":""},{"dropping-particle":"","family":"Morgan","given":"Felicia N","non-dropping-particle":"","parse-names":false,"suffix":""}],"container-title":"California management review","id":"ITEM-1","issue":"3","issued":{"date-parts":[["2008"]]},"page":"66-94","publisher":"SAGE Publications Sage CA: Los Angeles, CA","title":"Service blueprinting: a practical technique for service innovation","type":"article-journal","volume":"50"},"uris":["http://www.mendeley.com/documents/?uuid=026781bc-d8f4-4b2f-b8d6-06b252420c40"]}],"mendeley":{"formattedCitation":"[74]","plainTextFormattedCitation":"[74]","previouslyFormattedCitation":"[74]"},"properties":{"noteIndex":0},"schema":"https://github.com/citation-style-language/schema/raw/master/csl-citation.json"}</w:instrText>
      </w:r>
      <w:r w:rsidRPr="00B13BCD">
        <w:fldChar w:fldCharType="separate"/>
      </w:r>
      <w:r w:rsidRPr="00B13BCD">
        <w:rPr>
          <w:noProof/>
        </w:rPr>
        <w:t>[</w:t>
      </w:r>
      <w:r w:rsidR="00D75BEE">
        <w:rPr>
          <w:noProof/>
        </w:rPr>
        <w:t>88</w:t>
      </w:r>
      <w:r w:rsidRPr="00B13BCD">
        <w:rPr>
          <w:noProof/>
        </w:rPr>
        <w:t>]</w:t>
      </w:r>
      <w:r w:rsidRPr="00B13BCD">
        <w:fldChar w:fldCharType="end"/>
      </w:r>
      <w:r w:rsidRPr="00B13BCD">
        <w:t xml:space="preserve">. SI adds significant value to the services by introducing novel features, while SDI adds value to the services by introducing novel features into the delivery process of these services. We contend that the value SI increases with the amount of value the delivery process generates. Because value creation differs for each customer, if the delivery process is not determined to be coordinated with the consumer’s expectations, the value created may be reduced as a result. Additionally, the combination of </w:t>
      </w:r>
      <w:r w:rsidR="007F1847">
        <w:t>SI</w:t>
      </w:r>
      <w:r w:rsidRPr="00B13BCD">
        <w:t xml:space="preserve"> and SDI acts as a capability that keeps reconfiguring itself to maximize value addition. The operant resources in use sense and seize opportunities to develop new services and new ways to deliver these services in the context of CE. Therefore, we hypothesize that:</w:t>
      </w:r>
    </w:p>
    <w:p w14:paraId="026CC9C8" w14:textId="77777777" w:rsidR="00F14D23" w:rsidRDefault="00F14D23" w:rsidP="00427835">
      <w:pPr>
        <w:jc w:val="both"/>
        <w:rPr>
          <w:i/>
          <w:iCs/>
        </w:rPr>
      </w:pPr>
      <w:r w:rsidRPr="00B13BCD">
        <w:rPr>
          <w:i/>
          <w:iCs/>
        </w:rPr>
        <w:t xml:space="preserve">H4: Service delivery innovation </w:t>
      </w:r>
      <w:bookmarkStart w:id="4" w:name="_Hlk102896146"/>
      <w:r w:rsidRPr="00B13BCD">
        <w:rPr>
          <w:i/>
          <w:iCs/>
        </w:rPr>
        <w:t xml:space="preserve">moderates the mediated effect of </w:t>
      </w:r>
      <w:bookmarkEnd w:id="4"/>
      <w:r w:rsidRPr="00B13BCD">
        <w:rPr>
          <w:i/>
          <w:iCs/>
        </w:rPr>
        <w:t xml:space="preserve">customer value creation on the relationship between service innovation and customer satisfaction, within the framework of circular economy. </w:t>
      </w:r>
    </w:p>
    <w:p w14:paraId="2C9842DA" w14:textId="4804BFE3" w:rsidR="00F14D23" w:rsidRDefault="00F14D23" w:rsidP="00427835">
      <w:pPr>
        <w:jc w:val="both"/>
      </w:pPr>
      <w:r w:rsidRPr="00B13BCD">
        <w:t xml:space="preserve">Based on the relationships discussed in this section between the constructs and the hypotheses developed, the conceptual model </w:t>
      </w:r>
      <w:r w:rsidRPr="00697DB6">
        <w:t>(Figure 1) below</w:t>
      </w:r>
      <w:r w:rsidRPr="00B13BCD">
        <w:t xml:space="preserve"> is proposed</w:t>
      </w:r>
      <w:r w:rsidR="00D76C4A">
        <w:t>.</w:t>
      </w:r>
    </w:p>
    <w:p w14:paraId="7D37C5DC" w14:textId="77777777" w:rsidR="00D76C4A" w:rsidRDefault="00D76C4A" w:rsidP="00427835">
      <w:pPr>
        <w:jc w:val="both"/>
      </w:pPr>
    </w:p>
    <w:p w14:paraId="4FAEA50D" w14:textId="3E8436EE" w:rsidR="00D76C4A" w:rsidRDefault="000F7A33" w:rsidP="000F7A33">
      <w:pPr>
        <w:jc w:val="center"/>
      </w:pPr>
      <w:r>
        <w:rPr>
          <w:noProof/>
        </w:rPr>
        <w:drawing>
          <wp:inline distT="0" distB="0" distL="0" distR="0" wp14:anchorId="25018B86" wp14:editId="3CCE9A47">
            <wp:extent cx="3191231" cy="1960245"/>
            <wp:effectExtent l="0" t="0" r="9525" b="1905"/>
            <wp:docPr id="355233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950" cy="1999385"/>
                    </a:xfrm>
                    <a:prstGeom prst="rect">
                      <a:avLst/>
                    </a:prstGeom>
                    <a:noFill/>
                  </pic:spPr>
                </pic:pic>
              </a:graphicData>
            </a:graphic>
          </wp:inline>
        </w:drawing>
      </w:r>
    </w:p>
    <w:p w14:paraId="1232B6F3" w14:textId="427B9C00" w:rsidR="00D76C4A" w:rsidRDefault="00D76C4A" w:rsidP="00427835">
      <w:pPr>
        <w:jc w:val="both"/>
        <w:rPr>
          <w:sz w:val="16"/>
          <w:szCs w:val="16"/>
        </w:rPr>
      </w:pPr>
    </w:p>
    <w:p w14:paraId="5CFE3BEF" w14:textId="4141524C" w:rsidR="004E0485" w:rsidRPr="00D76C4A" w:rsidRDefault="004E0485" w:rsidP="004E0485">
      <w:pPr>
        <w:jc w:val="center"/>
        <w:rPr>
          <w:sz w:val="16"/>
          <w:szCs w:val="16"/>
        </w:rPr>
      </w:pPr>
      <w:r w:rsidRPr="00F650AA">
        <w:rPr>
          <w:b/>
          <w:bCs/>
        </w:rPr>
        <w:t>Fig. 1.</w:t>
      </w:r>
      <w:r w:rsidRPr="00F650AA">
        <w:t xml:space="preserve"> Conceptual model</w:t>
      </w:r>
    </w:p>
    <w:p w14:paraId="66977DBE" w14:textId="252ADFA4" w:rsidR="00E97B99" w:rsidRDefault="00F14D23" w:rsidP="000F7A33">
      <w:pPr>
        <w:pStyle w:val="Heading1"/>
      </w:pPr>
      <w:r>
        <w:t>RESEARCH METHODOLOGY</w:t>
      </w:r>
    </w:p>
    <w:p w14:paraId="461DC978" w14:textId="2C90D9FC" w:rsidR="00F14D23" w:rsidRPr="00B13BCD" w:rsidRDefault="00F14D23" w:rsidP="00427835">
      <w:pPr>
        <w:jc w:val="both"/>
      </w:pPr>
      <w:r w:rsidRPr="00B13BCD">
        <w:t xml:space="preserve">In this quantitative study, primary data is collected using a survey design. The survey consisted of items based on constructs from established scales. The study uses different statistical tools to test, analyze, and report the findings. IBM SPSS is used to conduct EFA (Exploratory Factor Analysis) for factor rationalization. Then, we conduct CFA (Confirmatory Factory Analysis) using IBM AMOS to validate the model fit, estimate the various relationships, and examine construct, convergent, and discriminant validity and reliability. The Hayes process model </w:t>
      </w:r>
      <w:r w:rsidRPr="00B13BCD">
        <w:fldChar w:fldCharType="begin" w:fldLock="1"/>
      </w:r>
      <w:r w:rsidRPr="00B13BCD">
        <w:instrText>ADDIN CSL_CITATION {"citationItems":[{"id":"ITEM-1","itemData":{"author":[{"dropping-particle":"","family":"Hayes","given":"Andrew F","non-dropping-particle":"","parse-names":false,"suffix":""}],"id":"ITEM-1","issued":{"date-parts":[["2012"]]},"publisher":"University of Kansas, KS","title":"PROCESS: A versatile computational tool for observed variable mediation, moderation, and conditional process modeling","type":"article"},"uris":["http://www.mendeley.com/documents/?uuid=d4da5a47-f25c-412c-b5b2-429d4e06293b"]}],"mendeley":{"formattedCitation":"[75]","plainTextFormattedCitation":"[75]","previouslyFormattedCitation":"[75]"},"properties":{"noteIndex":0},"schema":"https://github.com/citation-style-language/schema/raw/master/csl-citation.json"}</w:instrText>
      </w:r>
      <w:r w:rsidRPr="00B13BCD">
        <w:fldChar w:fldCharType="separate"/>
      </w:r>
      <w:r w:rsidRPr="00B13BCD">
        <w:rPr>
          <w:noProof/>
        </w:rPr>
        <w:t>[</w:t>
      </w:r>
      <w:r w:rsidR="00D75BEE">
        <w:rPr>
          <w:noProof/>
        </w:rPr>
        <w:t>89</w:t>
      </w:r>
      <w:r w:rsidRPr="00B13BCD">
        <w:rPr>
          <w:noProof/>
        </w:rPr>
        <w:t>]</w:t>
      </w:r>
      <w:r w:rsidRPr="00B13BCD">
        <w:fldChar w:fldCharType="end"/>
      </w:r>
      <w:r w:rsidRPr="00B13BCD">
        <w:t xml:space="preserve"> in SPSS is used to conduct moderation, </w:t>
      </w:r>
      <w:r w:rsidRPr="00B13BCD">
        <w:t>mediation, and moderated mediation based on the relationships conceptualized in the model.</w:t>
      </w:r>
    </w:p>
    <w:p w14:paraId="7FC6DDA7" w14:textId="77777777" w:rsidR="00F14D23" w:rsidRPr="00B13BCD" w:rsidRDefault="00F14D23" w:rsidP="00427835">
      <w:pPr>
        <w:jc w:val="both"/>
      </w:pPr>
      <w:bookmarkStart w:id="5" w:name="_Hlk160956929"/>
      <w:r w:rsidRPr="00B13BCD">
        <w:t xml:space="preserve">We invited participation in the survey from customers using a mobile connection from at least one Indian mobile network operator (MNO). The response was obtained by convenience sampling conducted online using the social media application 'WhatsApp' in English. </w:t>
      </w:r>
      <w:bookmarkStart w:id="6" w:name="_Hlk160956663"/>
      <w:r w:rsidRPr="00B13BCD">
        <w:t xml:space="preserve">The form was forwarded by multiple sources, preventing the calculation of a response rate. We observed that 1,223 respondents viewed the survey, of which 645 initiated it. However, only 435 completed the survey included in the final study </w:t>
      </w:r>
      <w:bookmarkEnd w:id="6"/>
      <w:r w:rsidRPr="00B13BCD">
        <w:t xml:space="preserve">(Table A.1). </w:t>
      </w:r>
    </w:p>
    <w:p w14:paraId="0B324070" w14:textId="77777777" w:rsidR="00F14D23" w:rsidRPr="00B13BCD" w:rsidRDefault="00F14D23" w:rsidP="00427835">
      <w:pPr>
        <w:pStyle w:val="Heading2"/>
        <w:jc w:val="both"/>
      </w:pPr>
      <w:r w:rsidRPr="00B13BCD">
        <w:t>Telecommunications - Background</w:t>
      </w:r>
    </w:p>
    <w:p w14:paraId="7B07905B" w14:textId="5DB4C8BB" w:rsidR="00F14D23" w:rsidRPr="00B13BCD" w:rsidRDefault="00F14D23" w:rsidP="00427835">
      <w:pPr>
        <w:jc w:val="both"/>
      </w:pPr>
      <w:r w:rsidRPr="00B13BCD">
        <w:t xml:space="preserve">BCG forecasts that adopting the circular economy by the ICT industry may reduce world emissions by 15% by 2030. This represents more than a third of the carbon reductions needed to satisfy Paris Agreement sustainability commitments </w:t>
      </w:r>
      <w:r w:rsidRPr="00B13BCD">
        <w:fldChar w:fldCharType="begin" w:fldLock="1"/>
      </w:r>
      <w:r w:rsidRPr="00B13BCD">
        <w:instrText>ADDIN CSL_CITATION {"citationItems":[{"id":"ITEM-1","itemData":{"URL":"https://www.bcg.com/press/24june2021-telco-sector-game-changer-sustainability-shrinking-carbon-footprints","abstract":"Skyrocketing Global Data Usage, Propelled by the COVID Pandemic, Is Drawing Attention to the ICT Industry’s CO2 Emissions, Which Are Currently Twice Those of the Aviation Industry.","accessed":{"date-parts":[["2024","3","21"]]},"author":[{"dropping-particle":"","family":"BCG","given":"","non-dropping-particle":"","parse-names":false,"suffix":""}],"id":"ITEM-1","issued":{"date-parts":[["2021"]]},"title":"Telco Sector Can Be Game-Changer on Sustainability, Shrinking Its Own, Other Industries’ Carbon Footprints","type":"webpage"},"uris":["http://www.mendeley.com/documents/?uuid=5c66a288-fbd7-4bc4-b3f1-324961a9ba5c"]}],"mendeley":{"formattedCitation":"[76]","plainTextFormattedCitation":"[76]","previouslyFormattedCitation":"[76]"},"properties":{"noteIndex":0},"schema":"https://github.com/citation-style-language/schema/raw/master/csl-citation.json"}</w:instrText>
      </w:r>
      <w:r w:rsidRPr="00B13BCD">
        <w:fldChar w:fldCharType="separate"/>
      </w:r>
      <w:r w:rsidRPr="00B13BCD">
        <w:rPr>
          <w:noProof/>
        </w:rPr>
        <w:t>[</w:t>
      </w:r>
      <w:r w:rsidR="00D75BEE">
        <w:rPr>
          <w:noProof/>
        </w:rPr>
        <w:t>90</w:t>
      </w:r>
      <w:r w:rsidRPr="00B13BCD">
        <w:rPr>
          <w:noProof/>
        </w:rPr>
        <w:t>]</w:t>
      </w:r>
      <w:r w:rsidRPr="00B13BCD">
        <w:fldChar w:fldCharType="end"/>
      </w:r>
      <w:r w:rsidRPr="00B13BCD">
        <w:t xml:space="preserve">. The GSMA's "Mobile Net Zero: State of the Industry on Climate Action 2022" report states that 50 operators, representing 63% of the industry by revenue and 44% by connections, will quickly cut emissions over the next decade </w:t>
      </w:r>
      <w:r w:rsidRPr="00B13BCD">
        <w:fldChar w:fldCharType="begin" w:fldLock="1"/>
      </w:r>
      <w:r w:rsidRPr="00B13BCD">
        <w:instrText>ADDIN CSL_CITATION {"citationItems":[{"id":"ITEM-1","itemData":{"abstract":"State of the Industry on Climate Action 2022","author":[{"dropping-particle":"","family":"GSMA","given":"","non-dropping-particle":"","parse-names":false,"suffix":""}],"id":"ITEM-1","issued":{"date-parts":[["2022"]]},"title":"No Title","type":"report"},"uris":["http://www.mendeley.com/documents/?uuid=a3f009d3-9f97-4af8-85aa-6bc4483fc147"]}],"mendeley":{"formattedCitation":"[77]","plainTextFormattedCitation":"[77]","previouslyFormattedCitation":"[77]"},"properties":{"noteIndex":0},"schema":"https://github.com/citation-style-language/schema/raw/master/csl-citation.json"}</w:instrText>
      </w:r>
      <w:r w:rsidRPr="00B13BCD">
        <w:fldChar w:fldCharType="separate"/>
      </w:r>
      <w:r w:rsidRPr="00B13BCD">
        <w:rPr>
          <w:noProof/>
        </w:rPr>
        <w:t>[</w:t>
      </w:r>
      <w:r w:rsidR="00D75BEE">
        <w:rPr>
          <w:noProof/>
        </w:rPr>
        <w:t>91</w:t>
      </w:r>
      <w:r w:rsidRPr="00B13BCD">
        <w:rPr>
          <w:noProof/>
        </w:rPr>
        <w:t>]</w:t>
      </w:r>
      <w:r w:rsidRPr="00B13BCD">
        <w:fldChar w:fldCharType="end"/>
      </w:r>
      <w:r w:rsidRPr="00B13BCD">
        <w:t xml:space="preserve">. Global e-waste is expected to reach 74.7 million tons by 2030, with most of it incinerated or buried in landfills </w:t>
      </w:r>
      <w:r w:rsidRPr="00B13BCD">
        <w:fldChar w:fldCharType="begin" w:fldLock="1"/>
      </w:r>
      <w:r w:rsidRPr="00B13BCD">
        <w:instrText>ADDIN CSL_CITATION {"citationItems":[{"id":"ITEM-1","itemData":{"URL":"https://techmonitor.ai/leadership/sustainability/telcos-circular-economy-principles-tackle-e-waste","accessed":{"date-parts":[["2023","12","9"]]},"author":[{"dropping-particle":"","family":"Fitri","given":"Afiq","non-dropping-particle":"","parse-names":false,"suffix":""}],"container-title":"TechMonitor.ai","id":"ITEM-1","issued":{"date-parts":[["2022"]]},"title":"How telcos are applying circular economy principles to tackle e-waste","type":"webpage"},"uris":["http://www.mendeley.com/documents/?uuid=b5e9644c-fd7a-3f0c-861d-e1d97a7d0837"]}],"mendeley":{"formattedCitation":"[78]","plainTextFormattedCitation":"[78]","previouslyFormattedCitation":"[78]"},"properties":{"noteIndex":0},"schema":"https://github.com/citation-style-language/schema/raw/master/csl-citation.json"}</w:instrText>
      </w:r>
      <w:r w:rsidRPr="00B13BCD">
        <w:fldChar w:fldCharType="separate"/>
      </w:r>
      <w:r w:rsidRPr="00B13BCD">
        <w:rPr>
          <w:noProof/>
        </w:rPr>
        <w:t>[</w:t>
      </w:r>
      <w:r w:rsidR="00D75BEE">
        <w:rPr>
          <w:noProof/>
        </w:rPr>
        <w:t>92</w:t>
      </w:r>
      <w:r w:rsidRPr="00B13BCD">
        <w:rPr>
          <w:noProof/>
        </w:rPr>
        <w:t>]</w:t>
      </w:r>
      <w:r w:rsidRPr="00B13BCD">
        <w:fldChar w:fldCharType="end"/>
      </w:r>
      <w:r w:rsidRPr="00B13BCD">
        <w:t xml:space="preserve">. According to Shield's, a telco solutions company, reused equipment has an 89% smaller carbon footprint than new hardware </w:t>
      </w:r>
      <w:r w:rsidRPr="00B13BCD">
        <w:fldChar w:fldCharType="begin" w:fldLock="1"/>
      </w:r>
      <w:r w:rsidRPr="00B13BCD">
        <w:instrText>ADDIN CSL_CITATION {"citationItems":[{"id":"ITEM-1","itemData":{"author":[{"dropping-particle":"","family":"Stone","given":"George","non-dropping-particle":"","parse-names":false,"suffix":""}],"id":"ITEM-1","issued":{"date-parts":[["2021"]]},"title":"Shields MarketPlace: OEM vs Re-used Case Study | Shields","type":"report"},"uris":["http://www.mendeley.com/documents/?uuid=650d8de3-2cfa-3987-90a2-67c24a180d8d"]}],"mendeley":{"formattedCitation":"[79]","plainTextFormattedCitation":"[79]","previouslyFormattedCitation":"[79]"},"properties":{"noteIndex":0},"schema":"https://github.com/citation-style-language/schema/raw/master/csl-citation.json"}</w:instrText>
      </w:r>
      <w:r w:rsidRPr="00B13BCD">
        <w:fldChar w:fldCharType="separate"/>
      </w:r>
      <w:r w:rsidRPr="00B13BCD">
        <w:rPr>
          <w:noProof/>
        </w:rPr>
        <w:t>[9</w:t>
      </w:r>
      <w:r w:rsidR="00D75BEE">
        <w:rPr>
          <w:noProof/>
        </w:rPr>
        <w:t>3</w:t>
      </w:r>
      <w:r w:rsidRPr="00B13BCD">
        <w:rPr>
          <w:noProof/>
        </w:rPr>
        <w:t>]</w:t>
      </w:r>
      <w:r w:rsidRPr="00B13BCD">
        <w:fldChar w:fldCharType="end"/>
      </w:r>
      <w:r w:rsidRPr="00B13BCD">
        <w:t xml:space="preserve">. EY has reported that 90% of telecom operators find the circular economy important for their businesses </w:t>
      </w:r>
      <w:r w:rsidRPr="00B13BCD">
        <w:fldChar w:fldCharType="begin" w:fldLock="1"/>
      </w:r>
      <w:r w:rsidRPr="00B13BCD">
        <w:instrText>ADDIN CSL_CITATION {"citationItems":[{"id":"ITEM-1","itemData":{"author":[{"dropping-particle":"","family":"Zah","given":"Rainer","non-dropping-particle":"","parse-names":false,"suffix":""}],"container-title":"EY","id":"ITEM-1","issued":{"date-parts":[["2023"]]},"title":"If circularity is the future, how will it shape telecoms? | EY – Switzerland","type":"report"},"uris":["http://www.mendeley.com/documents/?uuid=f983aafe-6d59-3ba8-bb30-cd2fdc8e2d6a"]}],"mendeley":{"formattedCitation":"[80]","plainTextFormattedCitation":"[80]","previouslyFormattedCitation":"[80]"},"properties":{"noteIndex":0},"schema":"https://github.com/citation-style-language/schema/raw/master/csl-citation.json"}</w:instrText>
      </w:r>
      <w:r w:rsidRPr="00B13BCD">
        <w:fldChar w:fldCharType="separate"/>
      </w:r>
      <w:r w:rsidRPr="00B13BCD">
        <w:rPr>
          <w:noProof/>
        </w:rPr>
        <w:t>[</w:t>
      </w:r>
      <w:r w:rsidR="00D75BEE">
        <w:rPr>
          <w:noProof/>
        </w:rPr>
        <w:t>94</w:t>
      </w:r>
      <w:r w:rsidRPr="00B13BCD">
        <w:rPr>
          <w:noProof/>
        </w:rPr>
        <w:t>]</w:t>
      </w:r>
      <w:r w:rsidRPr="00B13BCD">
        <w:fldChar w:fldCharType="end"/>
      </w:r>
      <w:r w:rsidRPr="00B13BCD">
        <w:t xml:space="preserve">. EY has listed “poor management of the sustainability agenda” as one of the top ten challenges for telecommunications in 2023 </w:t>
      </w:r>
      <w:r w:rsidRPr="00B13BCD">
        <w:fldChar w:fldCharType="begin" w:fldLock="1"/>
      </w:r>
      <w:r w:rsidRPr="00B13BCD">
        <w:instrText>ADDIN CSL_CITATION {"citationItems":[{"id":"ITEM-1","itemData":{"URL":"https://www.ey.com/en_gl/telecommunications/top-ten-risks-for-telecommunications-in-2023","accessed":{"date-parts":[["2023","12","9"]]},"author":[{"dropping-particle":"","family":"Loozen, Tom; Baschnonga","given":"Adrian","non-dropping-particle":"","parse-names":false,"suffix":""}],"id":"ITEM-1","issued":{"date-parts":[["2022"]]},"title":"Top ten risks for telecommunications in 2023 | EY - Global","type":"webpage"},"uris":["http://www.mendeley.com/documents/?uuid=45cc0a27-87a4-3471-b124-af9cf1a2556c"]}],"mendeley":{"formattedCitation":"[81]","plainTextFormattedCitation":"[81]","previouslyFormattedCitation":"[81]"},"properties":{"noteIndex":0},"schema":"https://github.com/citation-style-language/schema/raw/master/csl-citation.json"}</w:instrText>
      </w:r>
      <w:r w:rsidRPr="00B13BCD">
        <w:fldChar w:fldCharType="separate"/>
      </w:r>
      <w:r w:rsidRPr="00B13BCD">
        <w:rPr>
          <w:noProof/>
        </w:rPr>
        <w:t>[</w:t>
      </w:r>
      <w:r w:rsidR="00D75BEE">
        <w:rPr>
          <w:noProof/>
        </w:rPr>
        <w:t>95</w:t>
      </w:r>
      <w:r w:rsidRPr="00B13BCD">
        <w:rPr>
          <w:noProof/>
        </w:rPr>
        <w:t>]</w:t>
      </w:r>
      <w:r w:rsidRPr="00B13BCD">
        <w:fldChar w:fldCharType="end"/>
      </w:r>
      <w:r w:rsidRPr="00B13BCD">
        <w:t>. As per ITU-TL.1020</w:t>
      </w:r>
      <w:r w:rsidRPr="00B13BCD">
        <w:rPr>
          <w:rStyle w:val="FootnoteReference"/>
        </w:rPr>
        <w:footnoteReference w:id="2"/>
      </w:r>
      <w:r w:rsidRPr="00B13BCD">
        <w:t xml:space="preserve">, “circular economy is restorative and regenerative by design, and aims to keep products, components, and materials at their highest utility and value at all times while reducing waste streams. In his report titled, “CE in Indian Telecom Sector: Vision, Strategy and Action Plan,” Arun Agarwal, Dy. Director General, Department of Telecommunications, Ministry of Communications, India, has highlighted the need to sustainable telecom with circularity </w:t>
      </w:r>
      <w:r w:rsidRPr="00B13BCD">
        <w:fldChar w:fldCharType="begin" w:fldLock="1"/>
      </w:r>
      <w:r w:rsidRPr="00B13BCD">
        <w:instrText>ADDIN CSL_CITATION {"citationItems":[{"id":"ITEM-1","itemData":{"author":[{"dropping-particle":"","family":"Agarwal","given":"Arun","non-dropping-particle":"","parse-names":false,"suffix":""}],"id":"ITEM-1","issued":{"date-parts":[["2023"]]},"title":"Circular Economy in Indian Telecom Sector: Vision, Strategy and Action Plan","type":"report"},"uris":["http://www.mendeley.com/documents/?uuid=3497b79c-c45e-4077-9cfa-c1eaf04ea0af"]}],"mendeley":{"formattedCitation":"[82]","plainTextFormattedCitation":"[82]","previouslyFormattedCitation":"[82]"},"properties":{"noteIndex":0},"schema":"https://github.com/citation-style-language/schema/raw/master/csl-citation.json"}</w:instrText>
      </w:r>
      <w:r w:rsidRPr="00B13BCD">
        <w:fldChar w:fldCharType="separate"/>
      </w:r>
      <w:r w:rsidRPr="00B13BCD">
        <w:rPr>
          <w:noProof/>
        </w:rPr>
        <w:t>[</w:t>
      </w:r>
      <w:r w:rsidR="00D75BEE">
        <w:rPr>
          <w:noProof/>
        </w:rPr>
        <w:t>96</w:t>
      </w:r>
      <w:r w:rsidRPr="00B13BCD">
        <w:rPr>
          <w:noProof/>
        </w:rPr>
        <w:t>]</w:t>
      </w:r>
      <w:r w:rsidRPr="00B13BCD">
        <w:fldChar w:fldCharType="end"/>
      </w:r>
      <w:r w:rsidRPr="00B13BCD">
        <w:t xml:space="preserve">. Furthermore, drafting the Vision 2030 for CE in Telecom, the report envisions a future that is regenerative, sustainable, and inclusive for the telecommunication sector (ITU-TL.1020) </w:t>
      </w:r>
      <w:r w:rsidRPr="00B13BCD">
        <w:fldChar w:fldCharType="begin" w:fldLock="1"/>
      </w:r>
      <w:r w:rsidRPr="00B13BCD">
        <w:instrText>ADDIN CSL_CITATION {"citationItems":[{"id":"ITEM-1","itemData":{"author":[{"dropping-particle":"","family":"Agarwal","given":"Arun","non-dropping-particle":"","parse-names":false,"suffix":""}],"id":"ITEM-1","issued":{"date-parts":[["2023"]]},"title":"Circular Economy in Indian Telecom Sector: Vision, Strategy and Action Plan","type":"report"},"uris":["http://www.mendeley.com/documents/?uuid=3497b79c-c45e-4077-9cfa-c1eaf04ea0af"]}],"mendeley":{"formattedCitation":"[82]","plainTextFormattedCitation":"[82]","previouslyFormattedCitation":"[82]"},"properties":{"noteIndex":0},"schema":"https://github.com/citation-style-language/schema/raw/master/csl-citation.json"}</w:instrText>
      </w:r>
      <w:r w:rsidRPr="00B13BCD">
        <w:fldChar w:fldCharType="separate"/>
      </w:r>
      <w:r w:rsidRPr="00B13BCD">
        <w:rPr>
          <w:noProof/>
        </w:rPr>
        <w:t>[</w:t>
      </w:r>
      <w:r w:rsidR="00D75BEE">
        <w:rPr>
          <w:noProof/>
        </w:rPr>
        <w:t>96</w:t>
      </w:r>
      <w:r w:rsidRPr="00B13BCD">
        <w:rPr>
          <w:noProof/>
        </w:rPr>
        <w:t>]</w:t>
      </w:r>
      <w:r w:rsidRPr="00B13BCD">
        <w:fldChar w:fldCharType="end"/>
      </w:r>
      <w:r w:rsidRPr="00B13BCD">
        <w:t xml:space="preserve">. </w:t>
      </w:r>
    </w:p>
    <w:p w14:paraId="6C39E313" w14:textId="77777777" w:rsidR="00F14D23" w:rsidRPr="00B13BCD" w:rsidRDefault="00F14D23" w:rsidP="00427835">
      <w:pPr>
        <w:jc w:val="both"/>
      </w:pPr>
      <w:r w:rsidRPr="00B13BCD">
        <w:t xml:space="preserve">Consequently, the Indian telecom sector has been selected to study the relationships inside the conceptual model and comprehend customer perspectives on innovation and CE during service consumption. </w:t>
      </w:r>
      <w:bookmarkEnd w:id="5"/>
      <w:r w:rsidRPr="00B13BCD">
        <w:t>The measures considered for the constructs in the study are as below:</w:t>
      </w:r>
    </w:p>
    <w:p w14:paraId="03C93F06" w14:textId="77777777" w:rsidR="00F14D23" w:rsidRPr="00B13BCD" w:rsidRDefault="00F14D23" w:rsidP="00427835">
      <w:pPr>
        <w:pStyle w:val="Heading2"/>
        <w:jc w:val="both"/>
      </w:pPr>
      <w:r w:rsidRPr="00B13BCD">
        <w:t>Measures</w:t>
      </w:r>
    </w:p>
    <w:p w14:paraId="5A838B0A" w14:textId="0626FBB9" w:rsidR="00F14D23" w:rsidRPr="00B13BCD" w:rsidRDefault="00F14D23" w:rsidP="00427835">
      <w:pPr>
        <w:jc w:val="both"/>
      </w:pPr>
      <w:r w:rsidRPr="00B13BCD">
        <w:rPr>
          <w:b/>
          <w:bCs/>
        </w:rPr>
        <w:t>Service Innovation –</w:t>
      </w:r>
      <w:r w:rsidRPr="00B13BCD">
        <w:t xml:space="preserve">The construct SI, as originally proposed by </w:t>
      </w:r>
      <w:r w:rsidRPr="00B13BCD">
        <w:fldChar w:fldCharType="begin" w:fldLock="1"/>
      </w:r>
      <w:r w:rsidRPr="00B13BCD">
        <w:instrText>ADDIN CSL_CITATION {"citationItems":[{"id":"ITEM-1","itemData":{"DOI":"10.1108/EJIM-09-2017-0117","ISSN":"14601060","abstract":"Purpose: The purpose of this paper is to explore the relationships between service innovation, customer value creation (CVC) and customer satisfaction (CS) with specific emphasis to Ghanaian telecommunication operators. Design/methodology/approach: Assuming a positivist philosophical approach with a quantitative data analysis technique, the study samples 510 registered adult customers of at least one telecommunication network in Ghana. An exploratory factor analysis, confirmatory factor analysis and structural equation modeling were used to assess and confirm the proposed scales validity and the relationships of the research model. Findings: The study unveiled that a service firm’s ability to achieve CS is dependent on how telecommunication operators harness and deploy their service innovation activities. In addition, the study showed that CVC mediates the relationship between service innovation and CS. Thus, service innovation must create value for customers in order to enhance CS. Practical implications: By relating the study findings to firms’ innovation strategies, managers can improve the strength of their service offerings to achieve CS by spending more on consumer research, market research and increased customer interactions. Originality/value: Considering the uniqueness of this study in a Ghanaian context, the research draws on two influential theories, which are signaling theory and expectation disconfirmation theory to examine the differential role played by service innovation in enabling telecommunication operators in Ghana, to create customer value in order to achieve CS amidst the constraints in the business environment.","author":[{"dropping-particle":"","family":"Mahmoud","given":"Mahmoud Abdulai","non-dropping-particle":"","parse-names":false,"suffix":""},{"dropping-particle":"","family":"Hinson","given":"Robert E.","non-dropping-particle":"","parse-names":false,"suffix":""},{"dropping-particle":"","family":"Anim","given":"Patrick Amfo","non-dropping-particle":"","parse-names":false,"suffix":""}],"container-title":"European Journal of Innovation Management","id":"ITEM-1","issue":"3","issued":{"date-parts":[["2018"]]},"page":"402-422","title":"Service innovation and customer satisfaction: the role of customer value creation","type":"article-journal","volume":"21"},"uris":["http://www.mendeley.com/documents/?uuid=8cc93d73-afeb-4ea0-9c6b-ad90d001133e"]}],"mendeley":{"formattedCitation":"[83]","plainTextFormattedCitation":"[83]","previouslyFormattedCitation":"[83]"},"properties":{"noteIndex":0},"schema":"https://github.com/citation-style-language/schema/raw/master/csl-citation.json"}</w:instrText>
      </w:r>
      <w:r w:rsidRPr="00B13BCD">
        <w:fldChar w:fldCharType="separate"/>
      </w:r>
      <w:r w:rsidRPr="00B13BCD">
        <w:rPr>
          <w:noProof/>
        </w:rPr>
        <w:t>[</w:t>
      </w:r>
      <w:r w:rsidR="00D75BEE">
        <w:rPr>
          <w:noProof/>
        </w:rPr>
        <w:t>97</w:t>
      </w:r>
      <w:r w:rsidRPr="00B13BCD">
        <w:rPr>
          <w:noProof/>
        </w:rPr>
        <w:t>]</w:t>
      </w:r>
      <w:r w:rsidRPr="00B13BCD">
        <w:fldChar w:fldCharType="end"/>
      </w:r>
      <w:r w:rsidRPr="00B13BCD">
        <w:t xml:space="preserve">, included 15 items divided into three sub-constructs of five items each: 1) new service concept innovation; 2) new service process innovation; and 3) new technological system innovation. In this research, out of the fifteen items, only twelve were taken, with five from the first sub-construct, three from the second sub-construct, and four from the third sub-construct. This was done to avoid replication of items with the SDI construct and to maintain relevance with the current study. Thus, the considered SI construct comprises twelve items. The </w:t>
      </w:r>
      <w:r w:rsidRPr="00B13BCD">
        <w:lastRenderedPageBreak/>
        <w:t xml:space="preserve">items in the existing construct from </w:t>
      </w:r>
      <w:r w:rsidRPr="00B13BCD">
        <w:fldChar w:fldCharType="begin" w:fldLock="1"/>
      </w:r>
      <w:r w:rsidRPr="00B13BCD">
        <w:instrText>ADDIN CSL_CITATION {"citationItems":[{"id":"ITEM-1","itemData":{"DOI":"10.1108/EJIM-09-2017-0117","ISSN":"14601060","abstract":"Purpose: The purpose of this paper is to explore the relationships between service innovation, customer value creation (CVC) and customer satisfaction (CS) with specific emphasis to Ghanaian telecommunication operators. Design/methodology/approach: Assuming a positivist philosophical approach with a quantitative data analysis technique, the study samples 510 registered adult customers of at least one telecommunication network in Ghana. An exploratory factor analysis, confirmatory factor analysis and structural equation modeling were used to assess and confirm the proposed scales validity and the relationships of the research model. Findings: The study unveiled that a service firm’s ability to achieve CS is dependent on how telecommunication operators harness and deploy their service innovation activities. In addition, the study showed that CVC mediates the relationship between service innovation and CS. Thus, service innovation must create value for customers in order to enhance CS. Practical implications: By relating the study findings to firms’ innovation strategies, managers can improve the strength of their service offerings to achieve CS by spending more on consumer research, market research and increased customer interactions. Originality/value: Considering the uniqueness of this study in a Ghanaian context, the research draws on two influential theories, which are signaling theory and expectation disconfirmation theory to examine the differential role played by service innovation in enabling telecommunication operators in Ghana, to create customer value in order to achieve CS amidst the constraints in the business environment.","author":[{"dropping-particle":"","family":"Mahmoud","given":"Mahmoud Abdulai","non-dropping-particle":"","parse-names":false,"suffix":""},{"dropping-particle":"","family":"Hinson","given":"Robert E.","non-dropping-particle":"","parse-names":false,"suffix":""},{"dropping-particle":"","family":"Anim","given":"Patrick Amfo","non-dropping-particle":"","parse-names":false,"suffix":""}],"container-title":"European Journal of Innovation Management","id":"ITEM-1","issue":"3","issued":{"date-parts":[["2018"]]},"page":"402-422","title":"Service innovation and customer satisfaction: the role of customer value creation","type":"article-journal","volume":"21"},"uris":["http://www.mendeley.com/documents/?uuid=8cc93d73-afeb-4ea0-9c6b-ad90d001133e"]}],"mendeley":{"formattedCitation":"[83]","plainTextFormattedCitation":"[83]","previouslyFormattedCitation":"[83]"},"properties":{"noteIndex":0},"schema":"https://github.com/citation-style-language/schema/raw/master/csl-citation.json"}</w:instrText>
      </w:r>
      <w:r w:rsidRPr="00B13BCD">
        <w:fldChar w:fldCharType="separate"/>
      </w:r>
      <w:r w:rsidRPr="00B13BCD">
        <w:rPr>
          <w:noProof/>
        </w:rPr>
        <w:t>[</w:t>
      </w:r>
      <w:r w:rsidR="00D75BEE">
        <w:rPr>
          <w:noProof/>
        </w:rPr>
        <w:t>97</w:t>
      </w:r>
      <w:r w:rsidRPr="00B13BCD">
        <w:rPr>
          <w:noProof/>
        </w:rPr>
        <w:t>]</w:t>
      </w:r>
      <w:r w:rsidRPr="00B13BCD">
        <w:fldChar w:fldCharType="end"/>
      </w:r>
      <w:r w:rsidRPr="00B13BCD">
        <w:t xml:space="preserve"> were modified to include the aspects of mobile services and CE. Words like sustainability, reusability, recyclability, waste reduction, durable, and environment-friendly were used to simplify CE for respondents. Input from the pre-tests of customers and telecom professionals was also used to modify the items. A pilot study of 25 customers was conducted on the survey questionnaire with modified variables, and its reliability was found to be within the permissible limit (Cronbach’s alpha &gt; 0.7). The construct is assessed on a five-point Likert scale (anchored by “Strongly disagree” to “Strongly agree” at the endpoints). </w:t>
      </w:r>
    </w:p>
    <w:p w14:paraId="0379F1E0" w14:textId="77777777" w:rsidR="00F14D23" w:rsidRPr="00B13BCD" w:rsidRDefault="00F14D23" w:rsidP="00427835">
      <w:pPr>
        <w:jc w:val="both"/>
      </w:pPr>
      <w:r w:rsidRPr="00B13BCD">
        <w:rPr>
          <w:b/>
          <w:bCs/>
        </w:rPr>
        <w:t>Service Delivery Innovation</w:t>
      </w:r>
      <w:r w:rsidRPr="00B13BCD">
        <w:t xml:space="preserve"> – The  SDI construct is based on the construct proposed by </w:t>
      </w:r>
      <w:r w:rsidRPr="00B13BCD">
        <w:fldChar w:fldCharType="begin" w:fldLock="1"/>
      </w:r>
      <w:r w:rsidRPr="00B13BCD">
        <w:instrText>ADDIN CSL_CITATION {"citationItems":[{"id":"ITEM-1","itemData":{"DOI":"10.1177/1094670509338619","ISSN":"1094-6705","abstract":"Service innovation is one means of gaining an advantage in a highly competitive environment. In addition, service delivery has played a key role in interactions with customers in recent years. Yet, research on the link between innovation and service delivery is scant. This article theoretically and empirically examines innovation in service delivery and its antecedents and consequences. The authors identify innovation orientation, external partner collaboration, and information technology capability as the antecedents of service delivery innovation and analyze the impact of service delivery innovation on firm performance. Respondents were managers in the marketing and information technology departments of financial firms in Taiwan. Overall, 298 responses were received (including 123 paired responses from both department managers). Findings indicated that service delivery innovation contributes to firm performance. These results support the crucial influences of innovation orientation and information technology capability on service delivery innovation. ABSTRACT FROM AUTHOR Copyright of Journal of Service Research is the property of Sage Publications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Abstracts.)","author":[{"dropping-particle":"","family":"Chen","given":"Ja-Shen","non-dropping-particle":"","parse-names":false,"suffix":""},{"dropping-particle":"","family":"Hung Tai Tsou","given":"","non-dropping-particle":"","parse-names":false,"suffix":""},{"dropping-particle":"","family":"Huang","given":"Astrid Ya-Hui","non-dropping-particle":"","parse-names":false,"suffix":""}],"container-title":"Journal of Service Research","id":"ITEM-1","issue":"1","issued":{"date-parts":[["2009"]]},"page":"36-55","title":"Service Delivery Innovation","type":"article-journal","volume":"12"},"uris":["http://www.mendeley.com/documents/?uuid=bf98a838-8a22-4d99-8e46-0436c72f0eea"]}],"mendeley":{"formattedCitation":"[24]","plainTextFormattedCitation":"[24]","previouslyFormattedCitation":"[24]"},"properties":{"noteIndex":0},"schema":"https://github.com/citation-style-language/schema/raw/master/csl-citation.json"}</w:instrText>
      </w:r>
      <w:r w:rsidRPr="00B13BCD">
        <w:fldChar w:fldCharType="separate"/>
      </w:r>
      <w:r w:rsidRPr="00B13BCD">
        <w:rPr>
          <w:noProof/>
        </w:rPr>
        <w:t>[24]</w:t>
      </w:r>
      <w:r w:rsidRPr="00B13BCD">
        <w:fldChar w:fldCharType="end"/>
      </w:r>
      <w:r w:rsidRPr="00B13BCD">
        <w:t>. We modified the construct to include aspects of mobile services, the customer’s perspective, and SDI examples that relate to mobile services. CE was introduced in questions with words such as sustainability, reusability, recyclability, waste reduction, durable, and environment-friendly. SDI was measured using a Likert-type scale comprising a total of ten items (anchored by “Strongly disagree” to “Strongly agree” at the endpoints).</w:t>
      </w:r>
    </w:p>
    <w:p w14:paraId="7840DFC9" w14:textId="162D6AC5" w:rsidR="00F14D23" w:rsidRPr="00B13BCD" w:rsidRDefault="00F14D23" w:rsidP="00427835">
      <w:pPr>
        <w:jc w:val="both"/>
      </w:pPr>
      <w:r w:rsidRPr="00B13BCD">
        <w:rPr>
          <w:b/>
          <w:bCs/>
        </w:rPr>
        <w:t>Customer Value Creation, Satisfaction, and Loyalty</w:t>
      </w:r>
      <w:r w:rsidRPr="00B13BCD">
        <w:t xml:space="preserve"> – The CVC construct adopts the conceptualization proposed by </w:t>
      </w:r>
      <w:r w:rsidRPr="00B13BCD">
        <w:fldChar w:fldCharType="begin" w:fldLock="1"/>
      </w:r>
      <w:r w:rsidRPr="00B13BCD">
        <w:instrText>ADDIN CSL_CITATION {"citationItems":[{"id":"ITEM-1","itemData":{"DOI":"10.1108/EJIM-09-2017-0117","ISSN":"14601060","abstract":"Purpose: The purpose of this paper is to explore the relationships between service innovation, customer value creation (CVC) and customer satisfaction (CS) with specific emphasis to Ghanaian telecommunication operators. Design/methodology/approach: Assuming a positivist philosophical approach with a quantitative data analysis technique, the study samples 510 registered adult customers of at least one telecommunication network in Ghana. An exploratory factor analysis, confirmatory factor analysis and structural equation modeling were used to assess and confirm the proposed scales validity and the relationships of the research model. Findings: The study unveiled that a service firm’s ability to achieve CS is dependent on how telecommunication operators harness and deploy their service innovation activities. In addition, the study showed that CVC mediates the relationship between service innovation and CS. Thus, service innovation must create value for customers in order to enhance CS. Practical implications: By relating the study findings to firms’ innovation strategies, managers can improve the strength of their service offerings to achieve CS by spending more on consumer research, market research and increased customer interactions. Originality/value: Considering the uniqueness of this study in a Ghanaian context, the research draws on two influential theories, which are signaling theory and expectation disconfirmation theory to examine the differential role played by service innovation in enabling telecommunication operators in Ghana, to create customer value in order to achieve CS amidst the constraints in the business environment.","author":[{"dropping-particle":"","family":"Mahmoud","given":"Mahmoud Abdulai","non-dropping-particle":"","parse-names":false,"suffix":""},{"dropping-particle":"","family":"Hinson","given":"Robert E.","non-dropping-particle":"","parse-names":false,"suffix":""},{"dropping-particle":"","family":"Anim","given":"Patrick Amfo","non-dropping-particle":"","parse-names":false,"suffix":""}],"container-title":"European Journal of Innovation Management","id":"ITEM-1","issue":"3","issued":{"date-parts":[["2018"]]},"page":"402-422","title":"Service innovation and customer satisfaction: the role of customer value creation","type":"article-journal","volume":"21"},"uris":["http://www.mendeley.com/documents/?uuid=8cc93d73-afeb-4ea0-9c6b-ad90d001133e"]}],"mendeley":{"formattedCitation":"[83]","plainTextFormattedCitation":"[83]","previouslyFormattedCitation":"[83]"},"properties":{"noteIndex":0},"schema":"https://github.com/citation-style-language/schema/raw/master/csl-citation.json"}</w:instrText>
      </w:r>
      <w:r w:rsidRPr="00B13BCD">
        <w:fldChar w:fldCharType="separate"/>
      </w:r>
      <w:r w:rsidRPr="00B13BCD">
        <w:rPr>
          <w:noProof/>
        </w:rPr>
        <w:t>[83]</w:t>
      </w:r>
      <w:r w:rsidRPr="00B13BCD">
        <w:fldChar w:fldCharType="end"/>
      </w:r>
      <w:r w:rsidRPr="00B13BCD">
        <w:t xml:space="preserve">, is modified according to inputs from telecom professionals, and is tailored for mobile services. The construct comprises of three sub-components of functional, emotional, and social value. This construct was assessed as an aggregate measure on a five-point Likert scale (anchored by “Strongly disagree” to “Strongly agree” at the endpoints). The CS construct is based on the five items derived from the work of </w:t>
      </w:r>
      <w:r w:rsidRPr="00B13BCD">
        <w:fldChar w:fldCharType="begin" w:fldLock="1"/>
      </w:r>
      <w:r w:rsidRPr="00B13BCD">
        <w:instrText>ADDIN CSL_CITATION {"citationItems":[{"id":"ITEM-1","itemData":{"DOI":"10.1108/EJIM-09-2017-0117","ISSN":"14601060","abstract":"Purpose: The purpose of this paper is to explore the relationships between service innovation, customer value creation (CVC) and customer satisfaction (CS) with specific emphasis to Ghanaian telecommunication operators. Design/methodology/approach: Assuming a positivist philosophical approach with a quantitative data analysis technique, the study samples 510 registered adult customers of at least one telecommunication network in Ghana. An exploratory factor analysis, confirmatory factor analysis and structural equation modeling were used to assess and confirm the proposed scales validity and the relationships of the research model. Findings: The study unveiled that a service firm’s ability to achieve CS is dependent on how telecommunication operators harness and deploy their service innovation activities. In addition, the study showed that CVC mediates the relationship between service innovation and CS. Thus, service innovation must create value for customers in order to enhance CS. Practical implications: By relating the study findings to firms’ innovation strategies, managers can improve the strength of their service offerings to achieve CS by spending more on consumer research, market research and increased customer interactions. Originality/value: Considering the uniqueness of this study in a Ghanaian context, the research draws on two influential theories, which are signaling theory and expectation disconfirmation theory to examine the differential role played by service innovation in enabling telecommunication operators in Ghana, to create customer value in order to achieve CS amidst the constraints in the business environment.","author":[{"dropping-particle":"","family":"Mahmoud","given":"Mahmoud Abdulai","non-dropping-particle":"","parse-names":false,"suffix":""},{"dropping-particle":"","family":"Hinson","given":"Robert E.","non-dropping-particle":"","parse-names":false,"suffix":""},{"dropping-particle":"","family":"Anim","given":"Patrick Amfo","non-dropping-particle":"","parse-names":false,"suffix":""}],"container-title":"European Journal of Innovation Management","id":"ITEM-1","issue":"3","issued":{"date-parts":[["2018"]]},"page":"402-422","title":"Service innovation and customer satisfaction: the role of customer value creation","type":"article-journal","volume":"21"},"uris":["http://www.mendeley.com/documents/?uuid=8cc93d73-afeb-4ea0-9c6b-ad90d001133e"]}],"mendeley":{"formattedCitation":"[83]","plainTextFormattedCitation":"[83]","previouslyFormattedCitation":"[83]"},"properties":{"noteIndex":0},"schema":"https://github.com/citation-style-language/schema/raw/master/csl-citation.json"}</w:instrText>
      </w:r>
      <w:r w:rsidRPr="00B13BCD">
        <w:fldChar w:fldCharType="separate"/>
      </w:r>
      <w:r w:rsidRPr="00B13BCD">
        <w:rPr>
          <w:noProof/>
        </w:rPr>
        <w:t>[</w:t>
      </w:r>
      <w:r w:rsidR="00D75BEE">
        <w:rPr>
          <w:noProof/>
        </w:rPr>
        <w:t>97</w:t>
      </w:r>
      <w:r w:rsidRPr="00B13BCD">
        <w:rPr>
          <w:noProof/>
        </w:rPr>
        <w:t>]</w:t>
      </w:r>
      <w:r w:rsidRPr="00B13BCD">
        <w:fldChar w:fldCharType="end"/>
      </w:r>
      <w:r w:rsidRPr="00B13BCD">
        <w:t xml:space="preserve">. CS was measured using a Likert type scale (anchored by “Strongly Disagree” and “Strongly Agree” at the endpoints). The CL construct was derived from the work of </w:t>
      </w:r>
      <w:r w:rsidRPr="00B13BCD">
        <w:fldChar w:fldCharType="begin" w:fldLock="1"/>
      </w:r>
      <w:r w:rsidRPr="00B13BCD">
        <w:instrText>ADDIN CSL_CITATION {"citationItems":[{"id":"ITEM-1","itemData":{"author":[{"dropping-particle":"","family":"Oliver Richard","given":"L","non-dropping-particle":"","parse-names":false,"suffix":""}],"container-title":"New York ˈ NY: Irwin-McGraw-Hill","id":"ITEM-1","issued":{"date-parts":[["1997"]]},"title":"Satisfaction: A behavioral perspective on the consumer","type":"article-journal"},"uris":["http://www.mendeley.com/documents/?uuid=c57014d5-d700-42ae-9a64-9e0833dc0fff"]}],"mendeley":{"formattedCitation":"[84]","plainTextFormattedCitation":"[84]","previouslyFormattedCitation":"[84]"},"properties":{"noteIndex":0},"schema":"https://github.com/citation-style-language/schema/raw/master/csl-citation.json"}</w:instrText>
      </w:r>
      <w:r w:rsidRPr="00B13BCD">
        <w:fldChar w:fldCharType="separate"/>
      </w:r>
      <w:r w:rsidRPr="00B13BCD">
        <w:rPr>
          <w:noProof/>
        </w:rPr>
        <w:t>[</w:t>
      </w:r>
      <w:r w:rsidR="00D75BEE">
        <w:rPr>
          <w:noProof/>
        </w:rPr>
        <w:t>9</w:t>
      </w:r>
      <w:r w:rsidRPr="00B13BCD">
        <w:rPr>
          <w:noProof/>
        </w:rPr>
        <w:t>8]</w:t>
      </w:r>
      <w:r w:rsidRPr="00B13BCD">
        <w:fldChar w:fldCharType="end"/>
      </w:r>
      <w:r w:rsidRPr="00B13BCD">
        <w:t xml:space="preserve"> </w:t>
      </w:r>
      <w:bookmarkStart w:id="7" w:name="_Int_ueWcqJUw"/>
      <w:r w:rsidRPr="00B13BCD">
        <w:t>and</w:t>
      </w:r>
      <w:bookmarkEnd w:id="7"/>
      <w:r w:rsidRPr="00B13BCD">
        <w:t xml:space="preserve"> </w:t>
      </w:r>
      <w:r w:rsidRPr="00B13BCD">
        <w:fldChar w:fldCharType="begin" w:fldLock="1"/>
      </w:r>
      <w:r w:rsidRPr="00B13BCD">
        <w:instrText>ADDIN CSL_CITATION {"citationItems":[{"id":"ITEM-1","itemData":{"author":[{"dropping-particle":"","family":"Narayandas","given":"Narakesari","non-dropping-particle":"","parse-names":false,"suffix":""}],"id":"ITEM-1","issued":{"date-parts":[["1996"]]},"publisher":"Division of Research, Harvard Business School","title":"The link between customer satisfaction and customer loyalty: an empirical investigation","type":"book"},"uris":["http://www.mendeley.com/documents/?uuid=1b201342-5392-4cf8-9ac4-5c77c51a9d66"]}],"mendeley":{"formattedCitation":"[85]","plainTextFormattedCitation":"[85]","previouslyFormattedCitation":"[85]"},"properties":{"noteIndex":0},"schema":"https://github.com/citation-style-language/schema/raw/master/csl-citation.json"}</w:instrText>
      </w:r>
      <w:r w:rsidRPr="00B13BCD">
        <w:fldChar w:fldCharType="separate"/>
      </w:r>
      <w:r w:rsidRPr="00B13BCD">
        <w:rPr>
          <w:noProof/>
        </w:rPr>
        <w:t>[</w:t>
      </w:r>
      <w:r w:rsidR="00D75BEE">
        <w:rPr>
          <w:noProof/>
        </w:rPr>
        <w:t>99</w:t>
      </w:r>
      <w:r w:rsidRPr="00B13BCD">
        <w:rPr>
          <w:noProof/>
        </w:rPr>
        <w:t>]</w:t>
      </w:r>
      <w:r w:rsidRPr="00B13BCD">
        <w:fldChar w:fldCharType="end"/>
      </w:r>
      <w:r w:rsidRPr="00B13BCD">
        <w:t xml:space="preserve">. A total of ten items were assessed under this construct using a Likert scale (anchored by “Strongly Disagree” and “Strongly Agree” at the endpoints). </w:t>
      </w:r>
    </w:p>
    <w:p w14:paraId="6BD611CF" w14:textId="77777777" w:rsidR="00F14D23" w:rsidRPr="00B13BCD" w:rsidRDefault="00F14D23" w:rsidP="00427835">
      <w:pPr>
        <w:pStyle w:val="Heading2"/>
        <w:jc w:val="both"/>
      </w:pPr>
      <w:r w:rsidRPr="00B13BCD">
        <w:t>Sample Composition</w:t>
      </w:r>
    </w:p>
    <w:p w14:paraId="0E7632B4" w14:textId="77777777" w:rsidR="00F14D23" w:rsidRPr="00B13BCD" w:rsidRDefault="00F14D23" w:rsidP="00427835">
      <w:pPr>
        <w:jc w:val="both"/>
      </w:pPr>
      <w:r w:rsidRPr="00B13BCD">
        <w:t xml:space="preserve">The sample composition included 61% males and 39% females. The age groups comprised 42% between 18 and 24 years, 15% between 25 and 34 years, 10% between 35 and 44 years, 27% between 45 and 54 years, 5% between 55 and 64 years, and in the group of more than 64 years, it was just 1% of respondents. 68% were prepaid users and 32% were postpaid users, with 87.5% using prepaid in the 18–24 years and 25–34 years age groups combined. 58% of the respondents in the age group from 35 years onwards were using postpaid, and 42% were using prepaid. 44% of the sample used more than one mobile number or SIM in their phones, and 56% used only one. </w:t>
      </w:r>
    </w:p>
    <w:p w14:paraId="6783EAA5" w14:textId="77777777" w:rsidR="00F14D23" w:rsidRPr="00B13BCD" w:rsidRDefault="00F14D23" w:rsidP="00427835">
      <w:pPr>
        <w:pStyle w:val="Heading2"/>
        <w:jc w:val="both"/>
      </w:pPr>
      <w:r w:rsidRPr="00B13BCD">
        <w:t>Validity and Reliability Analysis</w:t>
      </w:r>
    </w:p>
    <w:p w14:paraId="4ACDB22E" w14:textId="116B9925" w:rsidR="00F14D23" w:rsidRDefault="00F14D23" w:rsidP="00427835">
      <w:pPr>
        <w:jc w:val="both"/>
      </w:pPr>
      <w:r w:rsidRPr="00B13BCD">
        <w:t xml:space="preserve">We began the analysis with exploratory factor analysis (EFA). EFA was performed to assess if all the items in one latent construct had factor loadings greater than 0.5 </w:t>
      </w:r>
      <w:r w:rsidRPr="00B13BCD">
        <w:fldChar w:fldCharType="begin" w:fldLock="1"/>
      </w:r>
      <w:r w:rsidRPr="00B13BCD">
        <w:instrText>ADDIN CSL_CITATION {"citationItems":[{"id":"ITEM-1","itemData":{"author":[{"dropping-particle":"","family":"Yong","given":"An Gie","non-dropping-particle":"","parse-names":false,"suffix":""},{"dropping-particle":"","family":"Pearce","given":"Sean","non-dropping-particle":"","parse-names":false,"suffix":""}],"container-title":"Tutorials in quantitative methods for psychology","id":"ITEM-1","issue":"2","issued":{"date-parts":[["2013"]]},"page":"79-94","title":"A beginner’s guide to factor analysis: Focusing on exploratory factor analysis","type":"article-journal","volume":"9"},"uris":["http://www.mendeley.com/documents/?uuid=f9df53c0-6649-410b-badb-957800d28454"]}],"mendeley":{"formattedCitation":"[86]","plainTextFormattedCitation":"[86]","previouslyFormattedCitation":"[86]"},"properties":{"noteIndex":0},"schema":"https://github.com/citation-style-language/schema/raw/master/csl-citation.json"}</w:instrText>
      </w:r>
      <w:r w:rsidRPr="00B13BCD">
        <w:fldChar w:fldCharType="separate"/>
      </w:r>
      <w:r w:rsidRPr="00B13BCD">
        <w:rPr>
          <w:noProof/>
        </w:rPr>
        <w:t>[</w:t>
      </w:r>
      <w:r w:rsidR="00D75BEE">
        <w:rPr>
          <w:noProof/>
        </w:rPr>
        <w:t>100</w:t>
      </w:r>
      <w:r w:rsidRPr="00B13BCD">
        <w:rPr>
          <w:noProof/>
        </w:rPr>
        <w:t>]</w:t>
      </w:r>
      <w:r w:rsidRPr="00B13BCD">
        <w:fldChar w:fldCharType="end"/>
      </w:r>
      <w:r w:rsidRPr="00B13BCD">
        <w:t xml:space="preserve">. Items that did not load together in EFA or had factor loadings of less than 0.5 were deleted. To determine the AVE, CR, and convergent and discriminant validity of the items, SPSS was employed. Convergent validity and discriminant validity were used to gauge the constructs' reliability. Factor loading and AVE correlations for latent variables (listed in Table III) serve as indicators of validity. There was sufficient convergent validity </w:t>
      </w:r>
      <w:r w:rsidRPr="00B13BCD">
        <w:t xml:space="preserve">in each construct, with the average AVE over 0.5 </w:t>
      </w:r>
      <w:r w:rsidRPr="00B13BCD">
        <w:fldChar w:fldCharType="begin" w:fldLock="1"/>
      </w:r>
      <w:r w:rsidRPr="00B13BCD">
        <w:instrText>ADDIN CSL_CITATION {"citationItems":[{"id":"ITEM-1","itemData":{"ISSN":"0022-2437","author":[{"dropping-particle":"","family":"Fornell","given":"Claes","non-dropping-particle":"","parse-names":false,"suffix":""},{"dropping-particle":"","family":"Larcker","given":"David F","non-dropping-particle":"","parse-names":false,"suffix":""}],"container-title":"Journal of marketing research","id":"ITEM-1","issue":"1","issued":{"date-parts":[["1981"]]},"page":"39-50","publisher":"Sage Publications Sage CA: Los Angeles, CA","title":"Evaluating structural equation models with unobservable variables and measurement error","type":"article-journal","volume":"18"},"uris":["http://www.mendeley.com/documents/?uuid=267e5494-0268-4186-b5aa-612fb69bbf0d"]}],"mendeley":{"formattedCitation":"[87]","plainTextFormattedCitation":"[87]","previouslyFormattedCitation":"[87]"},"properties":{"noteIndex":0},"schema":"https://github.com/citation-style-language/schema/raw/master/csl-citation.json"}</w:instrText>
      </w:r>
      <w:r w:rsidRPr="00B13BCD">
        <w:fldChar w:fldCharType="separate"/>
      </w:r>
      <w:r w:rsidRPr="00B13BCD">
        <w:rPr>
          <w:noProof/>
        </w:rPr>
        <w:t>[</w:t>
      </w:r>
      <w:r w:rsidR="00D75BEE">
        <w:rPr>
          <w:noProof/>
        </w:rPr>
        <w:t>101</w:t>
      </w:r>
      <w:r w:rsidRPr="00B13BCD">
        <w:rPr>
          <w:noProof/>
        </w:rPr>
        <w:t>]</w:t>
      </w:r>
      <w:r w:rsidRPr="00B13BCD">
        <w:fldChar w:fldCharType="end"/>
      </w:r>
      <w:r w:rsidRPr="00B13BCD">
        <w:t xml:space="preserve">. For each latent construct, as indicated in Table III, the reliability of CR is greater than 0.7. The </w:t>
      </w:r>
      <w:r w:rsidRPr="00B13BCD">
        <w:fldChar w:fldCharType="begin" w:fldLock="1"/>
      </w:r>
      <w:r w:rsidRPr="00B13BCD">
        <w:instrText>ADDIN CSL_CITATION {"citationItems":[{"id":"ITEM-1","itemData":{"ISBN":"0022-2437","author":[{"dropping-particle":"","family":"Fornell","given":"Claes","non-dropping-particle":"","parse-names":false,"suffix":""},{"dropping-particle":"","family":"Larcker","given":"David F","non-dropping-particle":"","parse-names":false,"suffix":""}],"id":"ITEM-1","issued":{"date-parts":[["1981"]]},"publisher":"Sage Publications Sage CA: Los Angeles, CA","title":"Structural equation models with unobservable variables and measurement error: Algebra and statistics","type":"article"},"uris":["http://www.mendeley.com/documents/?uuid=a3dfd75c-3177-48b3-8e0a-c3bffee077c7"]}],"mendeley":{"formattedCitation":"[88]","plainTextFormattedCitation":"[88]","previouslyFormattedCitation":"[88]"},"properties":{"noteIndex":0},"schema":"https://github.com/citation-style-language/schema/raw/master/csl-citation.json"}</w:instrText>
      </w:r>
      <w:r w:rsidRPr="00B13BCD">
        <w:fldChar w:fldCharType="separate"/>
      </w:r>
      <w:r w:rsidRPr="00B13BCD">
        <w:rPr>
          <w:noProof/>
        </w:rPr>
        <w:t>[</w:t>
      </w:r>
      <w:r w:rsidR="00D75BEE">
        <w:rPr>
          <w:noProof/>
        </w:rPr>
        <w:t>102</w:t>
      </w:r>
      <w:r w:rsidRPr="00B13BCD">
        <w:rPr>
          <w:noProof/>
        </w:rPr>
        <w:t>]</w:t>
      </w:r>
      <w:r w:rsidRPr="00B13BCD">
        <w:fldChar w:fldCharType="end"/>
      </w:r>
      <w:r w:rsidRPr="00B13BCD">
        <w:t xml:space="preserve"> test was used to determine the discriminant validity of a pair of constructs and their AVE. Since the AVE square root exceeded each correlation, the constructs were judged to be distinct (Table III). </w:t>
      </w:r>
    </w:p>
    <w:p w14:paraId="5E7A48BC" w14:textId="77777777" w:rsidR="00DA24D6" w:rsidRDefault="00DA24D6" w:rsidP="00427835">
      <w:pPr>
        <w:jc w:val="both"/>
      </w:pPr>
    </w:p>
    <w:p w14:paraId="2E3E560D" w14:textId="682ED2F4" w:rsidR="00021D76" w:rsidRPr="00021D76" w:rsidRDefault="00021D76" w:rsidP="00EC7077">
      <w:pPr>
        <w:jc w:val="center"/>
        <w:rPr>
          <w:sz w:val="16"/>
          <w:szCs w:val="16"/>
        </w:rPr>
      </w:pPr>
      <w:r w:rsidRPr="00A51BCC">
        <w:t>TABLE III: CORRELATIONS, MEASURES OF RELIABILITY AND VALIDITY</w:t>
      </w:r>
    </w:p>
    <w:tbl>
      <w:tblPr>
        <w:tblW w:w="0" w:type="auto"/>
        <w:tblCellMar>
          <w:left w:w="28" w:type="dxa"/>
          <w:right w:w="28" w:type="dxa"/>
        </w:tblCellMar>
        <w:tblLook w:val="04A0" w:firstRow="1" w:lastRow="0" w:firstColumn="1" w:lastColumn="0" w:noHBand="0" w:noVBand="1"/>
      </w:tblPr>
      <w:tblGrid>
        <w:gridCol w:w="851"/>
        <w:gridCol w:w="496"/>
        <w:gridCol w:w="371"/>
        <w:gridCol w:w="550"/>
        <w:gridCol w:w="371"/>
        <w:gridCol w:w="480"/>
        <w:gridCol w:w="425"/>
        <w:gridCol w:w="567"/>
        <w:gridCol w:w="371"/>
        <w:gridCol w:w="371"/>
      </w:tblGrid>
      <w:tr w:rsidR="00021D76" w:rsidRPr="00864C3E" w14:paraId="55BA9816" w14:textId="77777777" w:rsidTr="007674BE">
        <w:trPr>
          <w:trHeight w:val="255"/>
        </w:trPr>
        <w:tc>
          <w:tcPr>
            <w:tcW w:w="851" w:type="dxa"/>
            <w:tcBorders>
              <w:top w:val="single" w:sz="8" w:space="0" w:color="auto"/>
              <w:left w:val="nil"/>
              <w:bottom w:val="single" w:sz="8" w:space="0" w:color="auto"/>
              <w:right w:val="nil"/>
            </w:tcBorders>
            <w:shd w:val="clear" w:color="auto" w:fill="auto"/>
            <w:vAlign w:val="center"/>
            <w:hideMark/>
          </w:tcPr>
          <w:p w14:paraId="2EAE72E0" w14:textId="77777777" w:rsidR="00021D76" w:rsidRPr="004E3F9C" w:rsidRDefault="00021D76" w:rsidP="007674BE">
            <w:pPr>
              <w:rPr>
                <w:b/>
                <w:bCs/>
                <w:color w:val="000000"/>
                <w:sz w:val="18"/>
                <w:szCs w:val="18"/>
                <w:lang w:val="en-IN" w:eastAsia="en-IN"/>
              </w:rPr>
            </w:pPr>
            <w:bookmarkStart w:id="8" w:name="_Hlk179968438"/>
            <w:bookmarkStart w:id="9" w:name="_Hlk109796402"/>
            <w:r w:rsidRPr="004E3F9C">
              <w:rPr>
                <w:b/>
                <w:bCs/>
                <w:color w:val="000000"/>
                <w:sz w:val="18"/>
                <w:szCs w:val="18"/>
                <w:lang w:eastAsia="en-IN"/>
              </w:rPr>
              <w:t>Variables</w:t>
            </w:r>
          </w:p>
        </w:tc>
        <w:tc>
          <w:tcPr>
            <w:tcW w:w="496" w:type="dxa"/>
            <w:tcBorders>
              <w:top w:val="single" w:sz="8" w:space="0" w:color="auto"/>
              <w:left w:val="nil"/>
              <w:bottom w:val="single" w:sz="8" w:space="0" w:color="auto"/>
              <w:right w:val="nil"/>
            </w:tcBorders>
            <w:shd w:val="clear" w:color="auto" w:fill="auto"/>
            <w:vAlign w:val="center"/>
            <w:hideMark/>
          </w:tcPr>
          <w:p w14:paraId="7579D270"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Mean</w:t>
            </w:r>
          </w:p>
        </w:tc>
        <w:tc>
          <w:tcPr>
            <w:tcW w:w="371" w:type="dxa"/>
            <w:tcBorders>
              <w:top w:val="single" w:sz="8" w:space="0" w:color="auto"/>
              <w:left w:val="nil"/>
              <w:bottom w:val="single" w:sz="8" w:space="0" w:color="auto"/>
              <w:right w:val="nil"/>
            </w:tcBorders>
            <w:shd w:val="clear" w:color="auto" w:fill="auto"/>
            <w:vAlign w:val="center"/>
            <w:hideMark/>
          </w:tcPr>
          <w:p w14:paraId="5D8B1570"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SD</w:t>
            </w:r>
          </w:p>
        </w:tc>
        <w:tc>
          <w:tcPr>
            <w:tcW w:w="550" w:type="dxa"/>
            <w:tcBorders>
              <w:top w:val="single" w:sz="8" w:space="0" w:color="auto"/>
              <w:left w:val="nil"/>
              <w:bottom w:val="single" w:sz="8" w:space="0" w:color="auto"/>
              <w:right w:val="nil"/>
            </w:tcBorders>
            <w:shd w:val="clear" w:color="auto" w:fill="auto"/>
            <w:vAlign w:val="center"/>
            <w:hideMark/>
          </w:tcPr>
          <w:p w14:paraId="3BC2422E"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AVE</w:t>
            </w:r>
          </w:p>
        </w:tc>
        <w:tc>
          <w:tcPr>
            <w:tcW w:w="371" w:type="dxa"/>
            <w:tcBorders>
              <w:top w:val="single" w:sz="8" w:space="0" w:color="auto"/>
              <w:left w:val="nil"/>
              <w:bottom w:val="single" w:sz="8" w:space="0" w:color="auto"/>
              <w:right w:val="nil"/>
            </w:tcBorders>
            <w:shd w:val="clear" w:color="auto" w:fill="auto"/>
            <w:vAlign w:val="center"/>
            <w:hideMark/>
          </w:tcPr>
          <w:p w14:paraId="2671A60B"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CR</w:t>
            </w:r>
          </w:p>
        </w:tc>
        <w:tc>
          <w:tcPr>
            <w:tcW w:w="480" w:type="dxa"/>
            <w:tcBorders>
              <w:top w:val="single" w:sz="8" w:space="0" w:color="auto"/>
              <w:left w:val="nil"/>
              <w:bottom w:val="single" w:sz="8" w:space="0" w:color="auto"/>
              <w:right w:val="nil"/>
            </w:tcBorders>
            <w:shd w:val="clear" w:color="auto" w:fill="auto"/>
            <w:noWrap/>
            <w:vAlign w:val="center"/>
            <w:hideMark/>
          </w:tcPr>
          <w:p w14:paraId="70FBCAD6"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SI</w:t>
            </w:r>
          </w:p>
        </w:tc>
        <w:tc>
          <w:tcPr>
            <w:tcW w:w="425" w:type="dxa"/>
            <w:tcBorders>
              <w:top w:val="single" w:sz="8" w:space="0" w:color="auto"/>
              <w:left w:val="nil"/>
              <w:bottom w:val="single" w:sz="8" w:space="0" w:color="auto"/>
              <w:right w:val="nil"/>
            </w:tcBorders>
            <w:shd w:val="clear" w:color="auto" w:fill="auto"/>
            <w:noWrap/>
            <w:vAlign w:val="center"/>
            <w:hideMark/>
          </w:tcPr>
          <w:p w14:paraId="06A16197"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SDI</w:t>
            </w:r>
          </w:p>
        </w:tc>
        <w:tc>
          <w:tcPr>
            <w:tcW w:w="567" w:type="dxa"/>
            <w:tcBorders>
              <w:top w:val="single" w:sz="8" w:space="0" w:color="auto"/>
              <w:left w:val="nil"/>
              <w:bottom w:val="single" w:sz="8" w:space="0" w:color="auto"/>
              <w:right w:val="nil"/>
            </w:tcBorders>
            <w:shd w:val="clear" w:color="auto" w:fill="auto"/>
            <w:noWrap/>
            <w:vAlign w:val="center"/>
            <w:hideMark/>
          </w:tcPr>
          <w:p w14:paraId="78299C6B"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CVC</w:t>
            </w:r>
          </w:p>
        </w:tc>
        <w:tc>
          <w:tcPr>
            <w:tcW w:w="371" w:type="dxa"/>
            <w:tcBorders>
              <w:top w:val="single" w:sz="8" w:space="0" w:color="auto"/>
              <w:left w:val="nil"/>
              <w:bottom w:val="single" w:sz="8" w:space="0" w:color="auto"/>
              <w:right w:val="nil"/>
            </w:tcBorders>
            <w:shd w:val="clear" w:color="auto" w:fill="auto"/>
            <w:noWrap/>
            <w:vAlign w:val="center"/>
            <w:hideMark/>
          </w:tcPr>
          <w:p w14:paraId="6F62A868"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CS</w:t>
            </w:r>
          </w:p>
        </w:tc>
        <w:tc>
          <w:tcPr>
            <w:tcW w:w="338" w:type="dxa"/>
            <w:tcBorders>
              <w:top w:val="single" w:sz="8" w:space="0" w:color="auto"/>
              <w:left w:val="nil"/>
              <w:bottom w:val="single" w:sz="8" w:space="0" w:color="auto"/>
              <w:right w:val="nil"/>
            </w:tcBorders>
            <w:shd w:val="clear" w:color="auto" w:fill="auto"/>
            <w:noWrap/>
            <w:vAlign w:val="center"/>
            <w:hideMark/>
          </w:tcPr>
          <w:p w14:paraId="36E3A195"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CL</w:t>
            </w:r>
          </w:p>
        </w:tc>
      </w:tr>
      <w:tr w:rsidR="00021D76" w:rsidRPr="00864C3E" w14:paraId="72284B0A" w14:textId="77777777" w:rsidTr="007674BE">
        <w:trPr>
          <w:trHeight w:val="255"/>
        </w:trPr>
        <w:tc>
          <w:tcPr>
            <w:tcW w:w="851" w:type="dxa"/>
            <w:tcBorders>
              <w:top w:val="nil"/>
              <w:left w:val="nil"/>
              <w:bottom w:val="nil"/>
              <w:right w:val="nil"/>
            </w:tcBorders>
            <w:shd w:val="clear" w:color="auto" w:fill="auto"/>
            <w:noWrap/>
            <w:vAlign w:val="center"/>
            <w:hideMark/>
          </w:tcPr>
          <w:p w14:paraId="72695E5A" w14:textId="77777777" w:rsidR="00021D76" w:rsidRPr="004E3F9C" w:rsidRDefault="00021D76" w:rsidP="007674BE">
            <w:pPr>
              <w:rPr>
                <w:color w:val="000000"/>
                <w:sz w:val="18"/>
                <w:szCs w:val="18"/>
                <w:lang w:val="en-IN" w:eastAsia="en-IN"/>
              </w:rPr>
            </w:pPr>
            <w:r w:rsidRPr="004E3F9C">
              <w:rPr>
                <w:color w:val="000000"/>
                <w:sz w:val="18"/>
                <w:szCs w:val="18"/>
                <w:lang w:eastAsia="en-IN"/>
              </w:rPr>
              <w:t>SI</w:t>
            </w:r>
          </w:p>
        </w:tc>
        <w:tc>
          <w:tcPr>
            <w:tcW w:w="496" w:type="dxa"/>
            <w:tcBorders>
              <w:top w:val="nil"/>
              <w:left w:val="nil"/>
              <w:bottom w:val="nil"/>
              <w:right w:val="nil"/>
            </w:tcBorders>
            <w:shd w:val="clear" w:color="auto" w:fill="auto"/>
            <w:noWrap/>
            <w:vAlign w:val="center"/>
            <w:hideMark/>
          </w:tcPr>
          <w:p w14:paraId="4F55A525"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3.35</w:t>
            </w:r>
          </w:p>
        </w:tc>
        <w:tc>
          <w:tcPr>
            <w:tcW w:w="371" w:type="dxa"/>
            <w:tcBorders>
              <w:top w:val="nil"/>
              <w:left w:val="nil"/>
              <w:bottom w:val="nil"/>
              <w:right w:val="nil"/>
            </w:tcBorders>
            <w:shd w:val="clear" w:color="auto" w:fill="auto"/>
            <w:noWrap/>
            <w:vAlign w:val="center"/>
            <w:hideMark/>
          </w:tcPr>
          <w:p w14:paraId="23AD5F6C"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0.76</w:t>
            </w:r>
          </w:p>
        </w:tc>
        <w:tc>
          <w:tcPr>
            <w:tcW w:w="550" w:type="dxa"/>
            <w:tcBorders>
              <w:top w:val="nil"/>
              <w:left w:val="nil"/>
              <w:bottom w:val="nil"/>
              <w:right w:val="nil"/>
            </w:tcBorders>
            <w:shd w:val="clear" w:color="auto" w:fill="auto"/>
            <w:noWrap/>
            <w:vAlign w:val="center"/>
            <w:hideMark/>
          </w:tcPr>
          <w:p w14:paraId="4D328A0D"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0.52</w:t>
            </w:r>
          </w:p>
        </w:tc>
        <w:tc>
          <w:tcPr>
            <w:tcW w:w="371" w:type="dxa"/>
            <w:tcBorders>
              <w:top w:val="nil"/>
              <w:left w:val="nil"/>
              <w:bottom w:val="nil"/>
              <w:right w:val="nil"/>
            </w:tcBorders>
            <w:shd w:val="clear" w:color="auto" w:fill="auto"/>
            <w:noWrap/>
            <w:vAlign w:val="center"/>
            <w:hideMark/>
          </w:tcPr>
          <w:p w14:paraId="26E6EA11"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0.76</w:t>
            </w:r>
          </w:p>
        </w:tc>
        <w:tc>
          <w:tcPr>
            <w:tcW w:w="480" w:type="dxa"/>
            <w:tcBorders>
              <w:top w:val="nil"/>
              <w:left w:val="nil"/>
              <w:bottom w:val="nil"/>
              <w:right w:val="nil"/>
            </w:tcBorders>
            <w:shd w:val="clear" w:color="auto" w:fill="auto"/>
            <w:noWrap/>
            <w:vAlign w:val="center"/>
            <w:hideMark/>
          </w:tcPr>
          <w:p w14:paraId="03AE63BF"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0.72</w:t>
            </w:r>
          </w:p>
        </w:tc>
        <w:tc>
          <w:tcPr>
            <w:tcW w:w="425" w:type="dxa"/>
            <w:tcBorders>
              <w:top w:val="nil"/>
              <w:left w:val="nil"/>
              <w:bottom w:val="nil"/>
              <w:right w:val="nil"/>
            </w:tcBorders>
            <w:shd w:val="clear" w:color="auto" w:fill="auto"/>
            <w:vAlign w:val="center"/>
            <w:hideMark/>
          </w:tcPr>
          <w:p w14:paraId="54355A7F" w14:textId="77777777" w:rsidR="00021D76" w:rsidRPr="004E3F9C" w:rsidRDefault="00021D76" w:rsidP="007674BE">
            <w:pPr>
              <w:jc w:val="center"/>
              <w:rPr>
                <w:b/>
                <w:bCs/>
                <w:color w:val="000000"/>
                <w:sz w:val="18"/>
                <w:szCs w:val="18"/>
                <w:lang w:val="en-IN" w:eastAsia="en-IN"/>
              </w:rPr>
            </w:pPr>
          </w:p>
        </w:tc>
        <w:tc>
          <w:tcPr>
            <w:tcW w:w="567" w:type="dxa"/>
            <w:tcBorders>
              <w:top w:val="nil"/>
              <w:left w:val="nil"/>
              <w:bottom w:val="nil"/>
              <w:right w:val="nil"/>
            </w:tcBorders>
            <w:shd w:val="clear" w:color="auto" w:fill="auto"/>
            <w:vAlign w:val="center"/>
            <w:hideMark/>
          </w:tcPr>
          <w:p w14:paraId="1DDD9840" w14:textId="77777777" w:rsidR="00021D76" w:rsidRPr="004E3F9C" w:rsidRDefault="00021D76" w:rsidP="007674BE">
            <w:pPr>
              <w:rPr>
                <w:sz w:val="18"/>
                <w:szCs w:val="18"/>
                <w:lang w:val="en-IN" w:eastAsia="en-IN"/>
              </w:rPr>
            </w:pPr>
          </w:p>
        </w:tc>
        <w:tc>
          <w:tcPr>
            <w:tcW w:w="371" w:type="dxa"/>
            <w:tcBorders>
              <w:top w:val="nil"/>
              <w:left w:val="nil"/>
              <w:bottom w:val="nil"/>
              <w:right w:val="nil"/>
            </w:tcBorders>
            <w:shd w:val="clear" w:color="auto" w:fill="auto"/>
            <w:vAlign w:val="center"/>
            <w:hideMark/>
          </w:tcPr>
          <w:p w14:paraId="5926881F" w14:textId="77777777" w:rsidR="00021D76" w:rsidRPr="004E3F9C" w:rsidRDefault="00021D76" w:rsidP="007674BE">
            <w:pPr>
              <w:rPr>
                <w:sz w:val="18"/>
                <w:szCs w:val="18"/>
                <w:lang w:val="en-IN" w:eastAsia="en-IN"/>
              </w:rPr>
            </w:pPr>
          </w:p>
        </w:tc>
        <w:tc>
          <w:tcPr>
            <w:tcW w:w="338" w:type="dxa"/>
            <w:tcBorders>
              <w:top w:val="nil"/>
              <w:left w:val="nil"/>
              <w:bottom w:val="nil"/>
              <w:right w:val="nil"/>
            </w:tcBorders>
            <w:shd w:val="clear" w:color="auto" w:fill="auto"/>
            <w:vAlign w:val="center"/>
            <w:hideMark/>
          </w:tcPr>
          <w:p w14:paraId="3640E1EE" w14:textId="77777777" w:rsidR="00021D76" w:rsidRPr="004E3F9C" w:rsidRDefault="00021D76" w:rsidP="007674BE">
            <w:pPr>
              <w:rPr>
                <w:sz w:val="18"/>
                <w:szCs w:val="18"/>
                <w:lang w:val="en-IN" w:eastAsia="en-IN"/>
              </w:rPr>
            </w:pPr>
          </w:p>
        </w:tc>
      </w:tr>
      <w:tr w:rsidR="00021D76" w:rsidRPr="00864C3E" w14:paraId="361DF5CD" w14:textId="77777777" w:rsidTr="007674BE">
        <w:trPr>
          <w:trHeight w:val="255"/>
        </w:trPr>
        <w:tc>
          <w:tcPr>
            <w:tcW w:w="851" w:type="dxa"/>
            <w:tcBorders>
              <w:top w:val="nil"/>
              <w:left w:val="nil"/>
              <w:bottom w:val="nil"/>
              <w:right w:val="nil"/>
            </w:tcBorders>
            <w:shd w:val="clear" w:color="auto" w:fill="auto"/>
            <w:noWrap/>
            <w:vAlign w:val="center"/>
            <w:hideMark/>
          </w:tcPr>
          <w:p w14:paraId="0ED3A7D6" w14:textId="77777777" w:rsidR="00021D76" w:rsidRPr="004E3F9C" w:rsidRDefault="00021D76" w:rsidP="007674BE">
            <w:pPr>
              <w:rPr>
                <w:color w:val="000000"/>
                <w:sz w:val="18"/>
                <w:szCs w:val="18"/>
                <w:lang w:val="en-IN" w:eastAsia="en-IN"/>
              </w:rPr>
            </w:pPr>
            <w:r w:rsidRPr="004E3F9C">
              <w:rPr>
                <w:color w:val="000000"/>
                <w:sz w:val="18"/>
                <w:szCs w:val="18"/>
                <w:lang w:eastAsia="en-IN"/>
              </w:rPr>
              <w:t>SDI</w:t>
            </w:r>
          </w:p>
        </w:tc>
        <w:tc>
          <w:tcPr>
            <w:tcW w:w="496" w:type="dxa"/>
            <w:tcBorders>
              <w:top w:val="nil"/>
              <w:left w:val="nil"/>
              <w:bottom w:val="nil"/>
              <w:right w:val="nil"/>
            </w:tcBorders>
            <w:shd w:val="clear" w:color="auto" w:fill="auto"/>
            <w:noWrap/>
            <w:vAlign w:val="center"/>
            <w:hideMark/>
          </w:tcPr>
          <w:p w14:paraId="68DA711D"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3.38</w:t>
            </w:r>
          </w:p>
        </w:tc>
        <w:tc>
          <w:tcPr>
            <w:tcW w:w="371" w:type="dxa"/>
            <w:tcBorders>
              <w:top w:val="nil"/>
              <w:left w:val="nil"/>
              <w:bottom w:val="nil"/>
              <w:right w:val="nil"/>
            </w:tcBorders>
            <w:shd w:val="clear" w:color="auto" w:fill="auto"/>
            <w:noWrap/>
            <w:vAlign w:val="center"/>
            <w:hideMark/>
          </w:tcPr>
          <w:p w14:paraId="1F326477"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0.74</w:t>
            </w:r>
          </w:p>
        </w:tc>
        <w:tc>
          <w:tcPr>
            <w:tcW w:w="550" w:type="dxa"/>
            <w:tcBorders>
              <w:top w:val="nil"/>
              <w:left w:val="nil"/>
              <w:bottom w:val="nil"/>
              <w:right w:val="nil"/>
            </w:tcBorders>
            <w:shd w:val="clear" w:color="auto" w:fill="auto"/>
            <w:noWrap/>
            <w:vAlign w:val="center"/>
            <w:hideMark/>
          </w:tcPr>
          <w:p w14:paraId="6B44F787"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0.56</w:t>
            </w:r>
          </w:p>
        </w:tc>
        <w:tc>
          <w:tcPr>
            <w:tcW w:w="371" w:type="dxa"/>
            <w:tcBorders>
              <w:top w:val="nil"/>
              <w:left w:val="nil"/>
              <w:bottom w:val="nil"/>
              <w:right w:val="nil"/>
            </w:tcBorders>
            <w:shd w:val="clear" w:color="auto" w:fill="auto"/>
            <w:noWrap/>
            <w:vAlign w:val="center"/>
            <w:hideMark/>
          </w:tcPr>
          <w:p w14:paraId="4FD8EF20"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0.91</w:t>
            </w:r>
          </w:p>
        </w:tc>
        <w:tc>
          <w:tcPr>
            <w:tcW w:w="480" w:type="dxa"/>
            <w:tcBorders>
              <w:top w:val="nil"/>
              <w:left w:val="nil"/>
              <w:bottom w:val="nil"/>
              <w:right w:val="nil"/>
            </w:tcBorders>
            <w:shd w:val="clear" w:color="auto" w:fill="auto"/>
            <w:vAlign w:val="center"/>
            <w:hideMark/>
          </w:tcPr>
          <w:p w14:paraId="505A8CD8"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0.54</w:t>
            </w:r>
          </w:p>
        </w:tc>
        <w:tc>
          <w:tcPr>
            <w:tcW w:w="425" w:type="dxa"/>
            <w:tcBorders>
              <w:top w:val="nil"/>
              <w:left w:val="nil"/>
              <w:bottom w:val="nil"/>
              <w:right w:val="nil"/>
            </w:tcBorders>
            <w:shd w:val="clear" w:color="auto" w:fill="auto"/>
            <w:noWrap/>
            <w:vAlign w:val="center"/>
            <w:hideMark/>
          </w:tcPr>
          <w:p w14:paraId="3CDA1BBA"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0.75</w:t>
            </w:r>
          </w:p>
        </w:tc>
        <w:tc>
          <w:tcPr>
            <w:tcW w:w="567" w:type="dxa"/>
            <w:tcBorders>
              <w:top w:val="nil"/>
              <w:left w:val="nil"/>
              <w:bottom w:val="nil"/>
              <w:right w:val="nil"/>
            </w:tcBorders>
            <w:shd w:val="clear" w:color="auto" w:fill="auto"/>
            <w:vAlign w:val="center"/>
            <w:hideMark/>
          </w:tcPr>
          <w:p w14:paraId="16667F92" w14:textId="77777777" w:rsidR="00021D76" w:rsidRPr="004E3F9C" w:rsidRDefault="00021D76" w:rsidP="007674BE">
            <w:pPr>
              <w:jc w:val="center"/>
              <w:rPr>
                <w:b/>
                <w:bCs/>
                <w:color w:val="000000"/>
                <w:sz w:val="18"/>
                <w:szCs w:val="18"/>
                <w:lang w:val="en-IN" w:eastAsia="en-IN"/>
              </w:rPr>
            </w:pPr>
          </w:p>
        </w:tc>
        <w:tc>
          <w:tcPr>
            <w:tcW w:w="371" w:type="dxa"/>
            <w:tcBorders>
              <w:top w:val="nil"/>
              <w:left w:val="nil"/>
              <w:bottom w:val="nil"/>
              <w:right w:val="nil"/>
            </w:tcBorders>
            <w:shd w:val="clear" w:color="auto" w:fill="auto"/>
            <w:vAlign w:val="center"/>
            <w:hideMark/>
          </w:tcPr>
          <w:p w14:paraId="7538C513" w14:textId="77777777" w:rsidR="00021D76" w:rsidRPr="004E3F9C" w:rsidRDefault="00021D76" w:rsidP="007674BE">
            <w:pPr>
              <w:rPr>
                <w:sz w:val="18"/>
                <w:szCs w:val="18"/>
                <w:lang w:val="en-IN" w:eastAsia="en-IN"/>
              </w:rPr>
            </w:pPr>
          </w:p>
        </w:tc>
        <w:tc>
          <w:tcPr>
            <w:tcW w:w="338" w:type="dxa"/>
            <w:tcBorders>
              <w:top w:val="nil"/>
              <w:left w:val="nil"/>
              <w:bottom w:val="nil"/>
              <w:right w:val="nil"/>
            </w:tcBorders>
            <w:shd w:val="clear" w:color="auto" w:fill="auto"/>
            <w:vAlign w:val="center"/>
            <w:hideMark/>
          </w:tcPr>
          <w:p w14:paraId="1DED5D38" w14:textId="77777777" w:rsidR="00021D76" w:rsidRPr="004E3F9C" w:rsidRDefault="00021D76" w:rsidP="007674BE">
            <w:pPr>
              <w:rPr>
                <w:sz w:val="18"/>
                <w:szCs w:val="18"/>
                <w:lang w:val="en-IN" w:eastAsia="en-IN"/>
              </w:rPr>
            </w:pPr>
          </w:p>
        </w:tc>
      </w:tr>
      <w:tr w:rsidR="00021D76" w:rsidRPr="00864C3E" w14:paraId="3A2AC8E5" w14:textId="77777777" w:rsidTr="007674BE">
        <w:trPr>
          <w:trHeight w:val="255"/>
        </w:trPr>
        <w:tc>
          <w:tcPr>
            <w:tcW w:w="851" w:type="dxa"/>
            <w:tcBorders>
              <w:top w:val="nil"/>
              <w:left w:val="nil"/>
              <w:bottom w:val="nil"/>
              <w:right w:val="nil"/>
            </w:tcBorders>
            <w:shd w:val="clear" w:color="auto" w:fill="auto"/>
            <w:noWrap/>
            <w:vAlign w:val="center"/>
            <w:hideMark/>
          </w:tcPr>
          <w:p w14:paraId="366B85C0" w14:textId="77777777" w:rsidR="00021D76" w:rsidRPr="004E3F9C" w:rsidRDefault="00021D76" w:rsidP="007674BE">
            <w:pPr>
              <w:rPr>
                <w:color w:val="000000"/>
                <w:sz w:val="18"/>
                <w:szCs w:val="18"/>
                <w:lang w:val="en-IN" w:eastAsia="en-IN"/>
              </w:rPr>
            </w:pPr>
            <w:r w:rsidRPr="004E3F9C">
              <w:rPr>
                <w:color w:val="000000"/>
                <w:sz w:val="18"/>
                <w:szCs w:val="18"/>
                <w:lang w:eastAsia="en-IN"/>
              </w:rPr>
              <w:t>CVC</w:t>
            </w:r>
          </w:p>
        </w:tc>
        <w:tc>
          <w:tcPr>
            <w:tcW w:w="496" w:type="dxa"/>
            <w:tcBorders>
              <w:top w:val="nil"/>
              <w:left w:val="nil"/>
              <w:bottom w:val="nil"/>
              <w:right w:val="nil"/>
            </w:tcBorders>
            <w:shd w:val="clear" w:color="auto" w:fill="auto"/>
            <w:noWrap/>
            <w:vAlign w:val="center"/>
            <w:hideMark/>
          </w:tcPr>
          <w:p w14:paraId="55F6ED24"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3.45</w:t>
            </w:r>
          </w:p>
        </w:tc>
        <w:tc>
          <w:tcPr>
            <w:tcW w:w="371" w:type="dxa"/>
            <w:tcBorders>
              <w:top w:val="nil"/>
              <w:left w:val="nil"/>
              <w:bottom w:val="nil"/>
              <w:right w:val="nil"/>
            </w:tcBorders>
            <w:shd w:val="clear" w:color="auto" w:fill="auto"/>
            <w:noWrap/>
            <w:vAlign w:val="center"/>
            <w:hideMark/>
          </w:tcPr>
          <w:p w14:paraId="7CF46879"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0.68</w:t>
            </w:r>
          </w:p>
        </w:tc>
        <w:tc>
          <w:tcPr>
            <w:tcW w:w="550" w:type="dxa"/>
            <w:tcBorders>
              <w:top w:val="nil"/>
              <w:left w:val="nil"/>
              <w:bottom w:val="nil"/>
              <w:right w:val="nil"/>
            </w:tcBorders>
            <w:shd w:val="clear" w:color="auto" w:fill="auto"/>
            <w:noWrap/>
            <w:vAlign w:val="center"/>
            <w:hideMark/>
          </w:tcPr>
          <w:p w14:paraId="4758E776"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0.53</w:t>
            </w:r>
          </w:p>
        </w:tc>
        <w:tc>
          <w:tcPr>
            <w:tcW w:w="371" w:type="dxa"/>
            <w:tcBorders>
              <w:top w:val="nil"/>
              <w:left w:val="nil"/>
              <w:bottom w:val="nil"/>
              <w:right w:val="nil"/>
            </w:tcBorders>
            <w:shd w:val="clear" w:color="auto" w:fill="auto"/>
            <w:noWrap/>
            <w:vAlign w:val="center"/>
            <w:hideMark/>
          </w:tcPr>
          <w:p w14:paraId="38B47D4C"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0.85</w:t>
            </w:r>
          </w:p>
        </w:tc>
        <w:tc>
          <w:tcPr>
            <w:tcW w:w="480" w:type="dxa"/>
            <w:tcBorders>
              <w:top w:val="nil"/>
              <w:left w:val="nil"/>
              <w:bottom w:val="nil"/>
              <w:right w:val="nil"/>
            </w:tcBorders>
            <w:shd w:val="clear" w:color="auto" w:fill="auto"/>
            <w:noWrap/>
            <w:vAlign w:val="center"/>
            <w:hideMark/>
          </w:tcPr>
          <w:p w14:paraId="7F37A7DE"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0.53</w:t>
            </w:r>
          </w:p>
        </w:tc>
        <w:tc>
          <w:tcPr>
            <w:tcW w:w="425" w:type="dxa"/>
            <w:tcBorders>
              <w:top w:val="nil"/>
              <w:left w:val="nil"/>
              <w:bottom w:val="nil"/>
              <w:right w:val="nil"/>
            </w:tcBorders>
            <w:shd w:val="clear" w:color="auto" w:fill="auto"/>
            <w:noWrap/>
            <w:vAlign w:val="center"/>
            <w:hideMark/>
          </w:tcPr>
          <w:p w14:paraId="152FF8FF"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0.6</w:t>
            </w:r>
          </w:p>
        </w:tc>
        <w:tc>
          <w:tcPr>
            <w:tcW w:w="567" w:type="dxa"/>
            <w:tcBorders>
              <w:top w:val="nil"/>
              <w:left w:val="nil"/>
              <w:bottom w:val="nil"/>
              <w:right w:val="nil"/>
            </w:tcBorders>
            <w:shd w:val="clear" w:color="auto" w:fill="auto"/>
            <w:noWrap/>
            <w:vAlign w:val="center"/>
            <w:hideMark/>
          </w:tcPr>
          <w:p w14:paraId="6C700029"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0.73</w:t>
            </w:r>
          </w:p>
        </w:tc>
        <w:tc>
          <w:tcPr>
            <w:tcW w:w="371" w:type="dxa"/>
            <w:tcBorders>
              <w:top w:val="nil"/>
              <w:left w:val="nil"/>
              <w:bottom w:val="nil"/>
              <w:right w:val="nil"/>
            </w:tcBorders>
            <w:shd w:val="clear" w:color="auto" w:fill="auto"/>
            <w:noWrap/>
            <w:vAlign w:val="center"/>
            <w:hideMark/>
          </w:tcPr>
          <w:p w14:paraId="1FC32792" w14:textId="77777777" w:rsidR="00021D76" w:rsidRPr="004E3F9C" w:rsidRDefault="00021D76" w:rsidP="007674BE">
            <w:pPr>
              <w:jc w:val="center"/>
              <w:rPr>
                <w:b/>
                <w:bCs/>
                <w:color w:val="000000"/>
                <w:sz w:val="18"/>
                <w:szCs w:val="18"/>
                <w:lang w:val="en-IN" w:eastAsia="en-IN"/>
              </w:rPr>
            </w:pPr>
          </w:p>
        </w:tc>
        <w:tc>
          <w:tcPr>
            <w:tcW w:w="338" w:type="dxa"/>
            <w:tcBorders>
              <w:top w:val="nil"/>
              <w:left w:val="nil"/>
              <w:bottom w:val="nil"/>
              <w:right w:val="nil"/>
            </w:tcBorders>
            <w:shd w:val="clear" w:color="auto" w:fill="auto"/>
            <w:noWrap/>
            <w:vAlign w:val="center"/>
            <w:hideMark/>
          </w:tcPr>
          <w:p w14:paraId="1CD1DD7D" w14:textId="77777777" w:rsidR="00021D76" w:rsidRPr="004E3F9C" w:rsidRDefault="00021D76" w:rsidP="007674BE">
            <w:pPr>
              <w:rPr>
                <w:sz w:val="18"/>
                <w:szCs w:val="18"/>
                <w:lang w:val="en-IN" w:eastAsia="en-IN"/>
              </w:rPr>
            </w:pPr>
          </w:p>
        </w:tc>
      </w:tr>
      <w:tr w:rsidR="00021D76" w:rsidRPr="00864C3E" w14:paraId="54415841" w14:textId="77777777" w:rsidTr="007674BE">
        <w:trPr>
          <w:trHeight w:val="255"/>
        </w:trPr>
        <w:tc>
          <w:tcPr>
            <w:tcW w:w="851" w:type="dxa"/>
            <w:tcBorders>
              <w:top w:val="nil"/>
              <w:left w:val="nil"/>
              <w:bottom w:val="nil"/>
              <w:right w:val="nil"/>
            </w:tcBorders>
            <w:shd w:val="clear" w:color="auto" w:fill="auto"/>
            <w:noWrap/>
            <w:vAlign w:val="center"/>
            <w:hideMark/>
          </w:tcPr>
          <w:p w14:paraId="1669D3C8" w14:textId="77777777" w:rsidR="00021D76" w:rsidRPr="004E3F9C" w:rsidRDefault="00021D76" w:rsidP="007674BE">
            <w:pPr>
              <w:rPr>
                <w:color w:val="000000"/>
                <w:sz w:val="18"/>
                <w:szCs w:val="18"/>
                <w:lang w:val="en-IN" w:eastAsia="en-IN"/>
              </w:rPr>
            </w:pPr>
            <w:r w:rsidRPr="004E3F9C">
              <w:rPr>
                <w:color w:val="000000"/>
                <w:sz w:val="18"/>
                <w:szCs w:val="18"/>
                <w:lang w:eastAsia="en-IN"/>
              </w:rPr>
              <w:t>CS</w:t>
            </w:r>
          </w:p>
        </w:tc>
        <w:tc>
          <w:tcPr>
            <w:tcW w:w="496" w:type="dxa"/>
            <w:tcBorders>
              <w:top w:val="nil"/>
              <w:left w:val="nil"/>
              <w:bottom w:val="nil"/>
              <w:right w:val="nil"/>
            </w:tcBorders>
            <w:shd w:val="clear" w:color="auto" w:fill="auto"/>
            <w:noWrap/>
            <w:vAlign w:val="center"/>
            <w:hideMark/>
          </w:tcPr>
          <w:p w14:paraId="74EE6A48"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3.52</w:t>
            </w:r>
          </w:p>
        </w:tc>
        <w:tc>
          <w:tcPr>
            <w:tcW w:w="371" w:type="dxa"/>
            <w:tcBorders>
              <w:top w:val="nil"/>
              <w:left w:val="nil"/>
              <w:bottom w:val="nil"/>
              <w:right w:val="nil"/>
            </w:tcBorders>
            <w:shd w:val="clear" w:color="auto" w:fill="auto"/>
            <w:noWrap/>
            <w:vAlign w:val="center"/>
            <w:hideMark/>
          </w:tcPr>
          <w:p w14:paraId="7970490F"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0.77</w:t>
            </w:r>
          </w:p>
        </w:tc>
        <w:tc>
          <w:tcPr>
            <w:tcW w:w="550" w:type="dxa"/>
            <w:tcBorders>
              <w:top w:val="nil"/>
              <w:left w:val="nil"/>
              <w:bottom w:val="nil"/>
              <w:right w:val="nil"/>
            </w:tcBorders>
            <w:shd w:val="clear" w:color="auto" w:fill="auto"/>
            <w:noWrap/>
            <w:vAlign w:val="center"/>
            <w:hideMark/>
          </w:tcPr>
          <w:p w14:paraId="63AFBCDB"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0.56</w:t>
            </w:r>
          </w:p>
        </w:tc>
        <w:tc>
          <w:tcPr>
            <w:tcW w:w="371" w:type="dxa"/>
            <w:tcBorders>
              <w:top w:val="nil"/>
              <w:left w:val="nil"/>
              <w:bottom w:val="nil"/>
              <w:right w:val="nil"/>
            </w:tcBorders>
            <w:shd w:val="clear" w:color="auto" w:fill="auto"/>
            <w:noWrap/>
            <w:vAlign w:val="center"/>
            <w:hideMark/>
          </w:tcPr>
          <w:p w14:paraId="67ED19DD"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0.86</w:t>
            </w:r>
          </w:p>
        </w:tc>
        <w:tc>
          <w:tcPr>
            <w:tcW w:w="480" w:type="dxa"/>
            <w:tcBorders>
              <w:top w:val="nil"/>
              <w:left w:val="nil"/>
              <w:bottom w:val="nil"/>
              <w:right w:val="nil"/>
            </w:tcBorders>
            <w:shd w:val="clear" w:color="auto" w:fill="auto"/>
            <w:vAlign w:val="center"/>
            <w:hideMark/>
          </w:tcPr>
          <w:p w14:paraId="0E061A3D"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0.53</w:t>
            </w:r>
          </w:p>
        </w:tc>
        <w:tc>
          <w:tcPr>
            <w:tcW w:w="425" w:type="dxa"/>
            <w:tcBorders>
              <w:top w:val="nil"/>
              <w:left w:val="nil"/>
              <w:bottom w:val="nil"/>
              <w:right w:val="nil"/>
            </w:tcBorders>
            <w:shd w:val="clear" w:color="auto" w:fill="auto"/>
            <w:vAlign w:val="center"/>
            <w:hideMark/>
          </w:tcPr>
          <w:p w14:paraId="1B295FAB"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0.57</w:t>
            </w:r>
          </w:p>
        </w:tc>
        <w:tc>
          <w:tcPr>
            <w:tcW w:w="567" w:type="dxa"/>
            <w:tcBorders>
              <w:top w:val="nil"/>
              <w:left w:val="nil"/>
              <w:bottom w:val="nil"/>
              <w:right w:val="nil"/>
            </w:tcBorders>
            <w:shd w:val="clear" w:color="auto" w:fill="auto"/>
            <w:vAlign w:val="center"/>
            <w:hideMark/>
          </w:tcPr>
          <w:p w14:paraId="1D47DDDE"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0.55</w:t>
            </w:r>
          </w:p>
        </w:tc>
        <w:tc>
          <w:tcPr>
            <w:tcW w:w="371" w:type="dxa"/>
            <w:tcBorders>
              <w:top w:val="nil"/>
              <w:left w:val="nil"/>
              <w:bottom w:val="nil"/>
              <w:right w:val="nil"/>
            </w:tcBorders>
            <w:shd w:val="clear" w:color="auto" w:fill="auto"/>
            <w:noWrap/>
            <w:vAlign w:val="center"/>
            <w:hideMark/>
          </w:tcPr>
          <w:p w14:paraId="691750B5"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0.75</w:t>
            </w:r>
          </w:p>
        </w:tc>
        <w:tc>
          <w:tcPr>
            <w:tcW w:w="338" w:type="dxa"/>
            <w:tcBorders>
              <w:top w:val="nil"/>
              <w:left w:val="nil"/>
              <w:bottom w:val="nil"/>
              <w:right w:val="nil"/>
            </w:tcBorders>
            <w:shd w:val="clear" w:color="auto" w:fill="auto"/>
            <w:vAlign w:val="center"/>
            <w:hideMark/>
          </w:tcPr>
          <w:p w14:paraId="3E801F66" w14:textId="77777777" w:rsidR="00021D76" w:rsidRPr="004E3F9C" w:rsidRDefault="00021D76" w:rsidP="007674BE">
            <w:pPr>
              <w:jc w:val="center"/>
              <w:rPr>
                <w:b/>
                <w:bCs/>
                <w:color w:val="000000"/>
                <w:sz w:val="18"/>
                <w:szCs w:val="18"/>
                <w:lang w:val="en-IN" w:eastAsia="en-IN"/>
              </w:rPr>
            </w:pPr>
          </w:p>
        </w:tc>
      </w:tr>
      <w:tr w:rsidR="00021D76" w:rsidRPr="00864C3E" w14:paraId="013BBCE2" w14:textId="77777777" w:rsidTr="007674BE">
        <w:trPr>
          <w:trHeight w:val="255"/>
        </w:trPr>
        <w:tc>
          <w:tcPr>
            <w:tcW w:w="851" w:type="dxa"/>
            <w:tcBorders>
              <w:top w:val="nil"/>
              <w:left w:val="nil"/>
              <w:bottom w:val="single" w:sz="8" w:space="0" w:color="auto"/>
              <w:right w:val="nil"/>
            </w:tcBorders>
            <w:shd w:val="clear" w:color="auto" w:fill="auto"/>
            <w:noWrap/>
            <w:vAlign w:val="center"/>
            <w:hideMark/>
          </w:tcPr>
          <w:p w14:paraId="69E3AB66" w14:textId="77777777" w:rsidR="00021D76" w:rsidRPr="004E3F9C" w:rsidRDefault="00021D76" w:rsidP="007674BE">
            <w:pPr>
              <w:rPr>
                <w:color w:val="000000"/>
                <w:sz w:val="18"/>
                <w:szCs w:val="18"/>
                <w:lang w:val="en-IN" w:eastAsia="en-IN"/>
              </w:rPr>
            </w:pPr>
            <w:r w:rsidRPr="004E3F9C">
              <w:rPr>
                <w:color w:val="000000"/>
                <w:sz w:val="18"/>
                <w:szCs w:val="18"/>
                <w:lang w:eastAsia="en-IN"/>
              </w:rPr>
              <w:t>CL</w:t>
            </w:r>
          </w:p>
        </w:tc>
        <w:tc>
          <w:tcPr>
            <w:tcW w:w="496" w:type="dxa"/>
            <w:tcBorders>
              <w:top w:val="nil"/>
              <w:left w:val="nil"/>
              <w:bottom w:val="single" w:sz="8" w:space="0" w:color="auto"/>
              <w:right w:val="nil"/>
            </w:tcBorders>
            <w:shd w:val="clear" w:color="auto" w:fill="auto"/>
            <w:noWrap/>
            <w:vAlign w:val="center"/>
            <w:hideMark/>
          </w:tcPr>
          <w:p w14:paraId="5E335693"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3.4</w:t>
            </w:r>
          </w:p>
        </w:tc>
        <w:tc>
          <w:tcPr>
            <w:tcW w:w="371" w:type="dxa"/>
            <w:tcBorders>
              <w:top w:val="nil"/>
              <w:left w:val="nil"/>
              <w:bottom w:val="single" w:sz="8" w:space="0" w:color="auto"/>
              <w:right w:val="nil"/>
            </w:tcBorders>
            <w:shd w:val="clear" w:color="auto" w:fill="auto"/>
            <w:noWrap/>
            <w:vAlign w:val="center"/>
            <w:hideMark/>
          </w:tcPr>
          <w:p w14:paraId="728D1C2B"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0.73</w:t>
            </w:r>
          </w:p>
        </w:tc>
        <w:tc>
          <w:tcPr>
            <w:tcW w:w="550" w:type="dxa"/>
            <w:tcBorders>
              <w:top w:val="nil"/>
              <w:left w:val="nil"/>
              <w:bottom w:val="single" w:sz="8" w:space="0" w:color="auto"/>
              <w:right w:val="nil"/>
            </w:tcBorders>
            <w:shd w:val="clear" w:color="auto" w:fill="auto"/>
            <w:noWrap/>
            <w:vAlign w:val="center"/>
            <w:hideMark/>
          </w:tcPr>
          <w:p w14:paraId="2A7E8480"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w:t>
            </w:r>
          </w:p>
        </w:tc>
        <w:tc>
          <w:tcPr>
            <w:tcW w:w="371" w:type="dxa"/>
            <w:tcBorders>
              <w:top w:val="nil"/>
              <w:left w:val="nil"/>
              <w:bottom w:val="single" w:sz="8" w:space="0" w:color="auto"/>
              <w:right w:val="nil"/>
            </w:tcBorders>
            <w:shd w:val="clear" w:color="auto" w:fill="auto"/>
            <w:noWrap/>
            <w:vAlign w:val="center"/>
            <w:hideMark/>
          </w:tcPr>
          <w:p w14:paraId="52ADE51C"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0.9</w:t>
            </w:r>
          </w:p>
        </w:tc>
        <w:tc>
          <w:tcPr>
            <w:tcW w:w="480" w:type="dxa"/>
            <w:tcBorders>
              <w:top w:val="nil"/>
              <w:left w:val="nil"/>
              <w:bottom w:val="single" w:sz="8" w:space="0" w:color="auto"/>
              <w:right w:val="nil"/>
            </w:tcBorders>
            <w:shd w:val="clear" w:color="auto" w:fill="auto"/>
            <w:vAlign w:val="center"/>
            <w:hideMark/>
          </w:tcPr>
          <w:p w14:paraId="743B4F5E"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0.59</w:t>
            </w:r>
          </w:p>
        </w:tc>
        <w:tc>
          <w:tcPr>
            <w:tcW w:w="425" w:type="dxa"/>
            <w:tcBorders>
              <w:top w:val="nil"/>
              <w:left w:val="nil"/>
              <w:bottom w:val="single" w:sz="8" w:space="0" w:color="auto"/>
              <w:right w:val="nil"/>
            </w:tcBorders>
            <w:shd w:val="clear" w:color="auto" w:fill="auto"/>
            <w:vAlign w:val="center"/>
            <w:hideMark/>
          </w:tcPr>
          <w:p w14:paraId="2260AE14"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0.57</w:t>
            </w:r>
          </w:p>
        </w:tc>
        <w:tc>
          <w:tcPr>
            <w:tcW w:w="567" w:type="dxa"/>
            <w:tcBorders>
              <w:top w:val="nil"/>
              <w:left w:val="nil"/>
              <w:bottom w:val="single" w:sz="8" w:space="0" w:color="auto"/>
              <w:right w:val="nil"/>
            </w:tcBorders>
            <w:shd w:val="clear" w:color="auto" w:fill="auto"/>
            <w:vAlign w:val="center"/>
            <w:hideMark/>
          </w:tcPr>
          <w:p w14:paraId="72030284"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0.66</w:t>
            </w:r>
          </w:p>
        </w:tc>
        <w:tc>
          <w:tcPr>
            <w:tcW w:w="371" w:type="dxa"/>
            <w:tcBorders>
              <w:top w:val="nil"/>
              <w:left w:val="nil"/>
              <w:bottom w:val="single" w:sz="8" w:space="0" w:color="auto"/>
              <w:right w:val="nil"/>
            </w:tcBorders>
            <w:shd w:val="clear" w:color="auto" w:fill="auto"/>
            <w:vAlign w:val="center"/>
            <w:hideMark/>
          </w:tcPr>
          <w:p w14:paraId="78846634" w14:textId="77777777" w:rsidR="00021D76" w:rsidRPr="004E3F9C" w:rsidRDefault="00021D76" w:rsidP="007674BE">
            <w:pPr>
              <w:jc w:val="center"/>
              <w:rPr>
                <w:color w:val="000000"/>
                <w:sz w:val="18"/>
                <w:szCs w:val="18"/>
                <w:lang w:val="en-IN" w:eastAsia="en-IN"/>
              </w:rPr>
            </w:pPr>
            <w:r w:rsidRPr="004E3F9C">
              <w:rPr>
                <w:color w:val="000000"/>
                <w:sz w:val="18"/>
                <w:szCs w:val="18"/>
                <w:lang w:eastAsia="en-IN"/>
              </w:rPr>
              <w:t>0.71</w:t>
            </w:r>
          </w:p>
        </w:tc>
        <w:tc>
          <w:tcPr>
            <w:tcW w:w="338" w:type="dxa"/>
            <w:tcBorders>
              <w:top w:val="nil"/>
              <w:left w:val="nil"/>
              <w:bottom w:val="single" w:sz="8" w:space="0" w:color="auto"/>
              <w:right w:val="nil"/>
            </w:tcBorders>
            <w:shd w:val="clear" w:color="auto" w:fill="auto"/>
            <w:noWrap/>
            <w:vAlign w:val="center"/>
            <w:hideMark/>
          </w:tcPr>
          <w:p w14:paraId="0A51DA98" w14:textId="77777777" w:rsidR="00021D76" w:rsidRPr="004E3F9C" w:rsidRDefault="00021D76" w:rsidP="007674BE">
            <w:pPr>
              <w:jc w:val="center"/>
              <w:rPr>
                <w:b/>
                <w:bCs/>
                <w:color w:val="000000"/>
                <w:sz w:val="18"/>
                <w:szCs w:val="18"/>
                <w:lang w:val="en-IN" w:eastAsia="en-IN"/>
              </w:rPr>
            </w:pPr>
            <w:r w:rsidRPr="004E3F9C">
              <w:rPr>
                <w:b/>
                <w:bCs/>
                <w:color w:val="000000"/>
                <w:sz w:val="18"/>
                <w:szCs w:val="18"/>
                <w:lang w:eastAsia="en-IN"/>
              </w:rPr>
              <w:t>0.71</w:t>
            </w:r>
          </w:p>
        </w:tc>
      </w:tr>
    </w:tbl>
    <w:bookmarkEnd w:id="8"/>
    <w:p w14:paraId="2B4092DD" w14:textId="78E8EA7F" w:rsidR="00DA24D6" w:rsidRPr="00D76C4A" w:rsidRDefault="00DA24D6" w:rsidP="00DA24D6">
      <w:pPr>
        <w:rPr>
          <w:color w:val="000000"/>
          <w:sz w:val="16"/>
          <w:szCs w:val="16"/>
        </w:rPr>
      </w:pPr>
      <w:r w:rsidRPr="00D76C4A">
        <w:rPr>
          <w:color w:val="000000"/>
          <w:sz w:val="16"/>
          <w:szCs w:val="16"/>
        </w:rPr>
        <w:t>The square root of AVE is on the diagonal.</w:t>
      </w:r>
    </w:p>
    <w:p w14:paraId="674EEAAB" w14:textId="3EB86DAE" w:rsidR="00DA24D6" w:rsidRPr="00D76C4A" w:rsidRDefault="00DA24D6" w:rsidP="00DA24D6">
      <w:pPr>
        <w:rPr>
          <w:color w:val="000000"/>
          <w:sz w:val="16"/>
          <w:szCs w:val="16"/>
        </w:rPr>
      </w:pPr>
      <w:bookmarkStart w:id="10" w:name="_Hlk103873773"/>
      <w:r w:rsidRPr="00D76C4A">
        <w:rPr>
          <w:color w:val="000000"/>
          <w:sz w:val="16"/>
          <w:szCs w:val="16"/>
        </w:rPr>
        <w:t xml:space="preserve">(SI – Service Innovation; SDI – Service Delivery Innovation; CVC – </w:t>
      </w:r>
      <w:r w:rsidR="00D76C4A">
        <w:rPr>
          <w:color w:val="000000"/>
          <w:sz w:val="16"/>
          <w:szCs w:val="16"/>
        </w:rPr>
        <w:t>C</w:t>
      </w:r>
      <w:r w:rsidRPr="00D76C4A">
        <w:rPr>
          <w:color w:val="000000"/>
          <w:sz w:val="16"/>
          <w:szCs w:val="16"/>
        </w:rPr>
        <w:t>ustomer Value Creation; CS – Customer Satisfaction; CL – Customer Loyalty)</w:t>
      </w:r>
    </w:p>
    <w:bookmarkEnd w:id="9"/>
    <w:bookmarkEnd w:id="10"/>
    <w:p w14:paraId="0D30CC57" w14:textId="77777777" w:rsidR="00DA24D6" w:rsidRDefault="00DA24D6" w:rsidP="00427835">
      <w:pPr>
        <w:jc w:val="both"/>
      </w:pPr>
    </w:p>
    <w:p w14:paraId="168DE7D5" w14:textId="536696BB" w:rsidR="00F14D23" w:rsidRDefault="00F14D23" w:rsidP="00427835">
      <w:pPr>
        <w:jc w:val="both"/>
      </w:pPr>
      <w:r w:rsidRPr="00B13BCD">
        <w:t xml:space="preserve">After deleting the items that were discovered to be loaded under numerous factors, a CFA was undertaken to further demonstrate the validity of the construct. Table A.2 in Appendix A.2 shows the CFA results. AMOS version 23 was used to estimate the structural equation model. Table IV shows that the results of the model fit indices were satisfactory. For the model, </w:t>
      </w:r>
      <w:r w:rsidRPr="00B13BCD">
        <w:fldChar w:fldCharType="begin" w:fldLock="1"/>
      </w:r>
      <w:r w:rsidRPr="00B13BCD">
        <w:instrText>ADDIN CSL_CITATION {"citationItems":[{"id":"ITEM-1","itemData":{"ISSN":"0081-1750","author":[{"dropping-particle":"","family":"Wheaton","given":"Blair","non-dropping-particle":"","parse-names":false,"suffix":""},{"dropping-particle":"","family":"Muthen","given":"Bengt","non-dropping-particle":"","parse-names":false,"suffix":""},{"dropping-particle":"","family":"Alwin","given":"Duane F","non-dropping-particle":"","parse-names":false,"suffix":""},{"dropping-particle":"","family":"Summers","given":"Gene F","non-dropping-particle":"","parse-names":false,"suffix":""}],"container-title":"Sociological methodology","id":"ITEM-1","issued":{"date-parts":[["1977"]]},"page":"84-136","publisher":"JSTOR","title":"Assessing reliability and stability in panel models","type":"article-journal","volume":"8"},"uris":["http://www.mendeley.com/documents/?uuid=6ca642c2-dffa-4d5f-8ab3-c31c4579d02a"]}],"mendeley":{"formattedCitation":"[89]","plainTextFormattedCitation":"[89]","previouslyFormattedCitation":"[89]"},"properties":{"noteIndex":0},"schema":"https://github.com/citation-style-language/schema/raw/master/csl-citation.json"}</w:instrText>
      </w:r>
      <w:r w:rsidRPr="00B13BCD">
        <w:fldChar w:fldCharType="separate"/>
      </w:r>
      <w:r w:rsidRPr="00B13BCD">
        <w:rPr>
          <w:noProof/>
        </w:rPr>
        <w:t>[</w:t>
      </w:r>
      <w:r w:rsidR="00D75BEE">
        <w:rPr>
          <w:noProof/>
        </w:rPr>
        <w:t>103</w:t>
      </w:r>
      <w:r w:rsidRPr="00B13BCD">
        <w:rPr>
          <w:noProof/>
        </w:rPr>
        <w:t>]</w:t>
      </w:r>
      <w:r w:rsidRPr="00B13BCD">
        <w:fldChar w:fldCharType="end"/>
      </w:r>
      <w:r w:rsidRPr="00B13BCD">
        <w:t xml:space="preserve"> found that the CMIN/</w:t>
      </w:r>
      <w:proofErr w:type="spellStart"/>
      <w:r w:rsidRPr="00B13BCD">
        <w:t>df</w:t>
      </w:r>
      <w:proofErr w:type="spellEnd"/>
      <w:r w:rsidRPr="00B13BCD">
        <w:t xml:space="preserve"> is less than 5, and its p-value is significant. Both the TLI and the CFI must be more than or equal to 0.90. </w:t>
      </w:r>
      <w:r w:rsidRPr="00B13BCD">
        <w:fldChar w:fldCharType="begin" w:fldLock="1"/>
      </w:r>
      <w:r w:rsidRPr="00B13BCD">
        <w:instrText>ADDIN CSL_CITATION {"citationItems":[{"id":"ITEM-1","itemData":{"ISSN":"1939-1455","author":[{"dropping-particle":"","family":"Bentler","given":"Peter M","non-dropping-particle":"","parse-names":false,"suffix":""}],"container-title":"Psychological bulletin","id":"ITEM-1","issue":"2","issued":{"date-parts":[["1990"]]},"page":"238","publisher":"American Psychological Association","title":"Comparative fit indexes in structural models.","type":"article-journal","volume":"107"},"uris":["http://www.mendeley.com/documents/?uuid=eb6e0e8d-29b7-413d-a30e-817a6f14a928"]}],"mendeley":{"formattedCitation":"[90]","plainTextFormattedCitation":"[90]","previouslyFormattedCitation":"[90]"},"properties":{"noteIndex":0},"schema":"https://github.com/citation-style-language/schema/raw/master/csl-citation.json"}</w:instrText>
      </w:r>
      <w:r w:rsidRPr="00B13BCD">
        <w:fldChar w:fldCharType="separate"/>
      </w:r>
      <w:r w:rsidRPr="00B13BCD">
        <w:rPr>
          <w:noProof/>
        </w:rPr>
        <w:t>[</w:t>
      </w:r>
      <w:r w:rsidR="00D75BEE">
        <w:rPr>
          <w:noProof/>
        </w:rPr>
        <w:t>104</w:t>
      </w:r>
      <w:r w:rsidRPr="00B13BCD">
        <w:rPr>
          <w:noProof/>
        </w:rPr>
        <w:t>]</w:t>
      </w:r>
      <w:r w:rsidRPr="00B13BCD">
        <w:fldChar w:fldCharType="end"/>
      </w:r>
      <w:r w:rsidRPr="00B13BCD">
        <w:t xml:space="preserve">. In terms of model fit, the RMSEA, SRMR, CFI, and TLI indices all meet or exceed the minimum standards </w:t>
      </w:r>
      <w:r w:rsidRPr="00B13BCD">
        <w:fldChar w:fldCharType="begin" w:fldLock="1"/>
      </w:r>
      <w:r w:rsidRPr="00B13BCD">
        <w:instrText>ADDIN CSL_CITATION {"citationItems":[{"id":"ITEM-1","itemData":{"ISSN":"0191-8869","author":[{"dropping-particle":"","family":"Barrett","given":"Paul","non-dropping-particle":"","parse-names":false,"suffix":""}],"container-title":"Personality and Individual differences","id":"ITEM-1","issue":"5","issued":{"date-parts":[["2007"]]},"page":"815-824","publisher":"Elsevier","title":"Structural equation modelling: Adjudging model fit","type":"article-journal","volume":"42"},"uris":["http://www.mendeley.com/documents/?uuid=d3c85a5e-8881-477c-b5ce-5a36d27a4514"]}],"mendeley":{"formattedCitation":"[91]","plainTextFormattedCitation":"[91]","previouslyFormattedCitation":"[91]"},"properties":{"noteIndex":0},"schema":"https://github.com/citation-style-language/schema/raw/master/csl-citation.json"}</w:instrText>
      </w:r>
      <w:r w:rsidRPr="00B13BCD">
        <w:fldChar w:fldCharType="separate"/>
      </w:r>
      <w:r w:rsidRPr="00B13BCD">
        <w:rPr>
          <w:noProof/>
        </w:rPr>
        <w:t>[</w:t>
      </w:r>
      <w:r w:rsidR="00D75BEE">
        <w:rPr>
          <w:noProof/>
        </w:rPr>
        <w:t>105</w:t>
      </w:r>
      <w:r w:rsidRPr="00B13BCD">
        <w:rPr>
          <w:noProof/>
        </w:rPr>
        <w:t>]</w:t>
      </w:r>
      <w:r w:rsidRPr="00B13BCD">
        <w:fldChar w:fldCharType="end"/>
      </w:r>
      <w:r w:rsidRPr="00B13BCD">
        <w:t xml:space="preserve">. Well-fitting models yield scores below 0.05 for the SRMR, which has a range of 0 to 1 </w:t>
      </w:r>
      <w:r w:rsidRPr="00B13BCD">
        <w:fldChar w:fldCharType="begin" w:fldLock="1"/>
      </w:r>
      <w:r w:rsidRPr="00B13BCD">
        <w:instrText>ADDIN CSL_CITATION {"citationItems":[{"id":"ITEM-1","itemData":{"author":[{"dropping-particle":"","family":"Byrne","given":"Barbara M","non-dropping-particle":"","parse-names":false,"suffix":""}],"container-title":"New York: Taylor &amp; Francis Group","id":"ITEM-1","issued":{"date-parts":[["2010"]]},"page":"7384","title":"Structural equation modeling with AMOS: basic concepts, applications, and programming (multivariate applications series)","type":"article-journal","volume":"396"},"uris":["http://www.mendeley.com/documents/?uuid=db6500de-c1b1-4349-afa7-20fda0866e19"]}],"mendeley":{"formattedCitation":"[92]","plainTextFormattedCitation":"[92]","previouslyFormattedCitation":"[92]"},"properties":{"noteIndex":0},"schema":"https://github.com/citation-style-language/schema/raw/master/csl-citation.json"}</w:instrText>
      </w:r>
      <w:r w:rsidRPr="00B13BCD">
        <w:fldChar w:fldCharType="separate"/>
      </w:r>
      <w:r w:rsidRPr="00B13BCD">
        <w:rPr>
          <w:noProof/>
        </w:rPr>
        <w:t>[</w:t>
      </w:r>
      <w:r w:rsidR="00D75BEE">
        <w:rPr>
          <w:noProof/>
        </w:rPr>
        <w:t>106</w:t>
      </w:r>
      <w:r w:rsidRPr="00B13BCD">
        <w:rPr>
          <w:noProof/>
        </w:rPr>
        <w:t>]</w:t>
      </w:r>
      <w:r w:rsidRPr="00B13BCD">
        <w:fldChar w:fldCharType="end"/>
      </w:r>
      <w:r w:rsidRPr="00B13BCD">
        <w:t xml:space="preserve">. </w:t>
      </w:r>
    </w:p>
    <w:p w14:paraId="43F9D0C2" w14:textId="77777777" w:rsidR="00021D76" w:rsidRDefault="00021D76" w:rsidP="00427835">
      <w:pPr>
        <w:jc w:val="both"/>
      </w:pPr>
    </w:p>
    <w:p w14:paraId="002A74EE" w14:textId="526C8F96" w:rsidR="00021D76" w:rsidRPr="00021D76" w:rsidRDefault="00021D76" w:rsidP="009E1C18">
      <w:pPr>
        <w:jc w:val="center"/>
        <w:rPr>
          <w:sz w:val="16"/>
          <w:szCs w:val="16"/>
        </w:rPr>
      </w:pPr>
      <w:r w:rsidRPr="00A51BCC">
        <w:t>TABLE IV: MODEL FIT INDICES AND DIRECT RELATIONSHIPS</w:t>
      </w:r>
    </w:p>
    <w:tbl>
      <w:tblPr>
        <w:tblW w:w="4820" w:type="dxa"/>
        <w:jc w:val="center"/>
        <w:tblLayout w:type="fixed"/>
        <w:tblLook w:val="04A0" w:firstRow="1" w:lastRow="0" w:firstColumn="1" w:lastColumn="0" w:noHBand="0" w:noVBand="1"/>
      </w:tblPr>
      <w:tblGrid>
        <w:gridCol w:w="342"/>
        <w:gridCol w:w="880"/>
        <w:gridCol w:w="416"/>
        <w:gridCol w:w="914"/>
        <w:gridCol w:w="709"/>
        <w:gridCol w:w="708"/>
        <w:gridCol w:w="426"/>
        <w:gridCol w:w="425"/>
      </w:tblGrid>
      <w:tr w:rsidR="00021D76" w:rsidRPr="00864C3E" w14:paraId="4A0C7566" w14:textId="77777777" w:rsidTr="007674BE">
        <w:trPr>
          <w:trHeight w:val="234"/>
          <w:jc w:val="center"/>
        </w:trPr>
        <w:tc>
          <w:tcPr>
            <w:tcW w:w="342"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5CA305E0" w14:textId="77777777" w:rsidR="00021D76" w:rsidRPr="00864C3E" w:rsidRDefault="00021D76" w:rsidP="007674BE">
            <w:pPr>
              <w:jc w:val="center"/>
              <w:rPr>
                <w:b/>
                <w:bCs/>
                <w:color w:val="000000"/>
                <w:sz w:val="16"/>
                <w:szCs w:val="16"/>
              </w:rPr>
            </w:pPr>
            <w:bookmarkStart w:id="11" w:name="_Hlk179968499"/>
            <w:proofErr w:type="spellStart"/>
            <w:r w:rsidRPr="00864C3E">
              <w:rPr>
                <w:b/>
                <w:bCs/>
                <w:color w:val="000000"/>
                <w:sz w:val="16"/>
                <w:szCs w:val="16"/>
              </w:rPr>
              <w:t>df</w:t>
            </w:r>
            <w:proofErr w:type="spellEnd"/>
          </w:p>
        </w:tc>
        <w:tc>
          <w:tcPr>
            <w:tcW w:w="880"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752550E4" w14:textId="77777777" w:rsidR="00021D76" w:rsidRPr="00864C3E" w:rsidRDefault="00021D76" w:rsidP="007674BE">
            <w:pPr>
              <w:jc w:val="center"/>
              <w:rPr>
                <w:b/>
                <w:bCs/>
                <w:color w:val="000000"/>
                <w:sz w:val="16"/>
                <w:szCs w:val="16"/>
              </w:rPr>
            </w:pPr>
            <w:r w:rsidRPr="00864C3E">
              <w:rPr>
                <w:b/>
                <w:bCs/>
                <w:color w:val="000000"/>
                <w:sz w:val="16"/>
                <w:szCs w:val="16"/>
              </w:rPr>
              <w:t>χ2</w:t>
            </w:r>
          </w:p>
        </w:tc>
        <w:tc>
          <w:tcPr>
            <w:tcW w:w="41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39D37F6" w14:textId="77777777" w:rsidR="00021D76" w:rsidRPr="00864C3E" w:rsidRDefault="00021D76" w:rsidP="007674BE">
            <w:pPr>
              <w:jc w:val="center"/>
              <w:rPr>
                <w:b/>
                <w:bCs/>
                <w:color w:val="000000"/>
                <w:sz w:val="16"/>
                <w:szCs w:val="16"/>
              </w:rPr>
            </w:pPr>
            <w:r w:rsidRPr="00864C3E">
              <w:rPr>
                <w:b/>
                <w:bCs/>
                <w:color w:val="000000"/>
                <w:sz w:val="16"/>
                <w:szCs w:val="16"/>
              </w:rPr>
              <w:t>χ2/</w:t>
            </w:r>
            <w:proofErr w:type="spellStart"/>
            <w:r w:rsidRPr="00864C3E">
              <w:rPr>
                <w:b/>
                <w:bCs/>
                <w:color w:val="000000"/>
                <w:sz w:val="16"/>
                <w:szCs w:val="16"/>
              </w:rPr>
              <w:t>df</w:t>
            </w:r>
            <w:proofErr w:type="spellEnd"/>
          </w:p>
        </w:tc>
        <w:tc>
          <w:tcPr>
            <w:tcW w:w="914"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1789908" w14:textId="77777777" w:rsidR="00021D76" w:rsidRPr="00864C3E" w:rsidRDefault="00021D76" w:rsidP="007674BE">
            <w:pPr>
              <w:jc w:val="center"/>
              <w:rPr>
                <w:b/>
                <w:bCs/>
                <w:color w:val="000000"/>
                <w:sz w:val="16"/>
                <w:szCs w:val="16"/>
              </w:rPr>
            </w:pPr>
            <w:r w:rsidRPr="00864C3E">
              <w:rPr>
                <w:b/>
                <w:bCs/>
                <w:color w:val="000000"/>
                <w:sz w:val="16"/>
                <w:szCs w:val="16"/>
              </w:rPr>
              <w:t>RMSEA</w:t>
            </w:r>
          </w:p>
        </w:tc>
        <w:tc>
          <w:tcPr>
            <w:tcW w:w="709"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7A939860" w14:textId="77777777" w:rsidR="00021D76" w:rsidRPr="00864C3E" w:rsidRDefault="00021D76" w:rsidP="007674BE">
            <w:pPr>
              <w:jc w:val="center"/>
              <w:rPr>
                <w:b/>
                <w:bCs/>
                <w:color w:val="000000"/>
                <w:sz w:val="16"/>
                <w:szCs w:val="16"/>
              </w:rPr>
            </w:pPr>
            <w:r w:rsidRPr="00864C3E">
              <w:rPr>
                <w:b/>
                <w:bCs/>
                <w:color w:val="000000"/>
                <w:sz w:val="16"/>
                <w:szCs w:val="16"/>
              </w:rPr>
              <w:t>PCLOSE</w:t>
            </w:r>
          </w:p>
        </w:tc>
        <w:tc>
          <w:tcPr>
            <w:tcW w:w="708"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0B499E3A" w14:textId="77777777" w:rsidR="00021D76" w:rsidRPr="00864C3E" w:rsidRDefault="00021D76" w:rsidP="007674BE">
            <w:pPr>
              <w:jc w:val="center"/>
              <w:rPr>
                <w:b/>
                <w:bCs/>
                <w:color w:val="000000"/>
                <w:sz w:val="16"/>
                <w:szCs w:val="16"/>
              </w:rPr>
            </w:pPr>
            <w:r w:rsidRPr="00864C3E">
              <w:rPr>
                <w:b/>
                <w:bCs/>
                <w:color w:val="000000"/>
                <w:sz w:val="16"/>
                <w:szCs w:val="16"/>
              </w:rPr>
              <w:t>SRMR</w:t>
            </w:r>
          </w:p>
        </w:tc>
        <w:tc>
          <w:tcPr>
            <w:tcW w:w="42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2247DA95" w14:textId="77777777" w:rsidR="00021D76" w:rsidRPr="00864C3E" w:rsidRDefault="00021D76" w:rsidP="007674BE">
            <w:pPr>
              <w:jc w:val="center"/>
              <w:rPr>
                <w:b/>
                <w:bCs/>
                <w:color w:val="000000"/>
                <w:sz w:val="16"/>
                <w:szCs w:val="16"/>
              </w:rPr>
            </w:pPr>
            <w:r w:rsidRPr="00864C3E">
              <w:rPr>
                <w:b/>
                <w:bCs/>
                <w:color w:val="000000"/>
                <w:sz w:val="16"/>
                <w:szCs w:val="16"/>
              </w:rPr>
              <w:t>CFI</w:t>
            </w:r>
          </w:p>
        </w:tc>
        <w:tc>
          <w:tcPr>
            <w:tcW w:w="425"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99952DB" w14:textId="77777777" w:rsidR="00021D76" w:rsidRPr="00864C3E" w:rsidRDefault="00021D76" w:rsidP="007674BE">
            <w:pPr>
              <w:jc w:val="center"/>
              <w:rPr>
                <w:b/>
                <w:bCs/>
                <w:color w:val="000000"/>
                <w:sz w:val="16"/>
                <w:szCs w:val="16"/>
              </w:rPr>
            </w:pPr>
            <w:r w:rsidRPr="00864C3E">
              <w:rPr>
                <w:b/>
                <w:bCs/>
                <w:color w:val="000000"/>
                <w:sz w:val="16"/>
                <w:szCs w:val="16"/>
              </w:rPr>
              <w:t>TLI</w:t>
            </w:r>
          </w:p>
        </w:tc>
      </w:tr>
      <w:tr w:rsidR="00021D76" w:rsidRPr="00864C3E" w14:paraId="09CA377C" w14:textId="77777777" w:rsidTr="007674BE">
        <w:trPr>
          <w:trHeight w:val="234"/>
          <w:jc w:val="center"/>
        </w:trPr>
        <w:tc>
          <w:tcPr>
            <w:tcW w:w="342" w:type="dxa"/>
            <w:tcBorders>
              <w:top w:val="nil"/>
              <w:left w:val="nil"/>
              <w:bottom w:val="single" w:sz="8" w:space="0" w:color="auto"/>
              <w:right w:val="nil"/>
            </w:tcBorders>
            <w:shd w:val="clear" w:color="auto" w:fill="auto"/>
            <w:tcMar>
              <w:left w:w="28" w:type="dxa"/>
              <w:right w:w="28" w:type="dxa"/>
            </w:tcMar>
            <w:vAlign w:val="center"/>
            <w:hideMark/>
          </w:tcPr>
          <w:p w14:paraId="5B009BBA" w14:textId="77777777" w:rsidR="00021D76" w:rsidRPr="00864C3E" w:rsidRDefault="00021D76" w:rsidP="007674BE">
            <w:pPr>
              <w:jc w:val="center"/>
              <w:rPr>
                <w:color w:val="000000"/>
                <w:sz w:val="16"/>
                <w:szCs w:val="16"/>
              </w:rPr>
            </w:pPr>
            <w:r w:rsidRPr="00864C3E">
              <w:rPr>
                <w:color w:val="000000"/>
                <w:sz w:val="16"/>
                <w:szCs w:val="16"/>
              </w:rPr>
              <w:t>363</w:t>
            </w:r>
          </w:p>
        </w:tc>
        <w:tc>
          <w:tcPr>
            <w:tcW w:w="880" w:type="dxa"/>
            <w:tcBorders>
              <w:top w:val="nil"/>
              <w:left w:val="nil"/>
              <w:bottom w:val="single" w:sz="8" w:space="0" w:color="auto"/>
              <w:right w:val="nil"/>
            </w:tcBorders>
            <w:shd w:val="clear" w:color="auto" w:fill="auto"/>
            <w:tcMar>
              <w:left w:w="28" w:type="dxa"/>
              <w:right w:w="28" w:type="dxa"/>
            </w:tcMar>
            <w:vAlign w:val="center"/>
            <w:hideMark/>
          </w:tcPr>
          <w:p w14:paraId="416307F6" w14:textId="77777777" w:rsidR="00021D76" w:rsidRPr="00864C3E" w:rsidRDefault="00021D76" w:rsidP="007674BE">
            <w:pPr>
              <w:jc w:val="center"/>
              <w:rPr>
                <w:color w:val="000000"/>
                <w:sz w:val="16"/>
                <w:szCs w:val="16"/>
              </w:rPr>
            </w:pPr>
            <w:r w:rsidRPr="00864C3E">
              <w:rPr>
                <w:color w:val="000000"/>
                <w:sz w:val="16"/>
                <w:szCs w:val="16"/>
              </w:rPr>
              <w:t>639.23</w:t>
            </w:r>
          </w:p>
        </w:tc>
        <w:tc>
          <w:tcPr>
            <w:tcW w:w="416" w:type="dxa"/>
            <w:tcBorders>
              <w:top w:val="nil"/>
              <w:left w:val="nil"/>
              <w:bottom w:val="single" w:sz="8" w:space="0" w:color="auto"/>
              <w:right w:val="nil"/>
            </w:tcBorders>
            <w:shd w:val="clear" w:color="auto" w:fill="auto"/>
            <w:tcMar>
              <w:left w:w="28" w:type="dxa"/>
              <w:right w:w="28" w:type="dxa"/>
            </w:tcMar>
            <w:vAlign w:val="center"/>
            <w:hideMark/>
          </w:tcPr>
          <w:p w14:paraId="0F353698" w14:textId="77777777" w:rsidR="00021D76" w:rsidRPr="00864C3E" w:rsidRDefault="00021D76" w:rsidP="007674BE">
            <w:pPr>
              <w:jc w:val="center"/>
              <w:rPr>
                <w:color w:val="000000"/>
                <w:sz w:val="16"/>
                <w:szCs w:val="16"/>
              </w:rPr>
            </w:pPr>
            <w:r w:rsidRPr="00864C3E">
              <w:rPr>
                <w:color w:val="000000"/>
                <w:sz w:val="16"/>
                <w:szCs w:val="16"/>
              </w:rPr>
              <w:t>1.761</w:t>
            </w:r>
          </w:p>
        </w:tc>
        <w:tc>
          <w:tcPr>
            <w:tcW w:w="914" w:type="dxa"/>
            <w:tcBorders>
              <w:top w:val="nil"/>
              <w:left w:val="nil"/>
              <w:bottom w:val="single" w:sz="8" w:space="0" w:color="auto"/>
              <w:right w:val="nil"/>
            </w:tcBorders>
            <w:shd w:val="clear" w:color="auto" w:fill="auto"/>
            <w:tcMar>
              <w:left w:w="28" w:type="dxa"/>
              <w:right w:w="28" w:type="dxa"/>
            </w:tcMar>
            <w:vAlign w:val="center"/>
            <w:hideMark/>
          </w:tcPr>
          <w:p w14:paraId="077C30FA" w14:textId="77777777" w:rsidR="00021D76" w:rsidRPr="00864C3E" w:rsidRDefault="00021D76" w:rsidP="007674BE">
            <w:pPr>
              <w:jc w:val="center"/>
              <w:rPr>
                <w:color w:val="000000"/>
                <w:sz w:val="16"/>
                <w:szCs w:val="16"/>
              </w:rPr>
            </w:pPr>
            <w:r w:rsidRPr="00864C3E">
              <w:rPr>
                <w:color w:val="000000"/>
                <w:sz w:val="16"/>
                <w:szCs w:val="16"/>
              </w:rPr>
              <w:t>0.042</w:t>
            </w:r>
          </w:p>
        </w:tc>
        <w:tc>
          <w:tcPr>
            <w:tcW w:w="709" w:type="dxa"/>
            <w:tcBorders>
              <w:top w:val="nil"/>
              <w:left w:val="nil"/>
              <w:bottom w:val="single" w:sz="8" w:space="0" w:color="auto"/>
              <w:right w:val="nil"/>
            </w:tcBorders>
            <w:shd w:val="clear" w:color="auto" w:fill="auto"/>
            <w:tcMar>
              <w:left w:w="28" w:type="dxa"/>
              <w:right w:w="28" w:type="dxa"/>
            </w:tcMar>
            <w:vAlign w:val="center"/>
            <w:hideMark/>
          </w:tcPr>
          <w:p w14:paraId="426F8C6F" w14:textId="77777777" w:rsidR="00021D76" w:rsidRPr="00864C3E" w:rsidRDefault="00021D76" w:rsidP="007674BE">
            <w:pPr>
              <w:jc w:val="center"/>
              <w:rPr>
                <w:color w:val="000000"/>
                <w:sz w:val="16"/>
                <w:szCs w:val="16"/>
              </w:rPr>
            </w:pPr>
            <w:r w:rsidRPr="00864C3E">
              <w:rPr>
                <w:color w:val="000000"/>
                <w:sz w:val="16"/>
                <w:szCs w:val="16"/>
              </w:rPr>
              <w:t>0.995</w:t>
            </w:r>
          </w:p>
        </w:tc>
        <w:tc>
          <w:tcPr>
            <w:tcW w:w="708" w:type="dxa"/>
            <w:tcBorders>
              <w:top w:val="nil"/>
              <w:left w:val="nil"/>
              <w:bottom w:val="single" w:sz="8" w:space="0" w:color="auto"/>
              <w:right w:val="nil"/>
            </w:tcBorders>
            <w:shd w:val="clear" w:color="auto" w:fill="auto"/>
            <w:tcMar>
              <w:left w:w="28" w:type="dxa"/>
              <w:right w:w="28" w:type="dxa"/>
            </w:tcMar>
            <w:vAlign w:val="center"/>
            <w:hideMark/>
          </w:tcPr>
          <w:p w14:paraId="4C6B5F35" w14:textId="77777777" w:rsidR="00021D76" w:rsidRPr="00864C3E" w:rsidRDefault="00021D76" w:rsidP="007674BE">
            <w:pPr>
              <w:jc w:val="center"/>
              <w:rPr>
                <w:color w:val="000000"/>
                <w:sz w:val="16"/>
                <w:szCs w:val="16"/>
              </w:rPr>
            </w:pPr>
            <w:r w:rsidRPr="00864C3E">
              <w:rPr>
                <w:color w:val="000000"/>
                <w:sz w:val="16"/>
                <w:szCs w:val="16"/>
              </w:rPr>
              <w:t>0.034</w:t>
            </w:r>
          </w:p>
        </w:tc>
        <w:tc>
          <w:tcPr>
            <w:tcW w:w="426" w:type="dxa"/>
            <w:tcBorders>
              <w:top w:val="nil"/>
              <w:left w:val="nil"/>
              <w:bottom w:val="single" w:sz="8" w:space="0" w:color="auto"/>
              <w:right w:val="nil"/>
            </w:tcBorders>
            <w:shd w:val="clear" w:color="auto" w:fill="auto"/>
            <w:tcMar>
              <w:left w:w="28" w:type="dxa"/>
              <w:right w:w="28" w:type="dxa"/>
            </w:tcMar>
            <w:vAlign w:val="center"/>
            <w:hideMark/>
          </w:tcPr>
          <w:p w14:paraId="4E3048C6" w14:textId="77777777" w:rsidR="00021D76" w:rsidRPr="00864C3E" w:rsidRDefault="00021D76" w:rsidP="007674BE">
            <w:pPr>
              <w:jc w:val="center"/>
              <w:rPr>
                <w:color w:val="000000"/>
                <w:sz w:val="16"/>
                <w:szCs w:val="16"/>
              </w:rPr>
            </w:pPr>
            <w:r w:rsidRPr="00864C3E">
              <w:rPr>
                <w:color w:val="000000"/>
                <w:sz w:val="16"/>
                <w:szCs w:val="16"/>
              </w:rPr>
              <w:t>0.971</w:t>
            </w:r>
          </w:p>
        </w:tc>
        <w:tc>
          <w:tcPr>
            <w:tcW w:w="425" w:type="dxa"/>
            <w:tcBorders>
              <w:top w:val="nil"/>
              <w:left w:val="nil"/>
              <w:bottom w:val="single" w:sz="8" w:space="0" w:color="auto"/>
              <w:right w:val="nil"/>
            </w:tcBorders>
            <w:shd w:val="clear" w:color="auto" w:fill="auto"/>
            <w:tcMar>
              <w:left w:w="28" w:type="dxa"/>
              <w:right w:w="28" w:type="dxa"/>
            </w:tcMar>
            <w:vAlign w:val="center"/>
            <w:hideMark/>
          </w:tcPr>
          <w:p w14:paraId="2D64A993" w14:textId="77777777" w:rsidR="00021D76" w:rsidRPr="00864C3E" w:rsidRDefault="00021D76" w:rsidP="007674BE">
            <w:pPr>
              <w:jc w:val="center"/>
              <w:rPr>
                <w:color w:val="000000"/>
                <w:sz w:val="16"/>
                <w:szCs w:val="16"/>
              </w:rPr>
            </w:pPr>
            <w:r w:rsidRPr="00864C3E">
              <w:rPr>
                <w:color w:val="000000"/>
                <w:sz w:val="16"/>
                <w:szCs w:val="16"/>
              </w:rPr>
              <w:t>0.967</w:t>
            </w:r>
          </w:p>
        </w:tc>
      </w:tr>
      <w:tr w:rsidR="00021D76" w:rsidRPr="00864C3E" w14:paraId="789D174A" w14:textId="77777777" w:rsidTr="007674BE">
        <w:trPr>
          <w:trHeight w:val="245"/>
          <w:jc w:val="center"/>
        </w:trPr>
        <w:tc>
          <w:tcPr>
            <w:tcW w:w="342" w:type="dxa"/>
            <w:tcBorders>
              <w:top w:val="nil"/>
              <w:left w:val="nil"/>
              <w:bottom w:val="nil"/>
              <w:right w:val="nil"/>
            </w:tcBorders>
            <w:shd w:val="clear" w:color="auto" w:fill="auto"/>
            <w:tcMar>
              <w:left w:w="28" w:type="dxa"/>
              <w:right w:w="28" w:type="dxa"/>
            </w:tcMar>
            <w:vAlign w:val="center"/>
            <w:hideMark/>
          </w:tcPr>
          <w:p w14:paraId="2DBF43AD" w14:textId="77777777" w:rsidR="00021D76" w:rsidRPr="00864C3E" w:rsidRDefault="00021D76" w:rsidP="007674BE">
            <w:pPr>
              <w:rPr>
                <w:color w:val="000000"/>
                <w:sz w:val="16"/>
                <w:szCs w:val="16"/>
              </w:rPr>
            </w:pPr>
            <w:r w:rsidRPr="00864C3E">
              <w:rPr>
                <w:color w:val="000000"/>
                <w:sz w:val="16"/>
                <w:szCs w:val="16"/>
              </w:rPr>
              <w:t>Path</w:t>
            </w:r>
          </w:p>
        </w:tc>
        <w:tc>
          <w:tcPr>
            <w:tcW w:w="880" w:type="dxa"/>
            <w:tcBorders>
              <w:top w:val="nil"/>
              <w:left w:val="nil"/>
              <w:bottom w:val="nil"/>
              <w:right w:val="nil"/>
            </w:tcBorders>
            <w:shd w:val="clear" w:color="auto" w:fill="auto"/>
            <w:tcMar>
              <w:left w:w="28" w:type="dxa"/>
              <w:right w:w="28" w:type="dxa"/>
            </w:tcMar>
            <w:vAlign w:val="center"/>
            <w:hideMark/>
          </w:tcPr>
          <w:p w14:paraId="1D93FD18" w14:textId="77777777" w:rsidR="00021D76" w:rsidRPr="00864C3E" w:rsidRDefault="00021D76" w:rsidP="007674BE">
            <w:pPr>
              <w:jc w:val="center"/>
              <w:rPr>
                <w:color w:val="000000"/>
                <w:sz w:val="16"/>
                <w:szCs w:val="16"/>
              </w:rPr>
            </w:pPr>
            <w:r w:rsidRPr="00864C3E">
              <w:rPr>
                <w:color w:val="000000"/>
                <w:sz w:val="16"/>
                <w:szCs w:val="16"/>
              </w:rPr>
              <w:t xml:space="preserve">SI </w:t>
            </w:r>
            <w:r w:rsidRPr="00864C3E">
              <w:rPr>
                <w:rFonts w:ascii="Wingdings" w:hAnsi="Wingdings"/>
                <w:color w:val="000000"/>
                <w:sz w:val="16"/>
                <w:szCs w:val="16"/>
              </w:rPr>
              <w:t>à</w:t>
            </w:r>
            <w:r w:rsidRPr="00864C3E">
              <w:rPr>
                <w:color w:val="000000"/>
                <w:sz w:val="16"/>
                <w:szCs w:val="16"/>
              </w:rPr>
              <w:t xml:space="preserve"> CVC</w:t>
            </w:r>
          </w:p>
        </w:tc>
        <w:tc>
          <w:tcPr>
            <w:tcW w:w="416" w:type="dxa"/>
            <w:tcBorders>
              <w:top w:val="nil"/>
              <w:left w:val="nil"/>
              <w:bottom w:val="nil"/>
              <w:right w:val="nil"/>
            </w:tcBorders>
            <w:shd w:val="clear" w:color="auto" w:fill="auto"/>
            <w:tcMar>
              <w:left w:w="28" w:type="dxa"/>
              <w:right w:w="28" w:type="dxa"/>
            </w:tcMar>
            <w:vAlign w:val="bottom"/>
            <w:hideMark/>
          </w:tcPr>
          <w:p w14:paraId="516152DE" w14:textId="77777777" w:rsidR="00021D76" w:rsidRPr="00864C3E" w:rsidRDefault="00021D76" w:rsidP="007674BE">
            <w:pPr>
              <w:jc w:val="center"/>
              <w:rPr>
                <w:color w:val="000000"/>
                <w:sz w:val="16"/>
                <w:szCs w:val="16"/>
              </w:rPr>
            </w:pPr>
          </w:p>
        </w:tc>
        <w:tc>
          <w:tcPr>
            <w:tcW w:w="914" w:type="dxa"/>
            <w:tcBorders>
              <w:top w:val="nil"/>
              <w:left w:val="nil"/>
              <w:bottom w:val="nil"/>
              <w:right w:val="nil"/>
            </w:tcBorders>
            <w:shd w:val="clear" w:color="auto" w:fill="auto"/>
            <w:tcMar>
              <w:left w:w="28" w:type="dxa"/>
              <w:right w:w="28" w:type="dxa"/>
            </w:tcMar>
            <w:vAlign w:val="center"/>
            <w:hideMark/>
          </w:tcPr>
          <w:p w14:paraId="1DB4DDA0" w14:textId="77777777" w:rsidR="00021D76" w:rsidRPr="00864C3E" w:rsidRDefault="00021D76" w:rsidP="007674BE">
            <w:pPr>
              <w:jc w:val="center"/>
              <w:rPr>
                <w:color w:val="000000"/>
                <w:sz w:val="16"/>
                <w:szCs w:val="16"/>
              </w:rPr>
            </w:pPr>
            <w:r w:rsidRPr="00864C3E">
              <w:rPr>
                <w:color w:val="000000"/>
                <w:sz w:val="16"/>
                <w:szCs w:val="16"/>
              </w:rPr>
              <w:t xml:space="preserve">SI </w:t>
            </w:r>
            <w:r w:rsidRPr="00864C3E">
              <w:rPr>
                <w:rFonts w:ascii="Wingdings" w:hAnsi="Wingdings"/>
                <w:color w:val="000000"/>
                <w:sz w:val="16"/>
                <w:szCs w:val="16"/>
              </w:rPr>
              <w:t>à</w:t>
            </w:r>
            <w:r w:rsidRPr="00864C3E">
              <w:rPr>
                <w:color w:val="000000"/>
                <w:sz w:val="16"/>
                <w:szCs w:val="16"/>
              </w:rPr>
              <w:t xml:space="preserve"> CL</w:t>
            </w:r>
          </w:p>
        </w:tc>
        <w:tc>
          <w:tcPr>
            <w:tcW w:w="709" w:type="dxa"/>
            <w:tcBorders>
              <w:top w:val="nil"/>
              <w:left w:val="nil"/>
              <w:bottom w:val="nil"/>
              <w:right w:val="nil"/>
            </w:tcBorders>
            <w:shd w:val="clear" w:color="auto" w:fill="auto"/>
            <w:tcMar>
              <w:left w:w="28" w:type="dxa"/>
              <w:right w:w="28" w:type="dxa"/>
            </w:tcMar>
            <w:vAlign w:val="bottom"/>
            <w:hideMark/>
          </w:tcPr>
          <w:p w14:paraId="3EA707D6" w14:textId="77777777" w:rsidR="00021D76" w:rsidRPr="00864C3E" w:rsidRDefault="00021D76" w:rsidP="007674BE">
            <w:pPr>
              <w:jc w:val="center"/>
              <w:rPr>
                <w:color w:val="000000"/>
                <w:sz w:val="16"/>
                <w:szCs w:val="16"/>
              </w:rPr>
            </w:pPr>
          </w:p>
        </w:tc>
        <w:tc>
          <w:tcPr>
            <w:tcW w:w="708" w:type="dxa"/>
            <w:tcBorders>
              <w:top w:val="nil"/>
              <w:left w:val="nil"/>
              <w:bottom w:val="nil"/>
              <w:right w:val="nil"/>
            </w:tcBorders>
            <w:shd w:val="clear" w:color="auto" w:fill="auto"/>
            <w:tcMar>
              <w:left w:w="28" w:type="dxa"/>
              <w:right w:w="28" w:type="dxa"/>
            </w:tcMar>
            <w:vAlign w:val="center"/>
            <w:hideMark/>
          </w:tcPr>
          <w:p w14:paraId="28E465E0" w14:textId="77777777" w:rsidR="00021D76" w:rsidRPr="00864C3E" w:rsidRDefault="00021D76" w:rsidP="007674BE">
            <w:pPr>
              <w:jc w:val="center"/>
              <w:rPr>
                <w:color w:val="000000"/>
                <w:sz w:val="16"/>
                <w:szCs w:val="16"/>
              </w:rPr>
            </w:pPr>
            <w:r w:rsidRPr="00864C3E">
              <w:rPr>
                <w:color w:val="000000"/>
                <w:sz w:val="16"/>
                <w:szCs w:val="16"/>
              </w:rPr>
              <w:t xml:space="preserve">SI </w:t>
            </w:r>
            <w:r w:rsidRPr="00864C3E">
              <w:rPr>
                <w:rFonts w:ascii="Wingdings" w:hAnsi="Wingdings"/>
                <w:color w:val="000000"/>
                <w:sz w:val="16"/>
                <w:szCs w:val="16"/>
              </w:rPr>
              <w:t>à</w:t>
            </w:r>
            <w:r w:rsidRPr="00864C3E">
              <w:rPr>
                <w:color w:val="000000"/>
                <w:sz w:val="16"/>
                <w:szCs w:val="16"/>
              </w:rPr>
              <w:t xml:space="preserve"> CS</w:t>
            </w:r>
          </w:p>
        </w:tc>
        <w:tc>
          <w:tcPr>
            <w:tcW w:w="426" w:type="dxa"/>
            <w:tcBorders>
              <w:top w:val="nil"/>
              <w:left w:val="nil"/>
              <w:bottom w:val="nil"/>
              <w:right w:val="nil"/>
            </w:tcBorders>
            <w:shd w:val="clear" w:color="auto" w:fill="auto"/>
            <w:tcMar>
              <w:left w:w="28" w:type="dxa"/>
              <w:right w:w="28" w:type="dxa"/>
            </w:tcMar>
            <w:vAlign w:val="bottom"/>
            <w:hideMark/>
          </w:tcPr>
          <w:p w14:paraId="5D2500A4" w14:textId="77777777" w:rsidR="00021D76" w:rsidRPr="00864C3E" w:rsidRDefault="00021D76" w:rsidP="007674BE">
            <w:pPr>
              <w:jc w:val="center"/>
              <w:rPr>
                <w:color w:val="000000"/>
                <w:sz w:val="16"/>
                <w:szCs w:val="16"/>
              </w:rPr>
            </w:pPr>
          </w:p>
        </w:tc>
        <w:tc>
          <w:tcPr>
            <w:tcW w:w="425" w:type="dxa"/>
            <w:tcBorders>
              <w:top w:val="nil"/>
              <w:left w:val="nil"/>
              <w:bottom w:val="nil"/>
              <w:right w:val="nil"/>
            </w:tcBorders>
            <w:shd w:val="clear" w:color="auto" w:fill="auto"/>
            <w:tcMar>
              <w:left w:w="28" w:type="dxa"/>
              <w:right w:w="28" w:type="dxa"/>
            </w:tcMar>
            <w:vAlign w:val="bottom"/>
            <w:hideMark/>
          </w:tcPr>
          <w:p w14:paraId="6F966B3E" w14:textId="77777777" w:rsidR="00021D76" w:rsidRPr="00864C3E" w:rsidRDefault="00021D76" w:rsidP="007674BE">
            <w:pPr>
              <w:jc w:val="center"/>
              <w:rPr>
                <w:sz w:val="16"/>
                <w:szCs w:val="16"/>
              </w:rPr>
            </w:pPr>
          </w:p>
        </w:tc>
      </w:tr>
      <w:tr w:rsidR="00021D76" w:rsidRPr="00864C3E" w14:paraId="47354490" w14:textId="77777777" w:rsidTr="007674BE">
        <w:trPr>
          <w:trHeight w:val="234"/>
          <w:jc w:val="center"/>
        </w:trPr>
        <w:tc>
          <w:tcPr>
            <w:tcW w:w="342"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D937622" w14:textId="77777777" w:rsidR="00021D76" w:rsidRPr="00864C3E" w:rsidRDefault="00021D76" w:rsidP="007674BE">
            <w:pPr>
              <w:jc w:val="center"/>
              <w:rPr>
                <w:color w:val="000000"/>
                <w:sz w:val="16"/>
                <w:szCs w:val="16"/>
              </w:rPr>
            </w:pPr>
            <w:r w:rsidRPr="00864C3E">
              <w:rPr>
                <w:color w:val="000000"/>
                <w:sz w:val="16"/>
                <w:szCs w:val="16"/>
              </w:rPr>
              <w:t> </w:t>
            </w:r>
          </w:p>
        </w:tc>
        <w:tc>
          <w:tcPr>
            <w:tcW w:w="880"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5D27C0C1" w14:textId="77777777" w:rsidR="00021D76" w:rsidRPr="00864C3E" w:rsidRDefault="00021D76" w:rsidP="007674BE">
            <w:pPr>
              <w:jc w:val="center"/>
              <w:rPr>
                <w:color w:val="000000"/>
                <w:sz w:val="16"/>
                <w:szCs w:val="16"/>
              </w:rPr>
            </w:pPr>
            <w:r w:rsidRPr="00864C3E">
              <w:rPr>
                <w:color w:val="000000"/>
                <w:sz w:val="16"/>
                <w:szCs w:val="16"/>
              </w:rPr>
              <w:t>0.53***</w:t>
            </w:r>
          </w:p>
        </w:tc>
        <w:tc>
          <w:tcPr>
            <w:tcW w:w="41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591A941D" w14:textId="77777777" w:rsidR="00021D76" w:rsidRPr="00864C3E" w:rsidRDefault="00021D76" w:rsidP="007674BE">
            <w:pPr>
              <w:jc w:val="center"/>
              <w:rPr>
                <w:color w:val="000000"/>
                <w:sz w:val="16"/>
                <w:szCs w:val="16"/>
              </w:rPr>
            </w:pPr>
            <w:r w:rsidRPr="00864C3E">
              <w:rPr>
                <w:color w:val="000000"/>
                <w:sz w:val="16"/>
                <w:szCs w:val="16"/>
              </w:rPr>
              <w:t> </w:t>
            </w:r>
          </w:p>
        </w:tc>
        <w:tc>
          <w:tcPr>
            <w:tcW w:w="914"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6BB0FADE" w14:textId="77777777" w:rsidR="00021D76" w:rsidRPr="00864C3E" w:rsidRDefault="00021D76" w:rsidP="007674BE">
            <w:pPr>
              <w:jc w:val="center"/>
              <w:rPr>
                <w:color w:val="000000"/>
                <w:sz w:val="16"/>
                <w:szCs w:val="16"/>
              </w:rPr>
            </w:pPr>
            <w:r w:rsidRPr="00864C3E">
              <w:rPr>
                <w:color w:val="000000"/>
                <w:sz w:val="16"/>
                <w:szCs w:val="16"/>
              </w:rPr>
              <w:t>0.66***</w:t>
            </w:r>
          </w:p>
        </w:tc>
        <w:tc>
          <w:tcPr>
            <w:tcW w:w="709"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7F950AC9" w14:textId="77777777" w:rsidR="00021D76" w:rsidRPr="00864C3E" w:rsidRDefault="00021D76" w:rsidP="007674BE">
            <w:pPr>
              <w:jc w:val="center"/>
              <w:rPr>
                <w:color w:val="000000"/>
                <w:sz w:val="16"/>
                <w:szCs w:val="16"/>
              </w:rPr>
            </w:pPr>
            <w:r w:rsidRPr="00864C3E">
              <w:rPr>
                <w:color w:val="000000"/>
                <w:sz w:val="16"/>
                <w:szCs w:val="16"/>
              </w:rPr>
              <w:t> </w:t>
            </w:r>
          </w:p>
        </w:tc>
        <w:tc>
          <w:tcPr>
            <w:tcW w:w="708"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13CBAFD7" w14:textId="77777777" w:rsidR="00021D76" w:rsidRPr="00864C3E" w:rsidRDefault="00021D76" w:rsidP="007674BE">
            <w:pPr>
              <w:jc w:val="center"/>
              <w:rPr>
                <w:color w:val="000000"/>
                <w:sz w:val="16"/>
                <w:szCs w:val="16"/>
              </w:rPr>
            </w:pPr>
            <w:r w:rsidRPr="00864C3E">
              <w:rPr>
                <w:color w:val="000000"/>
                <w:sz w:val="16"/>
                <w:szCs w:val="16"/>
              </w:rPr>
              <w:t>0.55***</w:t>
            </w:r>
          </w:p>
        </w:tc>
        <w:tc>
          <w:tcPr>
            <w:tcW w:w="42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08259776" w14:textId="77777777" w:rsidR="00021D76" w:rsidRPr="00864C3E" w:rsidRDefault="00021D76" w:rsidP="007674BE">
            <w:pPr>
              <w:jc w:val="center"/>
              <w:rPr>
                <w:color w:val="000000"/>
                <w:sz w:val="16"/>
                <w:szCs w:val="16"/>
              </w:rPr>
            </w:pPr>
            <w:r w:rsidRPr="00864C3E">
              <w:rPr>
                <w:color w:val="000000"/>
                <w:sz w:val="16"/>
                <w:szCs w:val="16"/>
              </w:rPr>
              <w:t> </w:t>
            </w:r>
          </w:p>
        </w:tc>
        <w:tc>
          <w:tcPr>
            <w:tcW w:w="425" w:type="dxa"/>
            <w:tcBorders>
              <w:top w:val="nil"/>
              <w:left w:val="nil"/>
              <w:bottom w:val="nil"/>
              <w:right w:val="nil"/>
            </w:tcBorders>
            <w:shd w:val="clear" w:color="auto" w:fill="auto"/>
            <w:tcMar>
              <w:left w:w="28" w:type="dxa"/>
              <w:right w:w="28" w:type="dxa"/>
            </w:tcMar>
            <w:vAlign w:val="center"/>
            <w:hideMark/>
          </w:tcPr>
          <w:p w14:paraId="253040DE" w14:textId="77777777" w:rsidR="00021D76" w:rsidRPr="00864C3E" w:rsidRDefault="00021D76" w:rsidP="007674BE">
            <w:pPr>
              <w:jc w:val="center"/>
              <w:rPr>
                <w:color w:val="000000"/>
                <w:sz w:val="16"/>
                <w:szCs w:val="16"/>
              </w:rPr>
            </w:pPr>
          </w:p>
        </w:tc>
      </w:tr>
      <w:tr w:rsidR="00021D76" w:rsidRPr="00864C3E" w14:paraId="6E54534B" w14:textId="77777777" w:rsidTr="007674BE">
        <w:trPr>
          <w:trHeight w:val="245"/>
          <w:jc w:val="center"/>
        </w:trPr>
        <w:tc>
          <w:tcPr>
            <w:tcW w:w="342" w:type="dxa"/>
            <w:tcBorders>
              <w:top w:val="nil"/>
              <w:left w:val="nil"/>
              <w:bottom w:val="nil"/>
              <w:right w:val="nil"/>
            </w:tcBorders>
            <w:shd w:val="clear" w:color="auto" w:fill="auto"/>
            <w:tcMar>
              <w:left w:w="28" w:type="dxa"/>
              <w:right w:w="28" w:type="dxa"/>
            </w:tcMar>
            <w:vAlign w:val="center"/>
            <w:hideMark/>
          </w:tcPr>
          <w:p w14:paraId="61941FD4" w14:textId="77777777" w:rsidR="00021D76" w:rsidRPr="00864C3E" w:rsidRDefault="00021D76" w:rsidP="007674BE">
            <w:pPr>
              <w:rPr>
                <w:color w:val="000000"/>
                <w:sz w:val="16"/>
                <w:szCs w:val="16"/>
              </w:rPr>
            </w:pPr>
            <w:r w:rsidRPr="00864C3E">
              <w:rPr>
                <w:color w:val="000000"/>
                <w:sz w:val="16"/>
                <w:szCs w:val="16"/>
              </w:rPr>
              <w:t>Path</w:t>
            </w:r>
          </w:p>
        </w:tc>
        <w:tc>
          <w:tcPr>
            <w:tcW w:w="880" w:type="dxa"/>
            <w:tcBorders>
              <w:top w:val="nil"/>
              <w:left w:val="nil"/>
              <w:bottom w:val="nil"/>
              <w:right w:val="nil"/>
            </w:tcBorders>
            <w:shd w:val="clear" w:color="auto" w:fill="auto"/>
            <w:tcMar>
              <w:left w:w="28" w:type="dxa"/>
              <w:right w:w="28" w:type="dxa"/>
            </w:tcMar>
            <w:vAlign w:val="center"/>
            <w:hideMark/>
          </w:tcPr>
          <w:p w14:paraId="0A95E7DA" w14:textId="77777777" w:rsidR="00021D76" w:rsidRPr="00864C3E" w:rsidRDefault="00021D76" w:rsidP="007674BE">
            <w:pPr>
              <w:jc w:val="center"/>
              <w:rPr>
                <w:color w:val="000000"/>
                <w:sz w:val="16"/>
                <w:szCs w:val="16"/>
              </w:rPr>
            </w:pPr>
            <w:r w:rsidRPr="00864C3E">
              <w:rPr>
                <w:color w:val="000000"/>
                <w:sz w:val="16"/>
                <w:szCs w:val="16"/>
              </w:rPr>
              <w:t xml:space="preserve">CVC </w:t>
            </w:r>
            <w:r w:rsidRPr="00864C3E">
              <w:rPr>
                <w:rFonts w:ascii="Wingdings" w:hAnsi="Wingdings"/>
                <w:color w:val="000000"/>
                <w:sz w:val="16"/>
                <w:szCs w:val="16"/>
              </w:rPr>
              <w:t>à</w:t>
            </w:r>
            <w:r w:rsidRPr="00864C3E">
              <w:rPr>
                <w:color w:val="000000"/>
                <w:sz w:val="16"/>
                <w:szCs w:val="16"/>
              </w:rPr>
              <w:t xml:space="preserve"> CS</w:t>
            </w:r>
          </w:p>
        </w:tc>
        <w:tc>
          <w:tcPr>
            <w:tcW w:w="416" w:type="dxa"/>
            <w:tcBorders>
              <w:top w:val="nil"/>
              <w:left w:val="nil"/>
              <w:bottom w:val="nil"/>
              <w:right w:val="nil"/>
            </w:tcBorders>
            <w:shd w:val="clear" w:color="auto" w:fill="auto"/>
            <w:tcMar>
              <w:left w:w="28" w:type="dxa"/>
              <w:right w:w="28" w:type="dxa"/>
            </w:tcMar>
            <w:vAlign w:val="bottom"/>
            <w:hideMark/>
          </w:tcPr>
          <w:p w14:paraId="33EC55E3" w14:textId="77777777" w:rsidR="00021D76" w:rsidRPr="00864C3E" w:rsidRDefault="00021D76" w:rsidP="007674BE">
            <w:pPr>
              <w:jc w:val="center"/>
              <w:rPr>
                <w:color w:val="000000"/>
                <w:sz w:val="16"/>
                <w:szCs w:val="16"/>
              </w:rPr>
            </w:pPr>
          </w:p>
        </w:tc>
        <w:tc>
          <w:tcPr>
            <w:tcW w:w="914" w:type="dxa"/>
            <w:tcBorders>
              <w:top w:val="nil"/>
              <w:left w:val="nil"/>
              <w:bottom w:val="nil"/>
              <w:right w:val="nil"/>
            </w:tcBorders>
            <w:shd w:val="clear" w:color="auto" w:fill="auto"/>
            <w:tcMar>
              <w:left w:w="28" w:type="dxa"/>
              <w:right w:w="28" w:type="dxa"/>
            </w:tcMar>
            <w:vAlign w:val="center"/>
            <w:hideMark/>
          </w:tcPr>
          <w:p w14:paraId="0CA7A814" w14:textId="77777777" w:rsidR="00021D76" w:rsidRPr="00864C3E" w:rsidRDefault="00021D76" w:rsidP="007674BE">
            <w:pPr>
              <w:jc w:val="center"/>
              <w:rPr>
                <w:color w:val="000000"/>
                <w:sz w:val="16"/>
                <w:szCs w:val="16"/>
              </w:rPr>
            </w:pPr>
            <w:r w:rsidRPr="00864C3E">
              <w:rPr>
                <w:color w:val="000000"/>
                <w:sz w:val="16"/>
                <w:szCs w:val="16"/>
              </w:rPr>
              <w:t xml:space="preserve">CVC </w:t>
            </w:r>
            <w:r w:rsidRPr="00864C3E">
              <w:rPr>
                <w:rFonts w:ascii="Wingdings" w:hAnsi="Wingdings"/>
                <w:color w:val="000000"/>
                <w:sz w:val="16"/>
                <w:szCs w:val="16"/>
              </w:rPr>
              <w:t>à</w:t>
            </w:r>
            <w:r w:rsidRPr="00864C3E">
              <w:rPr>
                <w:color w:val="000000"/>
                <w:sz w:val="16"/>
                <w:szCs w:val="16"/>
              </w:rPr>
              <w:t xml:space="preserve"> CL</w:t>
            </w:r>
          </w:p>
        </w:tc>
        <w:tc>
          <w:tcPr>
            <w:tcW w:w="709" w:type="dxa"/>
            <w:tcBorders>
              <w:top w:val="nil"/>
              <w:left w:val="nil"/>
              <w:bottom w:val="nil"/>
              <w:right w:val="nil"/>
            </w:tcBorders>
            <w:shd w:val="clear" w:color="auto" w:fill="auto"/>
            <w:tcMar>
              <w:left w:w="28" w:type="dxa"/>
              <w:right w:w="28" w:type="dxa"/>
            </w:tcMar>
            <w:vAlign w:val="bottom"/>
            <w:hideMark/>
          </w:tcPr>
          <w:p w14:paraId="16E7CD1A" w14:textId="77777777" w:rsidR="00021D76" w:rsidRPr="00864C3E" w:rsidRDefault="00021D76" w:rsidP="007674BE">
            <w:pPr>
              <w:jc w:val="center"/>
              <w:rPr>
                <w:color w:val="000000"/>
                <w:sz w:val="16"/>
                <w:szCs w:val="16"/>
              </w:rPr>
            </w:pPr>
          </w:p>
        </w:tc>
        <w:tc>
          <w:tcPr>
            <w:tcW w:w="708" w:type="dxa"/>
            <w:tcBorders>
              <w:top w:val="nil"/>
              <w:left w:val="nil"/>
              <w:bottom w:val="single" w:sz="4" w:space="0" w:color="auto"/>
              <w:right w:val="nil"/>
            </w:tcBorders>
            <w:shd w:val="clear" w:color="auto" w:fill="auto"/>
            <w:tcMar>
              <w:left w:w="28" w:type="dxa"/>
              <w:right w:w="28" w:type="dxa"/>
            </w:tcMar>
            <w:vAlign w:val="center"/>
            <w:hideMark/>
          </w:tcPr>
          <w:p w14:paraId="55B41D02" w14:textId="77777777" w:rsidR="00021D76" w:rsidRPr="00864C3E" w:rsidRDefault="00021D76" w:rsidP="007674BE">
            <w:pPr>
              <w:jc w:val="center"/>
              <w:rPr>
                <w:color w:val="000000"/>
                <w:sz w:val="16"/>
                <w:szCs w:val="16"/>
              </w:rPr>
            </w:pPr>
            <w:r w:rsidRPr="00864C3E">
              <w:rPr>
                <w:color w:val="000000"/>
                <w:sz w:val="16"/>
                <w:szCs w:val="16"/>
              </w:rPr>
              <w:t xml:space="preserve">CS </w:t>
            </w:r>
            <w:r w:rsidRPr="00864C3E">
              <w:rPr>
                <w:rFonts w:ascii="Wingdings" w:hAnsi="Wingdings"/>
                <w:color w:val="000000"/>
                <w:sz w:val="16"/>
                <w:szCs w:val="16"/>
              </w:rPr>
              <w:t>à</w:t>
            </w:r>
            <w:r w:rsidRPr="00864C3E">
              <w:rPr>
                <w:color w:val="000000"/>
                <w:sz w:val="16"/>
                <w:szCs w:val="16"/>
              </w:rPr>
              <w:t xml:space="preserve"> CL</w:t>
            </w:r>
          </w:p>
        </w:tc>
        <w:tc>
          <w:tcPr>
            <w:tcW w:w="426" w:type="dxa"/>
            <w:tcBorders>
              <w:top w:val="nil"/>
              <w:left w:val="nil"/>
              <w:bottom w:val="nil"/>
              <w:right w:val="nil"/>
            </w:tcBorders>
            <w:shd w:val="clear" w:color="auto" w:fill="auto"/>
            <w:tcMar>
              <w:left w:w="28" w:type="dxa"/>
              <w:right w:w="28" w:type="dxa"/>
            </w:tcMar>
            <w:vAlign w:val="bottom"/>
            <w:hideMark/>
          </w:tcPr>
          <w:p w14:paraId="79C9C943" w14:textId="77777777" w:rsidR="00021D76" w:rsidRPr="00864C3E" w:rsidRDefault="00021D76" w:rsidP="007674BE">
            <w:pPr>
              <w:jc w:val="center"/>
              <w:rPr>
                <w:color w:val="000000"/>
                <w:sz w:val="16"/>
                <w:szCs w:val="16"/>
              </w:rPr>
            </w:pPr>
          </w:p>
        </w:tc>
        <w:tc>
          <w:tcPr>
            <w:tcW w:w="425" w:type="dxa"/>
            <w:tcBorders>
              <w:top w:val="nil"/>
              <w:left w:val="nil"/>
              <w:bottom w:val="nil"/>
              <w:right w:val="nil"/>
            </w:tcBorders>
            <w:shd w:val="clear" w:color="auto" w:fill="auto"/>
            <w:tcMar>
              <w:left w:w="28" w:type="dxa"/>
              <w:right w:w="28" w:type="dxa"/>
            </w:tcMar>
            <w:vAlign w:val="bottom"/>
            <w:hideMark/>
          </w:tcPr>
          <w:p w14:paraId="4D3B12FD" w14:textId="77777777" w:rsidR="00021D76" w:rsidRPr="00864C3E" w:rsidRDefault="00021D76" w:rsidP="007674BE">
            <w:pPr>
              <w:jc w:val="center"/>
              <w:rPr>
                <w:sz w:val="16"/>
                <w:szCs w:val="16"/>
              </w:rPr>
            </w:pPr>
          </w:p>
        </w:tc>
      </w:tr>
      <w:tr w:rsidR="00021D76" w:rsidRPr="00864C3E" w14:paraId="4E81D07F" w14:textId="77777777" w:rsidTr="007674BE">
        <w:trPr>
          <w:trHeight w:val="234"/>
          <w:jc w:val="center"/>
        </w:trPr>
        <w:tc>
          <w:tcPr>
            <w:tcW w:w="342"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40C46DA" w14:textId="77777777" w:rsidR="00021D76" w:rsidRPr="00864C3E" w:rsidRDefault="00021D76" w:rsidP="007674BE">
            <w:pPr>
              <w:jc w:val="center"/>
              <w:rPr>
                <w:color w:val="000000"/>
                <w:sz w:val="16"/>
                <w:szCs w:val="16"/>
              </w:rPr>
            </w:pPr>
            <w:r w:rsidRPr="00864C3E">
              <w:rPr>
                <w:color w:val="000000"/>
                <w:sz w:val="16"/>
                <w:szCs w:val="16"/>
              </w:rPr>
              <w:t> </w:t>
            </w:r>
          </w:p>
        </w:tc>
        <w:tc>
          <w:tcPr>
            <w:tcW w:w="880"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5606F488" w14:textId="77777777" w:rsidR="00021D76" w:rsidRPr="00864C3E" w:rsidRDefault="00021D76" w:rsidP="007674BE">
            <w:pPr>
              <w:jc w:val="center"/>
              <w:rPr>
                <w:color w:val="000000"/>
                <w:sz w:val="16"/>
                <w:szCs w:val="16"/>
              </w:rPr>
            </w:pPr>
            <w:r w:rsidRPr="00864C3E">
              <w:rPr>
                <w:color w:val="000000"/>
                <w:sz w:val="16"/>
                <w:szCs w:val="16"/>
              </w:rPr>
              <w:t>0.55***</w:t>
            </w:r>
          </w:p>
        </w:tc>
        <w:tc>
          <w:tcPr>
            <w:tcW w:w="41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63DFEF5A" w14:textId="77777777" w:rsidR="00021D76" w:rsidRPr="00864C3E" w:rsidRDefault="00021D76" w:rsidP="007674BE">
            <w:pPr>
              <w:jc w:val="center"/>
              <w:rPr>
                <w:color w:val="000000"/>
                <w:sz w:val="16"/>
                <w:szCs w:val="16"/>
              </w:rPr>
            </w:pPr>
            <w:r w:rsidRPr="00864C3E">
              <w:rPr>
                <w:color w:val="000000"/>
                <w:sz w:val="16"/>
                <w:szCs w:val="16"/>
              </w:rPr>
              <w:t> </w:t>
            </w:r>
          </w:p>
        </w:tc>
        <w:tc>
          <w:tcPr>
            <w:tcW w:w="914"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20EE49C1" w14:textId="77777777" w:rsidR="00021D76" w:rsidRPr="00864C3E" w:rsidRDefault="00021D76" w:rsidP="007674BE">
            <w:pPr>
              <w:jc w:val="center"/>
              <w:rPr>
                <w:color w:val="000000"/>
                <w:sz w:val="16"/>
                <w:szCs w:val="16"/>
              </w:rPr>
            </w:pPr>
            <w:r w:rsidRPr="00864C3E">
              <w:rPr>
                <w:color w:val="000000"/>
                <w:sz w:val="16"/>
                <w:szCs w:val="16"/>
              </w:rPr>
              <w:t>0.66***</w:t>
            </w:r>
          </w:p>
        </w:tc>
        <w:tc>
          <w:tcPr>
            <w:tcW w:w="709"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709046D4" w14:textId="77777777" w:rsidR="00021D76" w:rsidRPr="00864C3E" w:rsidRDefault="00021D76" w:rsidP="007674BE">
            <w:pPr>
              <w:jc w:val="center"/>
              <w:rPr>
                <w:color w:val="000000"/>
                <w:sz w:val="16"/>
                <w:szCs w:val="16"/>
              </w:rPr>
            </w:pPr>
            <w:r w:rsidRPr="00864C3E">
              <w:rPr>
                <w:color w:val="000000"/>
                <w:sz w:val="16"/>
                <w:szCs w:val="16"/>
              </w:rPr>
              <w:t> </w:t>
            </w:r>
          </w:p>
        </w:tc>
        <w:tc>
          <w:tcPr>
            <w:tcW w:w="708"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69FA2B6C" w14:textId="77777777" w:rsidR="00021D76" w:rsidRPr="00864C3E" w:rsidRDefault="00021D76" w:rsidP="007674BE">
            <w:pPr>
              <w:jc w:val="center"/>
              <w:rPr>
                <w:color w:val="000000"/>
                <w:sz w:val="16"/>
                <w:szCs w:val="16"/>
              </w:rPr>
            </w:pPr>
            <w:r w:rsidRPr="00864C3E">
              <w:rPr>
                <w:color w:val="000000"/>
                <w:sz w:val="16"/>
                <w:szCs w:val="16"/>
              </w:rPr>
              <w:t>0.71***</w:t>
            </w:r>
          </w:p>
        </w:tc>
        <w:tc>
          <w:tcPr>
            <w:tcW w:w="426" w:type="dxa"/>
            <w:tcBorders>
              <w:top w:val="single" w:sz="8" w:space="0" w:color="auto"/>
              <w:left w:val="nil"/>
              <w:bottom w:val="single" w:sz="8" w:space="0" w:color="auto"/>
              <w:right w:val="nil"/>
            </w:tcBorders>
            <w:shd w:val="clear" w:color="auto" w:fill="auto"/>
            <w:tcMar>
              <w:left w:w="28" w:type="dxa"/>
              <w:right w:w="28" w:type="dxa"/>
            </w:tcMar>
            <w:vAlign w:val="center"/>
            <w:hideMark/>
          </w:tcPr>
          <w:p w14:paraId="3D60CA8A" w14:textId="77777777" w:rsidR="00021D76" w:rsidRPr="00864C3E" w:rsidRDefault="00021D76" w:rsidP="007674BE">
            <w:pPr>
              <w:jc w:val="center"/>
              <w:rPr>
                <w:color w:val="000000"/>
                <w:sz w:val="16"/>
                <w:szCs w:val="16"/>
              </w:rPr>
            </w:pPr>
            <w:r w:rsidRPr="00864C3E">
              <w:rPr>
                <w:color w:val="000000"/>
                <w:sz w:val="16"/>
                <w:szCs w:val="16"/>
              </w:rPr>
              <w:t> </w:t>
            </w:r>
          </w:p>
        </w:tc>
        <w:tc>
          <w:tcPr>
            <w:tcW w:w="425" w:type="dxa"/>
            <w:tcBorders>
              <w:top w:val="nil"/>
              <w:left w:val="nil"/>
              <w:bottom w:val="nil"/>
              <w:right w:val="nil"/>
            </w:tcBorders>
            <w:shd w:val="clear" w:color="auto" w:fill="auto"/>
            <w:tcMar>
              <w:left w:w="28" w:type="dxa"/>
              <w:right w:w="28" w:type="dxa"/>
            </w:tcMar>
            <w:vAlign w:val="center"/>
            <w:hideMark/>
          </w:tcPr>
          <w:p w14:paraId="4546F716" w14:textId="77777777" w:rsidR="00021D76" w:rsidRPr="00864C3E" w:rsidRDefault="00021D76" w:rsidP="007674BE">
            <w:pPr>
              <w:jc w:val="center"/>
              <w:rPr>
                <w:color w:val="000000"/>
                <w:sz w:val="16"/>
                <w:szCs w:val="16"/>
              </w:rPr>
            </w:pPr>
          </w:p>
        </w:tc>
      </w:tr>
    </w:tbl>
    <w:bookmarkEnd w:id="11"/>
    <w:p w14:paraId="717E4355" w14:textId="77777777" w:rsidR="00F26239" w:rsidRDefault="00DA24D6" w:rsidP="00DA24D6">
      <w:pPr>
        <w:rPr>
          <w:color w:val="000000"/>
          <w:sz w:val="16"/>
          <w:szCs w:val="16"/>
        </w:rPr>
      </w:pPr>
      <w:r w:rsidRPr="00CF4899">
        <w:rPr>
          <w:color w:val="000000"/>
          <w:sz w:val="16"/>
          <w:szCs w:val="16"/>
        </w:rPr>
        <w:t>***Significant at the 0.01 level; ** Significant at the 0.05 level; *Significant at the 0.1 level</w:t>
      </w:r>
      <w:r w:rsidR="00F26239">
        <w:rPr>
          <w:color w:val="000000"/>
          <w:sz w:val="16"/>
          <w:szCs w:val="16"/>
        </w:rPr>
        <w:t xml:space="preserve"> </w:t>
      </w:r>
    </w:p>
    <w:p w14:paraId="617CBD42" w14:textId="59F39A96" w:rsidR="00DA24D6" w:rsidRPr="00CF4899" w:rsidRDefault="00DA24D6" w:rsidP="00DA24D6">
      <w:pPr>
        <w:rPr>
          <w:color w:val="000000"/>
          <w:sz w:val="16"/>
          <w:szCs w:val="16"/>
        </w:rPr>
      </w:pPr>
      <w:r w:rsidRPr="00CF4899">
        <w:rPr>
          <w:color w:val="000000"/>
          <w:sz w:val="16"/>
          <w:szCs w:val="16"/>
        </w:rPr>
        <w:t>(SI – Service Innovation; SDI – Service Delivery Innovation; CVC – Customer Value Creation; CS – Customer Satisfaction; CL – Customer Loyalty)</w:t>
      </w:r>
    </w:p>
    <w:p w14:paraId="7EBE217C" w14:textId="77777777" w:rsidR="00F26239" w:rsidRDefault="00F26239" w:rsidP="00427835">
      <w:pPr>
        <w:pStyle w:val="Text"/>
      </w:pPr>
    </w:p>
    <w:p w14:paraId="4642D4AB" w14:textId="046B8245" w:rsidR="00E97B99" w:rsidRDefault="00F14D23" w:rsidP="00F26239">
      <w:pPr>
        <w:pStyle w:val="Text"/>
        <w:ind w:firstLine="0"/>
      </w:pPr>
      <w:r w:rsidRPr="00B13BCD">
        <w:t xml:space="preserve">Concerns regarding common technique bias arise when all variables are measured using the same method at the same time </w:t>
      </w:r>
      <w:r w:rsidRPr="00B13BCD">
        <w:fldChar w:fldCharType="begin" w:fldLock="1"/>
      </w:r>
      <w:r w:rsidRPr="00B13BCD">
        <w:instrText>ADDIN CSL_CITATION {"citationItems":[{"id":"ITEM-1","itemData":{"ISSN":"1573-353X","author":[{"dropping-particle":"","family":"Conway","given":"James M","non-dropping-particle":"","parse-names":false,"suffix":""},{"dropping-particle":"","family":"Lance","given":"Charles E","non-dropping-particle":"","parse-names":false,"suffix":""}],"container-title":"Journal of Business and Psychology","id":"ITEM-1","issue":"3","issued":{"date-parts":[["2010"]]},"page":"325-334","publisher":"Springer","title":"What reviewers should expect from authors regarding common method bias in organizational research","type":"article-journal","volume":"25"},"uris":["http://www.mendeley.com/documents/?uuid=089f6b0a-58b1-49d6-8904-5f398e055f8f"]}],"mendeley":{"formattedCitation":"[93]","plainTextFormattedCitation":"[93]","previouslyFormattedCitation":"[93]"},"properties":{"noteIndex":0},"schema":"https://github.com/citation-style-language/schema/raw/master/csl-citation.json"}</w:instrText>
      </w:r>
      <w:r w:rsidRPr="00B13BCD">
        <w:fldChar w:fldCharType="separate"/>
      </w:r>
      <w:r w:rsidRPr="00B13BCD">
        <w:rPr>
          <w:noProof/>
        </w:rPr>
        <w:t>[</w:t>
      </w:r>
      <w:r w:rsidR="00D75BEE">
        <w:rPr>
          <w:noProof/>
        </w:rPr>
        <w:t>107</w:t>
      </w:r>
      <w:r w:rsidRPr="00B13BCD">
        <w:rPr>
          <w:noProof/>
        </w:rPr>
        <w:t>]</w:t>
      </w:r>
      <w:r w:rsidRPr="00B13BCD">
        <w:fldChar w:fldCharType="end"/>
      </w:r>
      <w:r w:rsidRPr="00B13BCD">
        <w:t xml:space="preserve">. To prove that common technique bias is not an issue, a multi-pronged strategy was used. All participants were assured of their privacy and confidentiality, as well as the fact that there was no right or incorrect answer to the survey </w:t>
      </w:r>
      <w:r w:rsidRPr="00B13BCD">
        <w:fldChar w:fldCharType="begin" w:fldLock="1"/>
      </w:r>
      <w:r w:rsidRPr="00B13BCD">
        <w:instrText>ADDIN CSL_CITATION {"citationItems":[{"id":"ITEM-1","itemData":{"ISBN":"1478-6990","author":[{"dropping-particle":"","family":"Chang","given":"Sea-Jin","non-dropping-particle":"","parse-names":false,"suffix":""},{"dropping-particle":"","family":"Witteloostuijn","given":"Arjen","non-dropping-particle":"Van","parse-names":false,"suffix":""},{"dropping-particle":"","family":"Eden","given":"Lorraine","non-dropping-particle":"","parse-names":false,"suffix":""}],"id":"ITEM-1","issued":{"date-parts":[["2010"]]},"publisher":"Springer","title":"From the editors: Common method variance in international business research","type":"article"},"uris":["http://www.mendeley.com/documents/?uuid=85518450-0f8f-4ecf-b80d-c57dfb337623"]}],"mendeley":{"formattedCitation":"[94]","plainTextFormattedCitation":"[94]","previouslyFormattedCitation":"[94]"},"properties":{"noteIndex":0},"schema":"https://github.com/citation-style-language/schema/raw/master/csl-citation.json"}</w:instrText>
      </w:r>
      <w:r w:rsidRPr="00B13BCD">
        <w:fldChar w:fldCharType="separate"/>
      </w:r>
      <w:r w:rsidRPr="00B13BCD">
        <w:rPr>
          <w:noProof/>
        </w:rPr>
        <w:t>[</w:t>
      </w:r>
      <w:r w:rsidR="00D75BEE">
        <w:rPr>
          <w:noProof/>
        </w:rPr>
        <w:t>108</w:t>
      </w:r>
      <w:r w:rsidRPr="00B13BCD">
        <w:rPr>
          <w:noProof/>
        </w:rPr>
        <w:t>]</w:t>
      </w:r>
      <w:r w:rsidRPr="00B13BCD">
        <w:fldChar w:fldCharType="end"/>
      </w:r>
      <w:r w:rsidRPr="00B13BCD">
        <w:t xml:space="preserve">. A second problem is that the poll was riddled with filler questions, which led to a mental dissociation of concepts </w:t>
      </w:r>
      <w:r w:rsidRPr="00B13BCD">
        <w:fldChar w:fldCharType="begin" w:fldLock="1"/>
      </w:r>
      <w:r w:rsidRPr="00B13BCD">
        <w:instrText>ADDIN CSL_CITATION {"citationItems":[{"id":"ITEM-1","itemData":{"ISSN":"1939-1854","author":[{"dropping-particle":"","family":"Podsakoff","given":"Philip M","non-dropping-particle":"","parse-names":false,"suffix":""},{"dropping-particle":"","family":"MacKenzie","given":"Scott B","non-dropping-particle":"","parse-names":false,"suffix":""},{"dropping-particle":"","family":"Lee","given":"Jeong-Yeon","non-dropping-particle":"","parse-names":false,"suffix":""},{"dropping-particle":"","family":"Podsakoff","given":"Nathan P","non-dropping-particle":"","parse-names":false,"suffix":""}],"container-title":"Journal of applied psychology","id":"ITEM-1","issue":"5","issued":{"date-parts":[["2003"]]},"page":"879","publisher":"American Psychological Association","title":"Common method biases in behavioral research: a critical review of the literature and recommended remedies.","type":"article-journal","volume":"88"},"uris":["http://www.mendeley.com/documents/?uuid=8b4d152f-0779-44b3-bb37-011b07288303"]}],"mendeley":{"formattedCitation":"[95]","plainTextFormattedCitation":"[95]","previouslyFormattedCitation":"[95]"},"properties":{"noteIndex":0},"schema":"https://github.com/citation-style-language/schema/raw/master/csl-citation.json"}</w:instrText>
      </w:r>
      <w:r w:rsidRPr="00B13BCD">
        <w:fldChar w:fldCharType="separate"/>
      </w:r>
      <w:r w:rsidRPr="00B13BCD">
        <w:rPr>
          <w:noProof/>
        </w:rPr>
        <w:t>[</w:t>
      </w:r>
      <w:r w:rsidR="00D75BEE">
        <w:rPr>
          <w:noProof/>
        </w:rPr>
        <w:t>109</w:t>
      </w:r>
      <w:r w:rsidRPr="00B13BCD">
        <w:rPr>
          <w:noProof/>
        </w:rPr>
        <w:t>]</w:t>
      </w:r>
      <w:r w:rsidRPr="00B13BCD">
        <w:fldChar w:fldCharType="end"/>
      </w:r>
      <w:r w:rsidRPr="00B13BCD">
        <w:t xml:space="preserve">. Third, it was observed that the single component explained 45.8% of the variance in the dependent variable, which is satisfactory compared to the 50 percent rule of thumb following </w:t>
      </w:r>
      <w:r w:rsidRPr="00B13BCD">
        <w:fldChar w:fldCharType="begin" w:fldLock="1"/>
      </w:r>
      <w:r w:rsidRPr="00B13BCD">
        <w:instrText>ADDIN CSL_CITATION {"citationItems":[{"id":"ITEM-1","itemData":{"ISBN":"0226316521","author":[{"dropping-particle":"","family":"Harman","given":"Harry H","non-dropping-particle":"","parse-names":false,"suffix":""}],"id":"ITEM-1","issued":{"date-parts":[["1976"]]},"publisher":"University of Chicago press","title":"Modern factor analysis","type":"book"},"uris":["http://www.mendeley.com/documents/?uuid=f7fd46db-1c16-4b23-b986-15e576b5271b"]}],"mendeley":{"formattedCitation":"[96]","plainTextFormattedCitation":"[96]","previouslyFormattedCitation":"[96]"},"properties":{"noteIndex":0},"schema":"https://github.com/citation-style-language/schema/raw/master/csl-citation.json"}</w:instrText>
      </w:r>
      <w:r w:rsidRPr="00B13BCD">
        <w:fldChar w:fldCharType="separate"/>
      </w:r>
      <w:r w:rsidRPr="00B13BCD">
        <w:rPr>
          <w:noProof/>
        </w:rPr>
        <w:t>[</w:t>
      </w:r>
      <w:r w:rsidR="00D75BEE">
        <w:rPr>
          <w:noProof/>
        </w:rPr>
        <w:t>110</w:t>
      </w:r>
      <w:r w:rsidRPr="00B13BCD">
        <w:rPr>
          <w:noProof/>
        </w:rPr>
        <w:t>]</w:t>
      </w:r>
      <w:r w:rsidRPr="00B13BCD">
        <w:fldChar w:fldCharType="end"/>
      </w:r>
      <w:r w:rsidRPr="00B13BCD">
        <w:t xml:space="preserve">. Fourth, we conducted the latent factor test by adding a latent </w:t>
      </w:r>
      <w:r w:rsidRPr="00B13BCD">
        <w:lastRenderedPageBreak/>
        <w:t xml:space="preserve">factor to the structured equation model in AMOS </w:t>
      </w:r>
      <w:r w:rsidRPr="00B13BCD">
        <w:fldChar w:fldCharType="begin" w:fldLock="1"/>
      </w:r>
      <w:r w:rsidRPr="00B13BCD">
        <w:instrText>ADDIN CSL_CITATION {"citationItems":[{"id":"ITEM-1","itemData":{"ISSN":"1939-1854","author":[{"dropping-particle":"","family":"Johnson","given":"Russell E","non-dropping-particle":"","parse-names":false,"suffix":""},{"dropping-particle":"","family":"Rosen","given":"Christopher C","non-dropping-particle":"","parse-names":false,"suffix":""},{"dropping-particle":"","family":"Djurdjevic","given":"Emilija","non-dropping-particle":"","parse-names":false,"suffix":""}],"container-title":"Journal of Applied Psychology","id":"ITEM-1","issue":"4","issued":{"date-parts":[["2011"]]},"page":"744","publisher":"American Psychological Association","title":"Assessing the impact of common method variance on higher order multidimensional constructs.","type":"article-journal","volume":"96"},"uris":["http://www.mendeley.com/documents/?uuid=36be4587-cb3e-47bd-b995-82c7309c9ea2"]}],"mendeley":{"formattedCitation":"[97]","plainTextFormattedCitation":"[97]","previouslyFormattedCitation":"[97]"},"properties":{"noteIndex":0},"schema":"https://github.com/citation-style-language/schema/raw/master/csl-citation.json"}</w:instrText>
      </w:r>
      <w:r w:rsidRPr="00B13BCD">
        <w:fldChar w:fldCharType="separate"/>
      </w:r>
      <w:r w:rsidRPr="00B13BCD">
        <w:rPr>
          <w:noProof/>
        </w:rPr>
        <w:t>[</w:t>
      </w:r>
      <w:r w:rsidR="00D75BEE">
        <w:rPr>
          <w:noProof/>
        </w:rPr>
        <w:t>111</w:t>
      </w:r>
      <w:r w:rsidRPr="00B13BCD">
        <w:rPr>
          <w:noProof/>
        </w:rPr>
        <w:t>]</w:t>
      </w:r>
      <w:r w:rsidRPr="00B13BCD">
        <w:fldChar w:fldCharType="end"/>
      </w:r>
      <w:r w:rsidRPr="00B13BCD">
        <w:t>. We found that path coefficients and their significance continued to be steady even after the latent factor was added (model without common method factor: χ</w:t>
      </w:r>
      <w:r w:rsidRPr="00B13BCD">
        <w:rPr>
          <w:vertAlign w:val="superscript"/>
        </w:rPr>
        <w:t>2</w:t>
      </w:r>
      <w:r w:rsidRPr="00B13BCD">
        <w:t>/</w:t>
      </w:r>
      <w:proofErr w:type="spellStart"/>
      <w:r w:rsidRPr="00B13BCD">
        <w:t>df</w:t>
      </w:r>
      <w:proofErr w:type="spellEnd"/>
      <w:r w:rsidRPr="00B13BCD">
        <w:t xml:space="preserve"> = 2.898, CFI = 0.925, TLI = 0.918, RMSEA = 0.066, model with common method factor: χ</w:t>
      </w:r>
      <w:r w:rsidRPr="00B13BCD">
        <w:rPr>
          <w:vertAlign w:val="superscript"/>
        </w:rPr>
        <w:t>2</w:t>
      </w:r>
      <w:r w:rsidRPr="00B13BCD">
        <w:t>/</w:t>
      </w:r>
      <w:proofErr w:type="spellStart"/>
      <w:r w:rsidRPr="00B13BCD">
        <w:t>df</w:t>
      </w:r>
      <w:proofErr w:type="spellEnd"/>
      <w:r w:rsidRPr="00B13BCD">
        <w:t xml:space="preserve"> = 2.713, CFI = 0.933, TLI = 0.926, RMSEA = 0.063). Overall, this approach of using multiple methods should increase the level of confidence that the common method bias in the data is not consequential</w:t>
      </w:r>
      <w:r w:rsidR="00E97B99">
        <w:t>.”</w:t>
      </w:r>
    </w:p>
    <w:p w14:paraId="0CE578A5" w14:textId="20C602DD" w:rsidR="00E97B99" w:rsidRDefault="003A4C45" w:rsidP="00B0761E">
      <w:pPr>
        <w:pStyle w:val="Heading1"/>
      </w:pPr>
      <w:r>
        <w:t>ANALYSIS AND RESULTS</w:t>
      </w:r>
    </w:p>
    <w:p w14:paraId="087DCE7E" w14:textId="77777777" w:rsidR="003A4C45" w:rsidRPr="00B13BCD" w:rsidRDefault="003A4C45" w:rsidP="00427835">
      <w:pPr>
        <w:pStyle w:val="Heading2"/>
        <w:jc w:val="both"/>
      </w:pPr>
      <w:bookmarkStart w:id="12" w:name="_Toc67054877"/>
      <w:bookmarkStart w:id="13" w:name="_Toc72772692"/>
      <w:bookmarkStart w:id="14" w:name="_Toc88946546"/>
      <w:r w:rsidRPr="00B13BCD">
        <w:t>Mediation Model</w:t>
      </w:r>
      <w:bookmarkEnd w:id="12"/>
      <w:bookmarkEnd w:id="13"/>
      <w:bookmarkEnd w:id="14"/>
    </w:p>
    <w:p w14:paraId="5D677091" w14:textId="136C2B13" w:rsidR="003A4C45" w:rsidRDefault="003A4C45" w:rsidP="00427835">
      <w:pPr>
        <w:jc w:val="both"/>
      </w:pPr>
      <w:r w:rsidRPr="00B13BCD">
        <w:t>The conceptual model was divided into 2 models for the sake of analysis: a mediation model (Model 1) and a moderated mediation model (Model 2). Figure 2.1 shows the model for mediation, and Figure 2.</w:t>
      </w:r>
      <w:r w:rsidR="0072194D">
        <w:t>2</w:t>
      </w:r>
      <w:r w:rsidRPr="00B13BCD">
        <w:t xml:space="preserve"> shows the model for moderated mediation. Model 1 is comprised of four constructs: SI, CVC, CS, and CL. </w:t>
      </w:r>
    </w:p>
    <w:p w14:paraId="3BD66C9E" w14:textId="77777777" w:rsidR="00E71E29" w:rsidRPr="00E71E29" w:rsidRDefault="00E71E29" w:rsidP="00427835">
      <w:pPr>
        <w:jc w:val="both"/>
        <w:rPr>
          <w:sz w:val="16"/>
          <w:szCs w:val="16"/>
        </w:rPr>
      </w:pPr>
    </w:p>
    <w:p w14:paraId="68949E77" w14:textId="684B7546" w:rsidR="006306BE" w:rsidRDefault="009E1C18" w:rsidP="009E1C18">
      <w:pPr>
        <w:jc w:val="center"/>
      </w:pPr>
      <w:r>
        <w:rPr>
          <w:noProof/>
        </w:rPr>
        <w:drawing>
          <wp:inline distT="0" distB="0" distL="0" distR="0" wp14:anchorId="250F8A5D" wp14:editId="76D9748B">
            <wp:extent cx="3005908" cy="1638823"/>
            <wp:effectExtent l="0" t="0" r="4445" b="0"/>
            <wp:docPr id="200214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783" cy="1660563"/>
                    </a:xfrm>
                    <a:prstGeom prst="rect">
                      <a:avLst/>
                    </a:prstGeom>
                    <a:noFill/>
                  </pic:spPr>
                </pic:pic>
              </a:graphicData>
            </a:graphic>
          </wp:inline>
        </w:drawing>
      </w:r>
    </w:p>
    <w:p w14:paraId="125448EF" w14:textId="796F7DF4" w:rsidR="004E0485" w:rsidRPr="00F650AA" w:rsidRDefault="004E0485" w:rsidP="009E1C18">
      <w:pPr>
        <w:jc w:val="center"/>
      </w:pPr>
      <w:r w:rsidRPr="00F650AA">
        <w:rPr>
          <w:b/>
          <w:bCs/>
        </w:rPr>
        <w:t>Fig. 2.</w:t>
      </w:r>
      <w:r w:rsidR="003C6ED4" w:rsidRPr="00F650AA">
        <w:rPr>
          <w:b/>
          <w:bCs/>
        </w:rPr>
        <w:t>1</w:t>
      </w:r>
      <w:r w:rsidRPr="00F650AA">
        <w:rPr>
          <w:b/>
          <w:bCs/>
        </w:rPr>
        <w:t>.</w:t>
      </w:r>
      <w:r w:rsidRPr="00F650AA">
        <w:t xml:space="preserve"> Mediation and serial mediation – mode</w:t>
      </w:r>
      <w:r w:rsidR="0072194D" w:rsidRPr="00F650AA">
        <w:t>l</w:t>
      </w:r>
      <w:r w:rsidRPr="00F650AA">
        <w:t xml:space="preserve"> </w:t>
      </w:r>
      <w:r w:rsidR="0072194D" w:rsidRPr="00F650AA">
        <w:t>1</w:t>
      </w:r>
    </w:p>
    <w:p w14:paraId="61078A70" w14:textId="77777777" w:rsidR="00B0761E" w:rsidRDefault="00B0761E" w:rsidP="009E1C18">
      <w:pPr>
        <w:jc w:val="center"/>
      </w:pPr>
    </w:p>
    <w:p w14:paraId="7E5BB41E" w14:textId="572C6114" w:rsidR="009E1C18" w:rsidRDefault="0072194D" w:rsidP="00427835">
      <w:pPr>
        <w:jc w:val="both"/>
        <w:rPr>
          <w:sz w:val="16"/>
          <w:szCs w:val="16"/>
        </w:rPr>
      </w:pPr>
      <w:r w:rsidRPr="00B13BCD">
        <w:t xml:space="preserve">We conducted linear regression analysis on the direct relationships between the four constructs in the mediation model. All the relationships were found to be positive and significant (Table IV). The Hayes Process macro in SPSS was used to test the models </w:t>
      </w:r>
      <w:r w:rsidRPr="00B13BCD">
        <w:fldChar w:fldCharType="begin" w:fldLock="1"/>
      </w:r>
      <w:r w:rsidRPr="00B13BCD">
        <w:instrText>ADDIN CSL_CITATION {"citationItems":[{"id":"ITEM-1","itemData":{"DOI":"10.1111/jedm.12050","ISSN":"1745-3984","abstract":"Statistical mediation and moderation analysis are widespread throughout the behavioral sciences. Increasingly, these methods are also being integrated in the form of the analysis of mediated moderation or moderated mediation, or what Hayes (2013; Hayes &amp; Preacher, 2012a) calls conditional process modeling. After a broad overview of some of the basic concepts of mediation analysis, moderation analysis, and conditional process modeling, I introduce PROCESS, a versatile modeling tool freely-available for SPSS and SAS that integrates many of the functions of existing and popular statistical tools for mediation and moderation analysis published in this journal and elsewhere into one easy-to-use procedure. PROCESS uses an ordinary least squares or logistic regression-based path analytical framework for estimating direct and indirect effects in simple and multiple mediator models, two and three way interactions in moderation models along with simple slopes and regions of significance for probing interactions, conditional indirect effects in moderated mediation models with a single or multiple mediators and moderators, and indirect effects of interactions in mediated moderation models also with a single or multiple mediators. Bootstrap methods are implemented for inference about indirect effects in both unmoderated as well as moderated mediation and mediated moderation models. Examples of the use of PROCESS are provided, and some of its additional features as well as some limitations are described.","author":[{"dropping-particle":"","family":"Bolin","given":"Jocelyn H.","non-dropping-particle":"","parse-names":false,"suffix":""}],"container-title":"Journal of Educational Measurement","id":"ITEM-1","issue":"3","issued":{"date-parts":[["2014"]]},"page":"335-337","title":"Hayes, Andrew F. (2013). Introduction to Mediation, Moderation, and Conditional Process Analysis: A Regression-Based Approach. New York, NY: The Guilford Press","type":"article-journal","volume":"51"},"uris":["http://www.mendeley.com/documents/?uuid=75aff71d-4e13-4b61-8729-e7d6c1549c2a"]}],"mendeley":{"formattedCitation":"[98]","plainTextFormattedCitation":"[98]","previouslyFormattedCitation":"[98]"},"properties":{"noteIndex":0},"schema":"https://github.com/citation-style-language/schema/raw/master/csl-citation.json"}</w:instrText>
      </w:r>
      <w:r w:rsidRPr="00B13BCD">
        <w:fldChar w:fldCharType="separate"/>
      </w:r>
      <w:r w:rsidRPr="00B13BCD">
        <w:rPr>
          <w:noProof/>
        </w:rPr>
        <w:t>[</w:t>
      </w:r>
      <w:r w:rsidR="00E51639">
        <w:rPr>
          <w:noProof/>
        </w:rPr>
        <w:t>112</w:t>
      </w:r>
      <w:r w:rsidRPr="00B13BCD">
        <w:rPr>
          <w:noProof/>
        </w:rPr>
        <w:t>]</w:t>
      </w:r>
      <w:r w:rsidRPr="00B13BCD">
        <w:fldChar w:fldCharType="end"/>
      </w:r>
      <w:r w:rsidRPr="00B13BCD">
        <w:t>. We applied Hayes model 6 of sequential mediation and found that: (</w:t>
      </w:r>
      <w:proofErr w:type="spellStart"/>
      <w:r w:rsidRPr="00B13BCD">
        <w:t>i</w:t>
      </w:r>
      <w:proofErr w:type="spellEnd"/>
      <w:r w:rsidRPr="00B13BCD">
        <w:t>) CVC mediates the relationship between SI and CL; (ii) CS mediates the relationship between SI and CL; and (iii) CVC and CS sequentially mediate the relationship between SI and CL (Table V).</w:t>
      </w:r>
    </w:p>
    <w:p w14:paraId="3EF1B242" w14:textId="770B0F6D" w:rsidR="006306BE" w:rsidRPr="009E1C18" w:rsidRDefault="009E1C18" w:rsidP="009E1C18">
      <w:pPr>
        <w:jc w:val="center"/>
        <w:rPr>
          <w:sz w:val="16"/>
          <w:szCs w:val="16"/>
        </w:rPr>
      </w:pPr>
      <w:r w:rsidRPr="00A51BCC">
        <w:t>TABLE V: INDIRECT EFFECTS IN MODEL 1</w:t>
      </w:r>
    </w:p>
    <w:tbl>
      <w:tblPr>
        <w:tblW w:w="5103" w:type="dxa"/>
        <w:tblLayout w:type="fixed"/>
        <w:tblLook w:val="04A0" w:firstRow="1" w:lastRow="0" w:firstColumn="1" w:lastColumn="0" w:noHBand="0" w:noVBand="1"/>
      </w:tblPr>
      <w:tblGrid>
        <w:gridCol w:w="1124"/>
        <w:gridCol w:w="624"/>
        <w:gridCol w:w="662"/>
        <w:gridCol w:w="851"/>
        <w:gridCol w:w="850"/>
        <w:gridCol w:w="992"/>
      </w:tblGrid>
      <w:tr w:rsidR="005F7C45" w:rsidRPr="005F7C45" w14:paraId="74482BFC" w14:textId="77777777" w:rsidTr="005F7C45">
        <w:trPr>
          <w:trHeight w:val="280"/>
        </w:trPr>
        <w:tc>
          <w:tcPr>
            <w:tcW w:w="1124"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D91E3BF" w14:textId="77777777" w:rsidR="005F7C45" w:rsidRPr="005F7C45" w:rsidRDefault="005F7C45" w:rsidP="007674BE">
            <w:pPr>
              <w:ind w:right="118"/>
              <w:jc w:val="center"/>
              <w:rPr>
                <w:b/>
                <w:bCs/>
                <w:color w:val="000000"/>
                <w:sz w:val="16"/>
                <w:szCs w:val="16"/>
              </w:rPr>
            </w:pPr>
            <w:bookmarkStart w:id="15" w:name="_Hlk179968546"/>
            <w:r w:rsidRPr="005F7C45">
              <w:rPr>
                <w:b/>
                <w:bCs/>
                <w:color w:val="000000"/>
                <w:sz w:val="16"/>
                <w:szCs w:val="16"/>
              </w:rPr>
              <w:t>Mediation</w:t>
            </w:r>
          </w:p>
        </w:tc>
        <w:tc>
          <w:tcPr>
            <w:tcW w:w="624"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0DB1071" w14:textId="77777777" w:rsidR="005F7C45" w:rsidRPr="005F7C45" w:rsidRDefault="005F7C45" w:rsidP="007674BE">
            <w:pPr>
              <w:ind w:left="-176"/>
              <w:jc w:val="center"/>
              <w:rPr>
                <w:b/>
                <w:bCs/>
                <w:color w:val="000000"/>
                <w:sz w:val="16"/>
                <w:szCs w:val="16"/>
              </w:rPr>
            </w:pPr>
            <w:r w:rsidRPr="005F7C45">
              <w:rPr>
                <w:b/>
                <w:bCs/>
                <w:color w:val="000000"/>
                <w:sz w:val="16"/>
                <w:szCs w:val="16"/>
              </w:rPr>
              <w:t>Effect</w:t>
            </w:r>
          </w:p>
        </w:tc>
        <w:tc>
          <w:tcPr>
            <w:tcW w:w="662"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4F12BB35" w14:textId="77777777" w:rsidR="005F7C45" w:rsidRPr="005F7C45" w:rsidRDefault="005F7C45" w:rsidP="007674BE">
            <w:pPr>
              <w:ind w:left="-85"/>
              <w:jc w:val="center"/>
              <w:rPr>
                <w:b/>
                <w:bCs/>
                <w:color w:val="000000"/>
                <w:sz w:val="16"/>
                <w:szCs w:val="16"/>
              </w:rPr>
            </w:pPr>
            <w:proofErr w:type="spellStart"/>
            <w:r w:rsidRPr="005F7C45">
              <w:rPr>
                <w:b/>
                <w:bCs/>
                <w:color w:val="000000"/>
                <w:sz w:val="16"/>
                <w:szCs w:val="16"/>
              </w:rPr>
              <w:t>BootSE</w:t>
            </w:r>
            <w:proofErr w:type="spellEnd"/>
          </w:p>
        </w:tc>
        <w:tc>
          <w:tcPr>
            <w:tcW w:w="851"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CA4B945" w14:textId="77777777" w:rsidR="005F7C45" w:rsidRPr="005F7C45" w:rsidRDefault="005F7C45" w:rsidP="007674BE">
            <w:pPr>
              <w:ind w:left="-34"/>
              <w:jc w:val="center"/>
              <w:rPr>
                <w:b/>
                <w:bCs/>
                <w:color w:val="000000"/>
                <w:sz w:val="16"/>
                <w:szCs w:val="16"/>
              </w:rPr>
            </w:pPr>
            <w:proofErr w:type="spellStart"/>
            <w:r w:rsidRPr="005F7C45">
              <w:rPr>
                <w:b/>
                <w:bCs/>
                <w:color w:val="000000"/>
                <w:sz w:val="16"/>
                <w:szCs w:val="16"/>
              </w:rPr>
              <w:t>BootLLCI</w:t>
            </w:r>
            <w:proofErr w:type="spellEnd"/>
          </w:p>
        </w:tc>
        <w:tc>
          <w:tcPr>
            <w:tcW w:w="850"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76645DCF" w14:textId="77777777" w:rsidR="005F7C45" w:rsidRPr="005F7C45" w:rsidRDefault="005F7C45" w:rsidP="007674BE">
            <w:pPr>
              <w:ind w:left="-81"/>
              <w:jc w:val="center"/>
              <w:rPr>
                <w:b/>
                <w:bCs/>
                <w:color w:val="000000"/>
                <w:sz w:val="16"/>
                <w:szCs w:val="16"/>
              </w:rPr>
            </w:pPr>
            <w:proofErr w:type="spellStart"/>
            <w:r w:rsidRPr="005F7C45">
              <w:rPr>
                <w:b/>
                <w:bCs/>
                <w:color w:val="000000"/>
                <w:sz w:val="16"/>
                <w:szCs w:val="16"/>
              </w:rPr>
              <w:t>BootULCI</w:t>
            </w:r>
            <w:proofErr w:type="spellEnd"/>
          </w:p>
        </w:tc>
        <w:tc>
          <w:tcPr>
            <w:tcW w:w="992" w:type="dxa"/>
            <w:tcBorders>
              <w:top w:val="single" w:sz="4" w:space="0" w:color="auto"/>
              <w:left w:val="nil"/>
              <w:bottom w:val="single" w:sz="4" w:space="0" w:color="auto"/>
              <w:right w:val="nil"/>
            </w:tcBorders>
            <w:tcMar>
              <w:left w:w="28" w:type="dxa"/>
              <w:right w:w="28" w:type="dxa"/>
            </w:tcMar>
            <w:vAlign w:val="center"/>
          </w:tcPr>
          <w:p w14:paraId="036FD4ED" w14:textId="77777777" w:rsidR="005F7C45" w:rsidRPr="005F7C45" w:rsidRDefault="005F7C45" w:rsidP="007674BE">
            <w:pPr>
              <w:ind w:left="-34" w:right="116"/>
              <w:jc w:val="center"/>
              <w:rPr>
                <w:b/>
                <w:bCs/>
                <w:color w:val="000000"/>
                <w:sz w:val="16"/>
                <w:szCs w:val="16"/>
              </w:rPr>
            </w:pPr>
            <w:r w:rsidRPr="005F7C45">
              <w:rPr>
                <w:b/>
                <w:bCs/>
                <w:color w:val="000000"/>
                <w:sz w:val="16"/>
                <w:szCs w:val="16"/>
              </w:rPr>
              <w:t>Support</w:t>
            </w:r>
          </w:p>
        </w:tc>
      </w:tr>
      <w:tr w:rsidR="005F7C45" w:rsidRPr="005F7C45" w14:paraId="16CF7346" w14:textId="77777777" w:rsidTr="005F7C45">
        <w:trPr>
          <w:trHeight w:val="273"/>
        </w:trPr>
        <w:tc>
          <w:tcPr>
            <w:tcW w:w="1124" w:type="dxa"/>
            <w:tcBorders>
              <w:top w:val="nil"/>
              <w:left w:val="nil"/>
              <w:bottom w:val="nil"/>
              <w:right w:val="nil"/>
            </w:tcBorders>
            <w:shd w:val="clear" w:color="auto" w:fill="auto"/>
            <w:noWrap/>
            <w:tcMar>
              <w:left w:w="28" w:type="dxa"/>
              <w:right w:w="28" w:type="dxa"/>
            </w:tcMar>
            <w:vAlign w:val="center"/>
            <w:hideMark/>
          </w:tcPr>
          <w:p w14:paraId="0FCC62FA" w14:textId="77777777" w:rsidR="005F7C45" w:rsidRPr="005F7C45" w:rsidRDefault="005F7C45" w:rsidP="007674BE">
            <w:pPr>
              <w:jc w:val="center"/>
              <w:rPr>
                <w:color w:val="000000"/>
                <w:sz w:val="16"/>
                <w:szCs w:val="16"/>
              </w:rPr>
            </w:pPr>
            <w:r w:rsidRPr="005F7C45">
              <w:rPr>
                <w:color w:val="000000"/>
                <w:sz w:val="16"/>
                <w:szCs w:val="16"/>
              </w:rPr>
              <w:t xml:space="preserve">SI </w:t>
            </w:r>
            <w:r w:rsidRPr="005F7C45">
              <w:rPr>
                <w:color w:val="000000"/>
                <w:sz w:val="16"/>
                <w:szCs w:val="16"/>
              </w:rPr>
              <w:sym w:font="Wingdings" w:char="F0E0"/>
            </w:r>
            <w:r w:rsidRPr="005F7C45">
              <w:rPr>
                <w:color w:val="000000"/>
                <w:sz w:val="16"/>
                <w:szCs w:val="16"/>
              </w:rPr>
              <w:t xml:space="preserve"> CVC </w:t>
            </w:r>
            <w:r w:rsidRPr="005F7C45">
              <w:rPr>
                <w:color w:val="000000"/>
                <w:sz w:val="16"/>
                <w:szCs w:val="16"/>
              </w:rPr>
              <w:sym w:font="Wingdings" w:char="F0E0"/>
            </w:r>
            <w:r w:rsidRPr="005F7C45">
              <w:rPr>
                <w:color w:val="000000"/>
                <w:sz w:val="16"/>
                <w:szCs w:val="16"/>
              </w:rPr>
              <w:t xml:space="preserve"> CL</w:t>
            </w:r>
          </w:p>
        </w:tc>
        <w:tc>
          <w:tcPr>
            <w:tcW w:w="624" w:type="dxa"/>
            <w:tcBorders>
              <w:top w:val="nil"/>
              <w:left w:val="nil"/>
              <w:bottom w:val="nil"/>
              <w:right w:val="nil"/>
            </w:tcBorders>
            <w:shd w:val="clear" w:color="auto" w:fill="auto"/>
            <w:noWrap/>
            <w:tcMar>
              <w:left w:w="28" w:type="dxa"/>
              <w:right w:w="28" w:type="dxa"/>
            </w:tcMar>
            <w:vAlign w:val="center"/>
            <w:hideMark/>
          </w:tcPr>
          <w:p w14:paraId="2EFDD12F" w14:textId="77777777" w:rsidR="005F7C45" w:rsidRPr="005F7C45" w:rsidRDefault="005F7C45" w:rsidP="007674BE">
            <w:pPr>
              <w:ind w:left="-176"/>
              <w:jc w:val="center"/>
              <w:rPr>
                <w:color w:val="000000"/>
                <w:sz w:val="16"/>
                <w:szCs w:val="16"/>
              </w:rPr>
            </w:pPr>
            <w:r w:rsidRPr="005F7C45">
              <w:rPr>
                <w:color w:val="000000"/>
                <w:sz w:val="16"/>
                <w:szCs w:val="16"/>
              </w:rPr>
              <w:t>0.1694</w:t>
            </w:r>
          </w:p>
        </w:tc>
        <w:tc>
          <w:tcPr>
            <w:tcW w:w="662" w:type="dxa"/>
            <w:tcBorders>
              <w:top w:val="nil"/>
              <w:left w:val="nil"/>
              <w:bottom w:val="nil"/>
              <w:right w:val="nil"/>
            </w:tcBorders>
            <w:shd w:val="clear" w:color="auto" w:fill="auto"/>
            <w:noWrap/>
            <w:tcMar>
              <w:left w:w="28" w:type="dxa"/>
              <w:right w:w="28" w:type="dxa"/>
            </w:tcMar>
            <w:vAlign w:val="center"/>
            <w:hideMark/>
          </w:tcPr>
          <w:p w14:paraId="5A4ED309" w14:textId="77777777" w:rsidR="005F7C45" w:rsidRPr="005F7C45" w:rsidRDefault="005F7C45" w:rsidP="007674BE">
            <w:pPr>
              <w:ind w:left="-85"/>
              <w:jc w:val="center"/>
              <w:rPr>
                <w:color w:val="000000"/>
                <w:sz w:val="16"/>
                <w:szCs w:val="16"/>
              </w:rPr>
            </w:pPr>
            <w:r w:rsidRPr="005F7C45">
              <w:rPr>
                <w:color w:val="000000"/>
                <w:sz w:val="16"/>
                <w:szCs w:val="16"/>
              </w:rPr>
              <w:t>0.0351</w:t>
            </w:r>
          </w:p>
        </w:tc>
        <w:tc>
          <w:tcPr>
            <w:tcW w:w="851" w:type="dxa"/>
            <w:tcBorders>
              <w:top w:val="nil"/>
              <w:left w:val="nil"/>
              <w:bottom w:val="nil"/>
              <w:right w:val="nil"/>
            </w:tcBorders>
            <w:shd w:val="clear" w:color="auto" w:fill="auto"/>
            <w:noWrap/>
            <w:tcMar>
              <w:left w:w="28" w:type="dxa"/>
              <w:right w:w="28" w:type="dxa"/>
            </w:tcMar>
            <w:vAlign w:val="center"/>
            <w:hideMark/>
          </w:tcPr>
          <w:p w14:paraId="1D02EDBE" w14:textId="77777777" w:rsidR="005F7C45" w:rsidRPr="005F7C45" w:rsidRDefault="005F7C45" w:rsidP="007674BE">
            <w:pPr>
              <w:ind w:left="-34"/>
              <w:jc w:val="center"/>
              <w:rPr>
                <w:color w:val="000000"/>
                <w:sz w:val="16"/>
                <w:szCs w:val="16"/>
              </w:rPr>
            </w:pPr>
            <w:r w:rsidRPr="005F7C45">
              <w:rPr>
                <w:color w:val="000000"/>
                <w:sz w:val="16"/>
                <w:szCs w:val="16"/>
              </w:rPr>
              <w:t>0.1048</w:t>
            </w:r>
          </w:p>
        </w:tc>
        <w:tc>
          <w:tcPr>
            <w:tcW w:w="850" w:type="dxa"/>
            <w:tcBorders>
              <w:top w:val="nil"/>
              <w:left w:val="nil"/>
              <w:bottom w:val="nil"/>
              <w:right w:val="nil"/>
            </w:tcBorders>
            <w:shd w:val="clear" w:color="auto" w:fill="auto"/>
            <w:noWrap/>
            <w:tcMar>
              <w:left w:w="28" w:type="dxa"/>
              <w:right w:w="28" w:type="dxa"/>
            </w:tcMar>
            <w:vAlign w:val="center"/>
            <w:hideMark/>
          </w:tcPr>
          <w:p w14:paraId="146753F7" w14:textId="77777777" w:rsidR="005F7C45" w:rsidRPr="005F7C45" w:rsidRDefault="005F7C45" w:rsidP="007674BE">
            <w:pPr>
              <w:ind w:left="-81"/>
              <w:jc w:val="center"/>
              <w:rPr>
                <w:color w:val="000000"/>
                <w:sz w:val="16"/>
                <w:szCs w:val="16"/>
              </w:rPr>
            </w:pPr>
            <w:r w:rsidRPr="005F7C45">
              <w:rPr>
                <w:color w:val="000000"/>
                <w:sz w:val="16"/>
                <w:szCs w:val="16"/>
              </w:rPr>
              <w:t>0.2436</w:t>
            </w:r>
          </w:p>
        </w:tc>
        <w:tc>
          <w:tcPr>
            <w:tcW w:w="992" w:type="dxa"/>
            <w:tcBorders>
              <w:top w:val="nil"/>
              <w:left w:val="nil"/>
              <w:bottom w:val="nil"/>
              <w:right w:val="nil"/>
            </w:tcBorders>
            <w:tcMar>
              <w:left w:w="28" w:type="dxa"/>
              <w:right w:w="28" w:type="dxa"/>
            </w:tcMar>
            <w:vAlign w:val="center"/>
          </w:tcPr>
          <w:p w14:paraId="5B0CD836" w14:textId="77777777" w:rsidR="005F7C45" w:rsidRPr="005F7C45" w:rsidRDefault="005F7C45" w:rsidP="007674BE">
            <w:pPr>
              <w:ind w:left="-34" w:right="116"/>
              <w:jc w:val="center"/>
              <w:rPr>
                <w:color w:val="000000"/>
                <w:sz w:val="16"/>
                <w:szCs w:val="16"/>
              </w:rPr>
            </w:pPr>
            <w:r w:rsidRPr="005F7C45">
              <w:rPr>
                <w:color w:val="000000"/>
                <w:sz w:val="16"/>
                <w:szCs w:val="16"/>
              </w:rPr>
              <w:t>H1 supported</w:t>
            </w:r>
          </w:p>
        </w:tc>
      </w:tr>
      <w:tr w:rsidR="005F7C45" w:rsidRPr="005F7C45" w14:paraId="1B074BCE" w14:textId="77777777" w:rsidTr="005F7C45">
        <w:trPr>
          <w:trHeight w:val="273"/>
        </w:trPr>
        <w:tc>
          <w:tcPr>
            <w:tcW w:w="1124" w:type="dxa"/>
            <w:tcBorders>
              <w:top w:val="nil"/>
              <w:left w:val="nil"/>
              <w:right w:val="nil"/>
            </w:tcBorders>
            <w:shd w:val="clear" w:color="auto" w:fill="auto"/>
            <w:noWrap/>
            <w:tcMar>
              <w:left w:w="28" w:type="dxa"/>
              <w:right w:w="28" w:type="dxa"/>
            </w:tcMar>
            <w:vAlign w:val="center"/>
            <w:hideMark/>
          </w:tcPr>
          <w:p w14:paraId="2F860E3C" w14:textId="77777777" w:rsidR="005F7C45" w:rsidRPr="005F7C45" w:rsidRDefault="005F7C45" w:rsidP="007674BE">
            <w:pPr>
              <w:jc w:val="center"/>
              <w:rPr>
                <w:color w:val="000000"/>
                <w:sz w:val="16"/>
                <w:szCs w:val="16"/>
              </w:rPr>
            </w:pPr>
            <w:r w:rsidRPr="005F7C45">
              <w:rPr>
                <w:color w:val="000000"/>
                <w:sz w:val="16"/>
                <w:szCs w:val="16"/>
              </w:rPr>
              <w:t xml:space="preserve">SI </w:t>
            </w:r>
            <w:r w:rsidRPr="005F7C45">
              <w:rPr>
                <w:color w:val="000000"/>
                <w:sz w:val="16"/>
                <w:szCs w:val="16"/>
              </w:rPr>
              <w:sym w:font="Wingdings" w:char="F0E0"/>
            </w:r>
            <w:r w:rsidRPr="005F7C45">
              <w:rPr>
                <w:color w:val="000000"/>
                <w:sz w:val="16"/>
                <w:szCs w:val="16"/>
              </w:rPr>
              <w:t xml:space="preserve"> CS </w:t>
            </w:r>
            <w:r w:rsidRPr="005F7C45">
              <w:rPr>
                <w:color w:val="000000"/>
                <w:sz w:val="16"/>
                <w:szCs w:val="16"/>
              </w:rPr>
              <w:sym w:font="Wingdings" w:char="F0E0"/>
            </w:r>
            <w:r w:rsidRPr="005F7C45">
              <w:rPr>
                <w:color w:val="000000"/>
                <w:sz w:val="16"/>
                <w:szCs w:val="16"/>
              </w:rPr>
              <w:t xml:space="preserve"> CL</w:t>
            </w:r>
          </w:p>
        </w:tc>
        <w:tc>
          <w:tcPr>
            <w:tcW w:w="624" w:type="dxa"/>
            <w:tcBorders>
              <w:top w:val="nil"/>
              <w:left w:val="nil"/>
              <w:bottom w:val="nil"/>
              <w:right w:val="nil"/>
            </w:tcBorders>
            <w:shd w:val="clear" w:color="auto" w:fill="auto"/>
            <w:noWrap/>
            <w:tcMar>
              <w:left w:w="28" w:type="dxa"/>
              <w:right w:w="28" w:type="dxa"/>
            </w:tcMar>
            <w:vAlign w:val="center"/>
            <w:hideMark/>
          </w:tcPr>
          <w:p w14:paraId="44DCEA6A" w14:textId="77777777" w:rsidR="005F7C45" w:rsidRPr="005F7C45" w:rsidRDefault="005F7C45" w:rsidP="007674BE">
            <w:pPr>
              <w:ind w:left="-176"/>
              <w:jc w:val="center"/>
              <w:rPr>
                <w:color w:val="000000"/>
                <w:sz w:val="16"/>
                <w:szCs w:val="16"/>
              </w:rPr>
            </w:pPr>
            <w:r w:rsidRPr="005F7C45">
              <w:rPr>
                <w:color w:val="000000"/>
                <w:sz w:val="16"/>
                <w:szCs w:val="16"/>
              </w:rPr>
              <w:t>0.1416</w:t>
            </w:r>
          </w:p>
        </w:tc>
        <w:tc>
          <w:tcPr>
            <w:tcW w:w="662" w:type="dxa"/>
            <w:tcBorders>
              <w:top w:val="nil"/>
              <w:left w:val="nil"/>
              <w:bottom w:val="nil"/>
              <w:right w:val="nil"/>
            </w:tcBorders>
            <w:shd w:val="clear" w:color="auto" w:fill="auto"/>
            <w:noWrap/>
            <w:tcMar>
              <w:left w:w="28" w:type="dxa"/>
              <w:right w:w="28" w:type="dxa"/>
            </w:tcMar>
            <w:vAlign w:val="center"/>
            <w:hideMark/>
          </w:tcPr>
          <w:p w14:paraId="6A19BD72" w14:textId="77777777" w:rsidR="005F7C45" w:rsidRPr="005F7C45" w:rsidRDefault="005F7C45" w:rsidP="007674BE">
            <w:pPr>
              <w:ind w:left="-85"/>
              <w:jc w:val="center"/>
              <w:rPr>
                <w:color w:val="000000"/>
                <w:sz w:val="16"/>
                <w:szCs w:val="16"/>
              </w:rPr>
            </w:pPr>
            <w:r w:rsidRPr="005F7C45">
              <w:rPr>
                <w:color w:val="000000"/>
                <w:sz w:val="16"/>
                <w:szCs w:val="16"/>
              </w:rPr>
              <w:t>0.0310</w:t>
            </w:r>
          </w:p>
        </w:tc>
        <w:tc>
          <w:tcPr>
            <w:tcW w:w="851" w:type="dxa"/>
            <w:tcBorders>
              <w:top w:val="nil"/>
              <w:left w:val="nil"/>
              <w:bottom w:val="nil"/>
              <w:right w:val="nil"/>
            </w:tcBorders>
            <w:shd w:val="clear" w:color="auto" w:fill="auto"/>
            <w:noWrap/>
            <w:tcMar>
              <w:left w:w="28" w:type="dxa"/>
              <w:right w:w="28" w:type="dxa"/>
            </w:tcMar>
            <w:vAlign w:val="center"/>
            <w:hideMark/>
          </w:tcPr>
          <w:p w14:paraId="7885AF8D" w14:textId="77777777" w:rsidR="005F7C45" w:rsidRPr="005F7C45" w:rsidRDefault="005F7C45" w:rsidP="007674BE">
            <w:pPr>
              <w:ind w:left="-34"/>
              <w:jc w:val="center"/>
              <w:rPr>
                <w:color w:val="000000"/>
                <w:sz w:val="16"/>
                <w:szCs w:val="16"/>
              </w:rPr>
            </w:pPr>
            <w:r w:rsidRPr="005F7C45">
              <w:rPr>
                <w:color w:val="000000"/>
                <w:sz w:val="16"/>
                <w:szCs w:val="16"/>
              </w:rPr>
              <w:t>0.085</w:t>
            </w:r>
          </w:p>
        </w:tc>
        <w:tc>
          <w:tcPr>
            <w:tcW w:w="850" w:type="dxa"/>
            <w:tcBorders>
              <w:top w:val="nil"/>
              <w:left w:val="nil"/>
              <w:bottom w:val="nil"/>
              <w:right w:val="nil"/>
            </w:tcBorders>
            <w:shd w:val="clear" w:color="auto" w:fill="auto"/>
            <w:noWrap/>
            <w:tcMar>
              <w:left w:w="28" w:type="dxa"/>
              <w:right w:w="28" w:type="dxa"/>
            </w:tcMar>
            <w:vAlign w:val="center"/>
            <w:hideMark/>
          </w:tcPr>
          <w:p w14:paraId="3BACBF11" w14:textId="77777777" w:rsidR="005F7C45" w:rsidRPr="005F7C45" w:rsidRDefault="005F7C45" w:rsidP="007674BE">
            <w:pPr>
              <w:ind w:left="-81"/>
              <w:jc w:val="center"/>
              <w:rPr>
                <w:color w:val="000000"/>
                <w:sz w:val="16"/>
                <w:szCs w:val="16"/>
              </w:rPr>
            </w:pPr>
            <w:r w:rsidRPr="005F7C45">
              <w:rPr>
                <w:color w:val="000000"/>
                <w:sz w:val="16"/>
                <w:szCs w:val="16"/>
              </w:rPr>
              <w:t>0.2067</w:t>
            </w:r>
          </w:p>
        </w:tc>
        <w:tc>
          <w:tcPr>
            <w:tcW w:w="992" w:type="dxa"/>
            <w:tcBorders>
              <w:top w:val="nil"/>
              <w:left w:val="nil"/>
              <w:bottom w:val="nil"/>
              <w:right w:val="nil"/>
            </w:tcBorders>
            <w:tcMar>
              <w:left w:w="28" w:type="dxa"/>
              <w:right w:w="28" w:type="dxa"/>
            </w:tcMar>
            <w:vAlign w:val="center"/>
          </w:tcPr>
          <w:p w14:paraId="6D2AB8FA" w14:textId="77777777" w:rsidR="005F7C45" w:rsidRPr="005F7C45" w:rsidRDefault="005F7C45" w:rsidP="007674BE">
            <w:pPr>
              <w:ind w:left="-34" w:right="116"/>
              <w:jc w:val="center"/>
              <w:rPr>
                <w:color w:val="000000"/>
                <w:sz w:val="16"/>
                <w:szCs w:val="16"/>
              </w:rPr>
            </w:pPr>
            <w:r w:rsidRPr="005F7C45">
              <w:rPr>
                <w:color w:val="000000"/>
                <w:sz w:val="16"/>
                <w:szCs w:val="16"/>
              </w:rPr>
              <w:t>H2 supported</w:t>
            </w:r>
          </w:p>
        </w:tc>
      </w:tr>
      <w:tr w:rsidR="005F7C45" w:rsidRPr="005F7C45" w14:paraId="3FDA4330" w14:textId="77777777" w:rsidTr="005F7C45">
        <w:trPr>
          <w:trHeight w:val="273"/>
        </w:trPr>
        <w:tc>
          <w:tcPr>
            <w:tcW w:w="1124" w:type="dxa"/>
            <w:tcBorders>
              <w:top w:val="nil"/>
              <w:left w:val="nil"/>
              <w:bottom w:val="single" w:sz="4" w:space="0" w:color="auto"/>
              <w:right w:val="nil"/>
            </w:tcBorders>
            <w:shd w:val="clear" w:color="auto" w:fill="auto"/>
            <w:noWrap/>
            <w:tcMar>
              <w:left w:w="28" w:type="dxa"/>
              <w:right w:w="28" w:type="dxa"/>
            </w:tcMar>
            <w:vAlign w:val="center"/>
            <w:hideMark/>
          </w:tcPr>
          <w:p w14:paraId="01F3D06B" w14:textId="77777777" w:rsidR="005F7C45" w:rsidRPr="005F7C45" w:rsidRDefault="005F7C45" w:rsidP="007674BE">
            <w:pPr>
              <w:jc w:val="center"/>
              <w:rPr>
                <w:color w:val="000000"/>
                <w:sz w:val="16"/>
                <w:szCs w:val="16"/>
              </w:rPr>
            </w:pPr>
            <w:r w:rsidRPr="005F7C45">
              <w:rPr>
                <w:color w:val="000000"/>
                <w:sz w:val="16"/>
                <w:szCs w:val="16"/>
              </w:rPr>
              <w:t xml:space="preserve">SI </w:t>
            </w:r>
            <w:r w:rsidRPr="005F7C45">
              <w:rPr>
                <w:color w:val="000000"/>
                <w:sz w:val="16"/>
                <w:szCs w:val="16"/>
              </w:rPr>
              <w:sym w:font="Wingdings" w:char="F0E0"/>
            </w:r>
            <w:r w:rsidRPr="005F7C45">
              <w:rPr>
                <w:color w:val="000000"/>
                <w:sz w:val="16"/>
                <w:szCs w:val="16"/>
              </w:rPr>
              <w:t xml:space="preserve"> CVC </w:t>
            </w:r>
            <w:r w:rsidRPr="005F7C45">
              <w:rPr>
                <w:color w:val="000000"/>
                <w:sz w:val="16"/>
                <w:szCs w:val="16"/>
              </w:rPr>
              <w:sym w:font="Wingdings" w:char="F0E0"/>
            </w:r>
            <w:r w:rsidRPr="005F7C45">
              <w:rPr>
                <w:color w:val="000000"/>
                <w:sz w:val="16"/>
                <w:szCs w:val="16"/>
              </w:rPr>
              <w:t xml:space="preserve"> CS </w:t>
            </w:r>
            <w:r w:rsidRPr="005F7C45">
              <w:rPr>
                <w:color w:val="000000"/>
                <w:sz w:val="16"/>
                <w:szCs w:val="16"/>
              </w:rPr>
              <w:sym w:font="Wingdings" w:char="F0E0"/>
            </w:r>
            <w:r w:rsidRPr="005F7C45">
              <w:rPr>
                <w:color w:val="000000"/>
                <w:sz w:val="16"/>
                <w:szCs w:val="16"/>
              </w:rPr>
              <w:t xml:space="preserve"> CL</w:t>
            </w:r>
          </w:p>
        </w:tc>
        <w:tc>
          <w:tcPr>
            <w:tcW w:w="624" w:type="dxa"/>
            <w:tcBorders>
              <w:top w:val="nil"/>
              <w:left w:val="nil"/>
              <w:bottom w:val="single" w:sz="4" w:space="0" w:color="auto"/>
              <w:right w:val="nil"/>
            </w:tcBorders>
            <w:shd w:val="clear" w:color="auto" w:fill="auto"/>
            <w:noWrap/>
            <w:tcMar>
              <w:left w:w="28" w:type="dxa"/>
              <w:right w:w="28" w:type="dxa"/>
            </w:tcMar>
            <w:vAlign w:val="center"/>
            <w:hideMark/>
          </w:tcPr>
          <w:p w14:paraId="018F3D4A" w14:textId="77777777" w:rsidR="005F7C45" w:rsidRPr="005F7C45" w:rsidRDefault="005F7C45" w:rsidP="007674BE">
            <w:pPr>
              <w:ind w:left="-176"/>
              <w:jc w:val="center"/>
              <w:rPr>
                <w:color w:val="000000"/>
                <w:sz w:val="16"/>
                <w:szCs w:val="16"/>
              </w:rPr>
            </w:pPr>
            <w:r w:rsidRPr="005F7C45">
              <w:rPr>
                <w:color w:val="000000"/>
                <w:sz w:val="16"/>
                <w:szCs w:val="16"/>
              </w:rPr>
              <w:t>0.0859</w:t>
            </w:r>
          </w:p>
        </w:tc>
        <w:tc>
          <w:tcPr>
            <w:tcW w:w="662" w:type="dxa"/>
            <w:tcBorders>
              <w:top w:val="nil"/>
              <w:left w:val="nil"/>
              <w:bottom w:val="single" w:sz="4" w:space="0" w:color="auto"/>
              <w:right w:val="nil"/>
            </w:tcBorders>
            <w:shd w:val="clear" w:color="auto" w:fill="auto"/>
            <w:noWrap/>
            <w:tcMar>
              <w:left w:w="28" w:type="dxa"/>
              <w:right w:w="28" w:type="dxa"/>
            </w:tcMar>
            <w:vAlign w:val="center"/>
            <w:hideMark/>
          </w:tcPr>
          <w:p w14:paraId="6F2EFE00" w14:textId="77777777" w:rsidR="005F7C45" w:rsidRPr="005F7C45" w:rsidRDefault="005F7C45" w:rsidP="007674BE">
            <w:pPr>
              <w:ind w:left="-85"/>
              <w:jc w:val="center"/>
              <w:rPr>
                <w:color w:val="000000"/>
                <w:sz w:val="16"/>
                <w:szCs w:val="16"/>
              </w:rPr>
            </w:pPr>
            <w:r w:rsidRPr="005F7C45">
              <w:rPr>
                <w:color w:val="000000"/>
                <w:sz w:val="16"/>
                <w:szCs w:val="16"/>
              </w:rPr>
              <w:t>0.0202</w:t>
            </w:r>
          </w:p>
        </w:tc>
        <w:tc>
          <w:tcPr>
            <w:tcW w:w="851" w:type="dxa"/>
            <w:tcBorders>
              <w:top w:val="nil"/>
              <w:left w:val="nil"/>
              <w:bottom w:val="single" w:sz="4" w:space="0" w:color="auto"/>
              <w:right w:val="nil"/>
            </w:tcBorders>
            <w:shd w:val="clear" w:color="auto" w:fill="auto"/>
            <w:noWrap/>
            <w:tcMar>
              <w:left w:w="28" w:type="dxa"/>
              <w:right w:w="28" w:type="dxa"/>
            </w:tcMar>
            <w:vAlign w:val="center"/>
            <w:hideMark/>
          </w:tcPr>
          <w:p w14:paraId="78D326B9" w14:textId="77777777" w:rsidR="005F7C45" w:rsidRPr="005F7C45" w:rsidRDefault="005F7C45" w:rsidP="007674BE">
            <w:pPr>
              <w:ind w:left="-34"/>
              <w:jc w:val="center"/>
              <w:rPr>
                <w:color w:val="000000"/>
                <w:sz w:val="16"/>
                <w:szCs w:val="16"/>
              </w:rPr>
            </w:pPr>
            <w:r w:rsidRPr="005F7C45">
              <w:rPr>
                <w:color w:val="000000"/>
                <w:sz w:val="16"/>
                <w:szCs w:val="16"/>
              </w:rPr>
              <w:t>0.0505</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57818769" w14:textId="77777777" w:rsidR="005F7C45" w:rsidRPr="005F7C45" w:rsidRDefault="005F7C45" w:rsidP="007674BE">
            <w:pPr>
              <w:ind w:left="-81"/>
              <w:jc w:val="center"/>
              <w:rPr>
                <w:color w:val="000000"/>
                <w:sz w:val="16"/>
                <w:szCs w:val="16"/>
              </w:rPr>
            </w:pPr>
            <w:r w:rsidRPr="005F7C45">
              <w:rPr>
                <w:color w:val="000000"/>
                <w:sz w:val="16"/>
                <w:szCs w:val="16"/>
              </w:rPr>
              <w:t>0.1285</w:t>
            </w:r>
          </w:p>
        </w:tc>
        <w:tc>
          <w:tcPr>
            <w:tcW w:w="992" w:type="dxa"/>
            <w:tcBorders>
              <w:top w:val="nil"/>
              <w:left w:val="nil"/>
              <w:bottom w:val="single" w:sz="4" w:space="0" w:color="auto"/>
              <w:right w:val="nil"/>
            </w:tcBorders>
            <w:tcMar>
              <w:left w:w="28" w:type="dxa"/>
              <w:right w:w="28" w:type="dxa"/>
            </w:tcMar>
            <w:vAlign w:val="center"/>
          </w:tcPr>
          <w:p w14:paraId="1F3498E5" w14:textId="77777777" w:rsidR="005F7C45" w:rsidRPr="005F7C45" w:rsidRDefault="005F7C45" w:rsidP="007674BE">
            <w:pPr>
              <w:ind w:left="-34" w:right="116"/>
              <w:jc w:val="center"/>
              <w:rPr>
                <w:color w:val="000000"/>
                <w:sz w:val="16"/>
                <w:szCs w:val="16"/>
              </w:rPr>
            </w:pPr>
            <w:r w:rsidRPr="005F7C45">
              <w:rPr>
                <w:color w:val="000000"/>
                <w:sz w:val="16"/>
                <w:szCs w:val="16"/>
              </w:rPr>
              <w:t>H3 supported</w:t>
            </w:r>
          </w:p>
        </w:tc>
      </w:tr>
      <w:bookmarkEnd w:id="15"/>
    </w:tbl>
    <w:p w14:paraId="75EC1942" w14:textId="77777777" w:rsidR="005F7C45" w:rsidRDefault="005F7C45" w:rsidP="00DA24D6">
      <w:pPr>
        <w:rPr>
          <w:color w:val="000000"/>
          <w:sz w:val="16"/>
          <w:szCs w:val="16"/>
        </w:rPr>
      </w:pPr>
    </w:p>
    <w:p w14:paraId="67F5A96F" w14:textId="23545921" w:rsidR="00DA24D6" w:rsidRPr="00532835" w:rsidRDefault="00DA24D6" w:rsidP="00DA24D6">
      <w:pPr>
        <w:rPr>
          <w:color w:val="000000"/>
          <w:sz w:val="16"/>
          <w:szCs w:val="16"/>
        </w:rPr>
      </w:pPr>
      <w:r w:rsidRPr="00532835">
        <w:rPr>
          <w:color w:val="000000"/>
          <w:sz w:val="16"/>
          <w:szCs w:val="16"/>
        </w:rPr>
        <w:t>(SI – Service Innovation; CVC – Customer Value Creation; CS – Customer Satisfaction; CL – Customer Loyalty)</w:t>
      </w:r>
    </w:p>
    <w:p w14:paraId="5C855925" w14:textId="77777777" w:rsidR="003A4C45" w:rsidRPr="00B13BCD" w:rsidRDefault="003A4C45" w:rsidP="00427835">
      <w:pPr>
        <w:pStyle w:val="Heading2"/>
        <w:jc w:val="both"/>
      </w:pPr>
      <w:r w:rsidRPr="00B13BCD">
        <w:t>Moderated Mediation Model</w:t>
      </w:r>
    </w:p>
    <w:p w14:paraId="02B9CD9E" w14:textId="35B959EF" w:rsidR="003A4C45" w:rsidRPr="00B13BCD" w:rsidRDefault="003A4C45" w:rsidP="00427835">
      <w:pPr>
        <w:jc w:val="both"/>
      </w:pPr>
      <w:r w:rsidRPr="00B13BCD">
        <w:t xml:space="preserve">The moderated mediation model consists of four constructs: SI, SDI, CVC, and CS. The Hayes process (model 7) in SPSS was used to carry out the test </w:t>
      </w:r>
      <w:r w:rsidRPr="00B13BCD">
        <w:fldChar w:fldCharType="begin" w:fldLock="1"/>
      </w:r>
      <w:r w:rsidRPr="00B13BCD">
        <w:instrText>ADDIN CSL_CITATION {"citationItems":[{"id":"ITEM-1","itemData":{"DOI":"10.1111/bmsp.12028","ISSN":"20448317","PMID":"24188158","abstract":"Virtually all discussions and applications of statistical mediation analysis have been based on the condition that the independent variable is dichotomous or continuous, even though investigators frequently are interested in testing mediation hypotheses involving a multicategorical independent variable (such as two or more experimental conditions relative to a control group). We provide a tutorial illustrating an approach to estimation of and inference about direct, indirect, and total effects in statistical mediation analysis with a multicategorical independent variable. The approach is mathematically equivalent to analysis of (co)variance and reproduces the observed and adjusted group means while also generating effects having simple interpretations. Supplementary material available online includes extensions to this approach and Mplus, SPSS, and SAS code that implements it.","author":[{"dropping-particle":"","family":"Hayes","given":"Andrew F.","non-dropping-particle":"","parse-names":false,"suffix":""},{"dropping-particle":"","family":"Preacher","given":"Kristopher J.","non-dropping-particle":"","parse-names":false,"suffix":""}],"container-title":"British Journal of Mathematical and Statistical Psychology","id":"ITEM-1","issue":"3","issued":{"date-parts":[["2014"]]},"page":"451-470","title":"Statistical mediation analysis with a multicategorical independent variable","type":"article-journal","volume":"67"},"uris":["http://www.mendeley.com/documents/?uuid=06320c40-4227-41ed-b6a3-c75a8a5a95a5"]}],"mendeley":{"formattedCitation":"[99]","plainTextFormattedCitation":"[99]","previouslyFormattedCitation":"[99]"},"properties":{"noteIndex":0},"schema":"https://github.com/citation-style-language/schema/raw/master/csl-citation.json"}</w:instrText>
      </w:r>
      <w:r w:rsidRPr="00B13BCD">
        <w:fldChar w:fldCharType="separate"/>
      </w:r>
      <w:r w:rsidRPr="00B13BCD">
        <w:rPr>
          <w:noProof/>
        </w:rPr>
        <w:t>[</w:t>
      </w:r>
      <w:r w:rsidR="00E51639">
        <w:rPr>
          <w:noProof/>
        </w:rPr>
        <w:t>113</w:t>
      </w:r>
      <w:r w:rsidRPr="00B13BCD">
        <w:rPr>
          <w:noProof/>
        </w:rPr>
        <w:t>]</w:t>
      </w:r>
      <w:r w:rsidRPr="00B13BCD">
        <w:fldChar w:fldCharType="end"/>
      </w:r>
      <w:r w:rsidRPr="00B13BCD">
        <w:t xml:space="preserve"> of moderated mediation, in which SDI moderates the relationship between SI and CVC, </w:t>
      </w:r>
      <w:r w:rsidRPr="00B13BCD">
        <w:t xml:space="preserve">and CVC mediates the relationship between SI and CS (Figure 2.2). </w:t>
      </w:r>
    </w:p>
    <w:p w14:paraId="2D11CC77" w14:textId="77777777" w:rsidR="003A4C45" w:rsidRDefault="003A4C45" w:rsidP="00427835">
      <w:pPr>
        <w:jc w:val="both"/>
      </w:pPr>
      <w:r w:rsidRPr="00B13BCD">
        <w:t>With this model, we are testing that the effect of SI on CS is mediated by CVC and that this mediation is moderated by SDI, where SDI is moderating the path ‘a’ between SI and the mediator CVC. The first regression results are given in Table VI, in which the mediating variable CVC has been regressed onto SI and SDI.</w:t>
      </w:r>
      <w:r w:rsidRPr="00B13BCD" w:rsidDel="00FD0616">
        <w:t xml:space="preserve"> </w:t>
      </w:r>
      <w:r w:rsidRPr="00B13BCD">
        <w:t xml:space="preserve">The Int_1 is the interaction term (SI * SDI) and is found to be significant at </w:t>
      </w:r>
      <w:r w:rsidRPr="00B13BCD">
        <w:rPr>
          <w:i/>
          <w:iCs/>
        </w:rPr>
        <w:t>p-value = 0.0454</w:t>
      </w:r>
      <w:r w:rsidRPr="00B13BCD">
        <w:t xml:space="preserve">, which denotes moderation. </w:t>
      </w:r>
    </w:p>
    <w:p w14:paraId="085501EF" w14:textId="77777777" w:rsidR="00E71E29" w:rsidRPr="00E71E29" w:rsidRDefault="00E71E29" w:rsidP="00427835">
      <w:pPr>
        <w:jc w:val="both"/>
        <w:rPr>
          <w:sz w:val="16"/>
          <w:szCs w:val="16"/>
        </w:rPr>
      </w:pPr>
    </w:p>
    <w:p w14:paraId="7273E0F9" w14:textId="26EF6581" w:rsidR="003A4C45" w:rsidRDefault="006306BE" w:rsidP="006306BE">
      <w:pPr>
        <w:pStyle w:val="NormalWeb"/>
        <w:spacing w:before="0" w:beforeAutospacing="0" w:after="0" w:afterAutospacing="0" w:line="480" w:lineRule="auto"/>
        <w:ind w:firstLine="288"/>
        <w:jc w:val="center"/>
        <w:rPr>
          <w:rFonts w:eastAsiaTheme="minorHAnsi"/>
        </w:rPr>
      </w:pPr>
      <w:r>
        <w:rPr>
          <w:b/>
          <w:bCs/>
          <w:noProof/>
        </w:rPr>
        <w:drawing>
          <wp:inline distT="0" distB="0" distL="0" distR="0" wp14:anchorId="0690DEB3" wp14:editId="41AB69E4">
            <wp:extent cx="2126515" cy="206288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074" cy="2077010"/>
                    </a:xfrm>
                    <a:prstGeom prst="rect">
                      <a:avLst/>
                    </a:prstGeom>
                    <a:noFill/>
                  </pic:spPr>
                </pic:pic>
              </a:graphicData>
            </a:graphic>
          </wp:inline>
        </w:drawing>
      </w:r>
    </w:p>
    <w:p w14:paraId="48318AD7" w14:textId="5C856D66" w:rsidR="004E0485" w:rsidRPr="00B13BCD" w:rsidRDefault="004E0485" w:rsidP="006306BE">
      <w:pPr>
        <w:pStyle w:val="NormalWeb"/>
        <w:spacing w:before="0" w:beforeAutospacing="0" w:after="0" w:afterAutospacing="0" w:line="480" w:lineRule="auto"/>
        <w:ind w:firstLine="288"/>
        <w:jc w:val="center"/>
        <w:rPr>
          <w:rFonts w:eastAsiaTheme="minorHAnsi"/>
        </w:rPr>
      </w:pPr>
      <w:r w:rsidRPr="00F650AA">
        <w:rPr>
          <w:b/>
          <w:bCs/>
          <w:sz w:val="20"/>
          <w:szCs w:val="20"/>
        </w:rPr>
        <w:t>Fig. 2.2.</w:t>
      </w:r>
      <w:r w:rsidRPr="00F650AA">
        <w:rPr>
          <w:sz w:val="20"/>
          <w:szCs w:val="20"/>
        </w:rPr>
        <w:t xml:space="preserve"> Moderation and moderated mediation - model 2</w:t>
      </w:r>
    </w:p>
    <w:p w14:paraId="628AB3F4" w14:textId="77777777" w:rsidR="003A4C45" w:rsidRPr="00B13BCD" w:rsidRDefault="003A4C45" w:rsidP="00427835">
      <w:pPr>
        <w:jc w:val="both"/>
      </w:pPr>
      <w:r w:rsidRPr="00B13BCD">
        <w:t>The slope of 0.2948 (Table VI) for SI is the slope for SI's effect on CVC for cases falling at the mean on SDI. The slope for SDI here is reflecting the effect of SDI on CVC for cases that would be falling at the mean on SI. The slope for SI is positive and statistically significant. The slope for SDI is positive and statistically significant. The moderator (Int_1) has a positive slope at 0.568 and is statistically significant (p-value = 0.0454</w:t>
      </w:r>
      <w:r w:rsidRPr="00B13BCD">
        <w:rPr>
          <w:i/>
          <w:iCs/>
        </w:rPr>
        <w:t>).</w:t>
      </w:r>
      <w:r w:rsidRPr="00B13BCD">
        <w:t xml:space="preserve"> It means the effect of SI on CVC, as shown by the slope of the relationship, varies across SDI levels. The process macro runs a series of regression analyses. </w:t>
      </w:r>
    </w:p>
    <w:p w14:paraId="67E7C28F" w14:textId="77777777" w:rsidR="00F26239" w:rsidRDefault="00F26239" w:rsidP="009E1C18">
      <w:pPr>
        <w:autoSpaceDE w:val="0"/>
        <w:autoSpaceDN w:val="0"/>
        <w:adjustRightInd w:val="0"/>
        <w:jc w:val="center"/>
        <w:rPr>
          <w:color w:val="000000"/>
          <w:sz w:val="16"/>
          <w:szCs w:val="16"/>
        </w:rPr>
      </w:pPr>
    </w:p>
    <w:p w14:paraId="4BFB6CFE" w14:textId="680A22D9" w:rsidR="00532835" w:rsidRPr="009E1C18" w:rsidRDefault="009E1C18" w:rsidP="009E1C18">
      <w:pPr>
        <w:autoSpaceDE w:val="0"/>
        <w:autoSpaceDN w:val="0"/>
        <w:adjustRightInd w:val="0"/>
        <w:jc w:val="center"/>
        <w:rPr>
          <w:color w:val="000000"/>
          <w:sz w:val="16"/>
          <w:szCs w:val="16"/>
        </w:rPr>
      </w:pPr>
      <w:r w:rsidRPr="000D3295">
        <w:rPr>
          <w:color w:val="000000"/>
        </w:rPr>
        <w:t>TABLE VI: MODERATION EFFECT IN MODEL 2</w:t>
      </w:r>
    </w:p>
    <w:tbl>
      <w:tblPr>
        <w:tblW w:w="3011" w:type="dxa"/>
        <w:tblLook w:val="04A0" w:firstRow="1" w:lastRow="0" w:firstColumn="1" w:lastColumn="0" w:noHBand="0" w:noVBand="1"/>
      </w:tblPr>
      <w:tblGrid>
        <w:gridCol w:w="960"/>
        <w:gridCol w:w="656"/>
        <w:gridCol w:w="656"/>
        <w:gridCol w:w="736"/>
        <w:gridCol w:w="656"/>
        <w:gridCol w:w="656"/>
        <w:gridCol w:w="656"/>
      </w:tblGrid>
      <w:tr w:rsidR="00532835" w:rsidRPr="00FA7C72" w14:paraId="0AE6D653" w14:textId="77777777" w:rsidTr="007674BE">
        <w:trPr>
          <w:trHeight w:val="247"/>
        </w:trPr>
        <w:tc>
          <w:tcPr>
            <w:tcW w:w="581" w:type="dxa"/>
            <w:tcBorders>
              <w:top w:val="single" w:sz="4" w:space="0" w:color="auto"/>
              <w:left w:val="nil"/>
              <w:bottom w:val="single" w:sz="4" w:space="0" w:color="auto"/>
              <w:right w:val="nil"/>
            </w:tcBorders>
            <w:shd w:val="clear" w:color="auto" w:fill="auto"/>
            <w:noWrap/>
            <w:vAlign w:val="center"/>
            <w:hideMark/>
          </w:tcPr>
          <w:p w14:paraId="07911FBF" w14:textId="77777777" w:rsidR="00532835" w:rsidRPr="00FA7C72" w:rsidRDefault="00532835" w:rsidP="007674BE">
            <w:pPr>
              <w:rPr>
                <w:b/>
                <w:bCs/>
                <w:color w:val="000000"/>
                <w:sz w:val="16"/>
                <w:szCs w:val="16"/>
              </w:rPr>
            </w:pPr>
            <w:bookmarkStart w:id="16" w:name="_Hlk179968569"/>
            <w:r w:rsidRPr="00FA7C72">
              <w:rPr>
                <w:b/>
                <w:bCs/>
                <w:color w:val="000000"/>
                <w:sz w:val="16"/>
                <w:szCs w:val="16"/>
              </w:rPr>
              <w:t xml:space="preserve">              </w:t>
            </w:r>
            <w:bookmarkStart w:id="17" w:name="_Hlk109796779"/>
          </w:p>
        </w:tc>
        <w:tc>
          <w:tcPr>
            <w:tcW w:w="397" w:type="dxa"/>
            <w:tcBorders>
              <w:top w:val="single" w:sz="4" w:space="0" w:color="auto"/>
              <w:left w:val="nil"/>
              <w:bottom w:val="single" w:sz="4" w:space="0" w:color="auto"/>
              <w:right w:val="nil"/>
            </w:tcBorders>
            <w:shd w:val="clear" w:color="auto" w:fill="auto"/>
            <w:noWrap/>
            <w:vAlign w:val="center"/>
            <w:hideMark/>
          </w:tcPr>
          <w:p w14:paraId="657BA333" w14:textId="77777777" w:rsidR="00532835" w:rsidRPr="00FA7C72" w:rsidRDefault="00532835" w:rsidP="007674BE">
            <w:pPr>
              <w:jc w:val="center"/>
              <w:rPr>
                <w:b/>
                <w:bCs/>
                <w:color w:val="000000"/>
                <w:sz w:val="16"/>
                <w:szCs w:val="16"/>
              </w:rPr>
            </w:pPr>
            <w:r w:rsidRPr="00FA7C72">
              <w:rPr>
                <w:b/>
                <w:bCs/>
                <w:color w:val="000000"/>
                <w:sz w:val="16"/>
                <w:szCs w:val="16"/>
              </w:rPr>
              <w:t>Coeff</w:t>
            </w:r>
          </w:p>
        </w:tc>
        <w:tc>
          <w:tcPr>
            <w:tcW w:w="397" w:type="dxa"/>
            <w:tcBorders>
              <w:top w:val="single" w:sz="4" w:space="0" w:color="auto"/>
              <w:left w:val="nil"/>
              <w:bottom w:val="single" w:sz="4" w:space="0" w:color="auto"/>
              <w:right w:val="nil"/>
            </w:tcBorders>
            <w:shd w:val="clear" w:color="auto" w:fill="auto"/>
            <w:noWrap/>
            <w:vAlign w:val="center"/>
            <w:hideMark/>
          </w:tcPr>
          <w:p w14:paraId="5330B9F0" w14:textId="77777777" w:rsidR="00532835" w:rsidRPr="00FA7C72" w:rsidRDefault="00532835" w:rsidP="007674BE">
            <w:pPr>
              <w:jc w:val="center"/>
              <w:rPr>
                <w:b/>
                <w:bCs/>
                <w:color w:val="000000"/>
                <w:sz w:val="16"/>
                <w:szCs w:val="16"/>
              </w:rPr>
            </w:pPr>
            <w:r w:rsidRPr="00FA7C72">
              <w:rPr>
                <w:b/>
                <w:bCs/>
                <w:color w:val="000000"/>
                <w:sz w:val="16"/>
                <w:szCs w:val="16"/>
              </w:rPr>
              <w:t>se</w:t>
            </w:r>
          </w:p>
        </w:tc>
        <w:tc>
          <w:tcPr>
            <w:tcW w:w="445" w:type="dxa"/>
            <w:tcBorders>
              <w:top w:val="single" w:sz="4" w:space="0" w:color="auto"/>
              <w:left w:val="nil"/>
              <w:bottom w:val="single" w:sz="4" w:space="0" w:color="auto"/>
              <w:right w:val="nil"/>
            </w:tcBorders>
            <w:shd w:val="clear" w:color="auto" w:fill="auto"/>
            <w:noWrap/>
            <w:vAlign w:val="center"/>
            <w:hideMark/>
          </w:tcPr>
          <w:p w14:paraId="0F5A00EF" w14:textId="77777777" w:rsidR="00532835" w:rsidRPr="00FA7C72" w:rsidRDefault="00532835" w:rsidP="007674BE">
            <w:pPr>
              <w:jc w:val="center"/>
              <w:rPr>
                <w:b/>
                <w:bCs/>
                <w:color w:val="000000"/>
                <w:sz w:val="16"/>
                <w:szCs w:val="16"/>
              </w:rPr>
            </w:pPr>
            <w:r w:rsidRPr="00FA7C72">
              <w:rPr>
                <w:b/>
                <w:bCs/>
                <w:color w:val="000000"/>
                <w:sz w:val="16"/>
                <w:szCs w:val="16"/>
              </w:rPr>
              <w:t>t</w:t>
            </w:r>
          </w:p>
        </w:tc>
        <w:tc>
          <w:tcPr>
            <w:tcW w:w="397" w:type="dxa"/>
            <w:tcBorders>
              <w:top w:val="single" w:sz="4" w:space="0" w:color="auto"/>
              <w:left w:val="nil"/>
              <w:bottom w:val="single" w:sz="4" w:space="0" w:color="auto"/>
              <w:right w:val="nil"/>
            </w:tcBorders>
            <w:shd w:val="clear" w:color="auto" w:fill="auto"/>
            <w:noWrap/>
            <w:vAlign w:val="center"/>
            <w:hideMark/>
          </w:tcPr>
          <w:p w14:paraId="0AE29503" w14:textId="77777777" w:rsidR="00532835" w:rsidRPr="00FA7C72" w:rsidRDefault="00532835" w:rsidP="007674BE">
            <w:pPr>
              <w:jc w:val="center"/>
              <w:rPr>
                <w:b/>
                <w:bCs/>
                <w:color w:val="000000"/>
                <w:sz w:val="16"/>
                <w:szCs w:val="16"/>
              </w:rPr>
            </w:pPr>
            <w:r w:rsidRPr="00FA7C72">
              <w:rPr>
                <w:b/>
                <w:bCs/>
                <w:color w:val="000000"/>
                <w:sz w:val="16"/>
                <w:szCs w:val="16"/>
              </w:rPr>
              <w:t xml:space="preserve">   p-value</w:t>
            </w:r>
          </w:p>
        </w:tc>
        <w:tc>
          <w:tcPr>
            <w:tcW w:w="397" w:type="dxa"/>
            <w:tcBorders>
              <w:top w:val="single" w:sz="4" w:space="0" w:color="auto"/>
              <w:left w:val="nil"/>
              <w:bottom w:val="single" w:sz="4" w:space="0" w:color="auto"/>
              <w:right w:val="nil"/>
            </w:tcBorders>
            <w:shd w:val="clear" w:color="auto" w:fill="auto"/>
            <w:noWrap/>
            <w:vAlign w:val="center"/>
            <w:hideMark/>
          </w:tcPr>
          <w:p w14:paraId="317B52CE" w14:textId="77777777" w:rsidR="00532835" w:rsidRPr="00FA7C72" w:rsidRDefault="00532835" w:rsidP="007674BE">
            <w:pPr>
              <w:jc w:val="center"/>
              <w:rPr>
                <w:b/>
                <w:bCs/>
                <w:color w:val="000000"/>
                <w:sz w:val="16"/>
                <w:szCs w:val="16"/>
              </w:rPr>
            </w:pPr>
            <w:r w:rsidRPr="00FA7C72">
              <w:rPr>
                <w:b/>
                <w:bCs/>
                <w:color w:val="000000"/>
                <w:sz w:val="16"/>
                <w:szCs w:val="16"/>
              </w:rPr>
              <w:t>LLCI</w:t>
            </w:r>
          </w:p>
        </w:tc>
        <w:tc>
          <w:tcPr>
            <w:tcW w:w="397" w:type="dxa"/>
            <w:tcBorders>
              <w:top w:val="single" w:sz="4" w:space="0" w:color="auto"/>
              <w:left w:val="nil"/>
              <w:bottom w:val="single" w:sz="4" w:space="0" w:color="auto"/>
              <w:right w:val="nil"/>
            </w:tcBorders>
            <w:shd w:val="clear" w:color="auto" w:fill="auto"/>
            <w:noWrap/>
            <w:vAlign w:val="center"/>
            <w:hideMark/>
          </w:tcPr>
          <w:p w14:paraId="632483F2" w14:textId="77777777" w:rsidR="00532835" w:rsidRPr="00FA7C72" w:rsidRDefault="00532835" w:rsidP="007674BE">
            <w:pPr>
              <w:jc w:val="center"/>
              <w:rPr>
                <w:b/>
                <w:bCs/>
                <w:color w:val="000000"/>
                <w:sz w:val="16"/>
                <w:szCs w:val="16"/>
              </w:rPr>
            </w:pPr>
            <w:r w:rsidRPr="00FA7C72">
              <w:rPr>
                <w:b/>
                <w:bCs/>
                <w:color w:val="000000"/>
                <w:sz w:val="16"/>
                <w:szCs w:val="16"/>
              </w:rPr>
              <w:t>ULCI</w:t>
            </w:r>
          </w:p>
        </w:tc>
      </w:tr>
      <w:tr w:rsidR="00532835" w:rsidRPr="00FA7C72" w14:paraId="4A534F1A" w14:textId="77777777" w:rsidTr="007674BE">
        <w:trPr>
          <w:trHeight w:val="255"/>
        </w:trPr>
        <w:tc>
          <w:tcPr>
            <w:tcW w:w="581" w:type="dxa"/>
            <w:tcBorders>
              <w:top w:val="nil"/>
              <w:left w:val="nil"/>
              <w:bottom w:val="nil"/>
              <w:right w:val="nil"/>
            </w:tcBorders>
            <w:shd w:val="clear" w:color="auto" w:fill="auto"/>
            <w:noWrap/>
            <w:vAlign w:val="center"/>
            <w:hideMark/>
          </w:tcPr>
          <w:p w14:paraId="54B8E7D9" w14:textId="77777777" w:rsidR="00532835" w:rsidRPr="00FA7C72" w:rsidRDefault="00532835" w:rsidP="007674BE">
            <w:pPr>
              <w:rPr>
                <w:color w:val="000000"/>
                <w:sz w:val="16"/>
                <w:szCs w:val="16"/>
              </w:rPr>
            </w:pPr>
            <w:r w:rsidRPr="00FA7C72">
              <w:rPr>
                <w:color w:val="000000"/>
                <w:sz w:val="16"/>
                <w:szCs w:val="16"/>
              </w:rPr>
              <w:t>SI</w:t>
            </w:r>
            <w:r w:rsidRPr="00FA7C72">
              <w:rPr>
                <w:color w:val="000000"/>
                <w:sz w:val="16"/>
                <w:szCs w:val="16"/>
              </w:rPr>
              <w:sym w:font="Wingdings" w:char="F0E0"/>
            </w:r>
            <w:r w:rsidRPr="00FA7C72">
              <w:rPr>
                <w:color w:val="000000"/>
                <w:sz w:val="16"/>
                <w:szCs w:val="16"/>
              </w:rPr>
              <w:t>CVC</w:t>
            </w:r>
          </w:p>
        </w:tc>
        <w:tc>
          <w:tcPr>
            <w:tcW w:w="397" w:type="dxa"/>
            <w:tcBorders>
              <w:top w:val="nil"/>
              <w:left w:val="nil"/>
              <w:bottom w:val="nil"/>
              <w:right w:val="nil"/>
            </w:tcBorders>
            <w:shd w:val="clear" w:color="auto" w:fill="auto"/>
            <w:noWrap/>
            <w:vAlign w:val="center"/>
            <w:hideMark/>
          </w:tcPr>
          <w:p w14:paraId="54A3446D" w14:textId="77777777" w:rsidR="00532835" w:rsidRPr="00FA7C72" w:rsidRDefault="00532835" w:rsidP="007674BE">
            <w:pPr>
              <w:jc w:val="center"/>
              <w:rPr>
                <w:color w:val="000000"/>
                <w:sz w:val="16"/>
                <w:szCs w:val="16"/>
              </w:rPr>
            </w:pPr>
            <w:r w:rsidRPr="00FA7C72">
              <w:rPr>
                <w:color w:val="000000"/>
                <w:sz w:val="16"/>
                <w:szCs w:val="16"/>
              </w:rPr>
              <w:t>0.2948</w:t>
            </w:r>
          </w:p>
        </w:tc>
        <w:tc>
          <w:tcPr>
            <w:tcW w:w="397" w:type="dxa"/>
            <w:tcBorders>
              <w:top w:val="nil"/>
              <w:left w:val="nil"/>
              <w:bottom w:val="nil"/>
              <w:right w:val="nil"/>
            </w:tcBorders>
            <w:shd w:val="clear" w:color="auto" w:fill="auto"/>
            <w:noWrap/>
            <w:vAlign w:val="center"/>
            <w:hideMark/>
          </w:tcPr>
          <w:p w14:paraId="1684E636" w14:textId="77777777" w:rsidR="00532835" w:rsidRPr="00FA7C72" w:rsidRDefault="00532835" w:rsidP="007674BE">
            <w:pPr>
              <w:jc w:val="right"/>
              <w:rPr>
                <w:color w:val="000000"/>
                <w:sz w:val="16"/>
                <w:szCs w:val="16"/>
              </w:rPr>
            </w:pPr>
            <w:r w:rsidRPr="00FA7C72">
              <w:rPr>
                <w:color w:val="000000"/>
                <w:sz w:val="16"/>
                <w:szCs w:val="16"/>
              </w:rPr>
              <w:t>0.0434</w:t>
            </w:r>
          </w:p>
        </w:tc>
        <w:tc>
          <w:tcPr>
            <w:tcW w:w="445" w:type="dxa"/>
            <w:tcBorders>
              <w:top w:val="nil"/>
              <w:left w:val="nil"/>
              <w:bottom w:val="nil"/>
              <w:right w:val="nil"/>
            </w:tcBorders>
            <w:shd w:val="clear" w:color="auto" w:fill="auto"/>
            <w:noWrap/>
            <w:vAlign w:val="center"/>
            <w:hideMark/>
          </w:tcPr>
          <w:p w14:paraId="03806C94" w14:textId="77777777" w:rsidR="00532835" w:rsidRPr="00FA7C72" w:rsidRDefault="00532835" w:rsidP="007674BE">
            <w:pPr>
              <w:jc w:val="right"/>
              <w:rPr>
                <w:color w:val="000000"/>
                <w:sz w:val="16"/>
                <w:szCs w:val="16"/>
              </w:rPr>
            </w:pPr>
            <w:r w:rsidRPr="00FA7C72">
              <w:rPr>
                <w:color w:val="000000"/>
                <w:sz w:val="16"/>
                <w:szCs w:val="16"/>
              </w:rPr>
              <w:t>6.795</w:t>
            </w:r>
          </w:p>
        </w:tc>
        <w:tc>
          <w:tcPr>
            <w:tcW w:w="397" w:type="dxa"/>
            <w:tcBorders>
              <w:top w:val="nil"/>
              <w:left w:val="nil"/>
              <w:bottom w:val="nil"/>
              <w:right w:val="nil"/>
            </w:tcBorders>
            <w:shd w:val="clear" w:color="auto" w:fill="auto"/>
            <w:noWrap/>
            <w:vAlign w:val="center"/>
            <w:hideMark/>
          </w:tcPr>
          <w:p w14:paraId="70D21DC3" w14:textId="77777777" w:rsidR="00532835" w:rsidRPr="00FA7C72" w:rsidRDefault="00532835" w:rsidP="007674BE">
            <w:pPr>
              <w:jc w:val="center"/>
              <w:rPr>
                <w:color w:val="000000"/>
                <w:sz w:val="16"/>
                <w:szCs w:val="16"/>
              </w:rPr>
            </w:pPr>
            <w:r w:rsidRPr="00FA7C72">
              <w:rPr>
                <w:color w:val="000000"/>
                <w:sz w:val="16"/>
                <w:szCs w:val="16"/>
              </w:rPr>
              <w:t>0.000</w:t>
            </w:r>
          </w:p>
        </w:tc>
        <w:tc>
          <w:tcPr>
            <w:tcW w:w="397" w:type="dxa"/>
            <w:tcBorders>
              <w:top w:val="nil"/>
              <w:left w:val="nil"/>
              <w:bottom w:val="nil"/>
              <w:right w:val="nil"/>
            </w:tcBorders>
            <w:shd w:val="clear" w:color="auto" w:fill="auto"/>
            <w:noWrap/>
            <w:vAlign w:val="center"/>
            <w:hideMark/>
          </w:tcPr>
          <w:p w14:paraId="47CCC44A" w14:textId="77777777" w:rsidR="00532835" w:rsidRPr="00FA7C72" w:rsidRDefault="00532835" w:rsidP="007674BE">
            <w:pPr>
              <w:jc w:val="right"/>
              <w:rPr>
                <w:color w:val="000000"/>
                <w:sz w:val="16"/>
                <w:szCs w:val="16"/>
              </w:rPr>
            </w:pPr>
            <w:r w:rsidRPr="00FA7C72">
              <w:rPr>
                <w:color w:val="000000"/>
                <w:sz w:val="16"/>
                <w:szCs w:val="16"/>
              </w:rPr>
              <w:t>0.2096</w:t>
            </w:r>
          </w:p>
        </w:tc>
        <w:tc>
          <w:tcPr>
            <w:tcW w:w="397" w:type="dxa"/>
            <w:tcBorders>
              <w:top w:val="nil"/>
              <w:left w:val="nil"/>
              <w:bottom w:val="nil"/>
              <w:right w:val="nil"/>
            </w:tcBorders>
            <w:shd w:val="clear" w:color="auto" w:fill="auto"/>
            <w:noWrap/>
            <w:vAlign w:val="center"/>
            <w:hideMark/>
          </w:tcPr>
          <w:p w14:paraId="15932DDE" w14:textId="77777777" w:rsidR="00532835" w:rsidRPr="00FA7C72" w:rsidRDefault="00532835" w:rsidP="007674BE">
            <w:pPr>
              <w:jc w:val="right"/>
              <w:rPr>
                <w:color w:val="000000"/>
                <w:sz w:val="16"/>
                <w:szCs w:val="16"/>
              </w:rPr>
            </w:pPr>
            <w:r w:rsidRPr="00FA7C72">
              <w:rPr>
                <w:color w:val="000000"/>
                <w:sz w:val="16"/>
                <w:szCs w:val="16"/>
              </w:rPr>
              <w:t>0.3801</w:t>
            </w:r>
          </w:p>
        </w:tc>
      </w:tr>
      <w:tr w:rsidR="00532835" w:rsidRPr="00FA7C72" w14:paraId="0C0412D3" w14:textId="77777777" w:rsidTr="007674BE">
        <w:trPr>
          <w:trHeight w:val="255"/>
        </w:trPr>
        <w:tc>
          <w:tcPr>
            <w:tcW w:w="581" w:type="dxa"/>
            <w:tcBorders>
              <w:top w:val="nil"/>
              <w:left w:val="nil"/>
              <w:bottom w:val="nil"/>
              <w:right w:val="nil"/>
            </w:tcBorders>
            <w:shd w:val="clear" w:color="auto" w:fill="auto"/>
            <w:noWrap/>
            <w:vAlign w:val="center"/>
            <w:hideMark/>
          </w:tcPr>
          <w:p w14:paraId="790E6DC9" w14:textId="77777777" w:rsidR="00532835" w:rsidRPr="00FA7C72" w:rsidRDefault="00532835" w:rsidP="007674BE">
            <w:pPr>
              <w:rPr>
                <w:color w:val="000000"/>
                <w:sz w:val="16"/>
                <w:szCs w:val="16"/>
              </w:rPr>
            </w:pPr>
            <w:r w:rsidRPr="00FA7C72">
              <w:rPr>
                <w:color w:val="000000"/>
                <w:sz w:val="16"/>
                <w:szCs w:val="16"/>
              </w:rPr>
              <w:t>SDI</w:t>
            </w:r>
            <w:r w:rsidRPr="00FA7C72">
              <w:rPr>
                <w:color w:val="000000"/>
                <w:sz w:val="16"/>
                <w:szCs w:val="16"/>
              </w:rPr>
              <w:sym w:font="Wingdings" w:char="F0E0"/>
            </w:r>
            <w:r w:rsidRPr="00FA7C72">
              <w:rPr>
                <w:color w:val="000000"/>
                <w:sz w:val="16"/>
                <w:szCs w:val="16"/>
              </w:rPr>
              <w:t xml:space="preserve">CVC       </w:t>
            </w:r>
          </w:p>
        </w:tc>
        <w:tc>
          <w:tcPr>
            <w:tcW w:w="397" w:type="dxa"/>
            <w:tcBorders>
              <w:top w:val="nil"/>
              <w:left w:val="nil"/>
              <w:bottom w:val="nil"/>
              <w:right w:val="nil"/>
            </w:tcBorders>
            <w:shd w:val="clear" w:color="auto" w:fill="auto"/>
            <w:noWrap/>
            <w:vAlign w:val="center"/>
            <w:hideMark/>
          </w:tcPr>
          <w:p w14:paraId="3996B3F4" w14:textId="77777777" w:rsidR="00532835" w:rsidRPr="00FA7C72" w:rsidRDefault="00532835" w:rsidP="007674BE">
            <w:pPr>
              <w:jc w:val="center"/>
              <w:rPr>
                <w:color w:val="000000"/>
                <w:sz w:val="16"/>
                <w:szCs w:val="16"/>
              </w:rPr>
            </w:pPr>
            <w:r w:rsidRPr="00FA7C72">
              <w:rPr>
                <w:color w:val="000000"/>
                <w:sz w:val="16"/>
                <w:szCs w:val="16"/>
              </w:rPr>
              <w:t>0.4534</w:t>
            </w:r>
          </w:p>
        </w:tc>
        <w:tc>
          <w:tcPr>
            <w:tcW w:w="397" w:type="dxa"/>
            <w:tcBorders>
              <w:top w:val="nil"/>
              <w:left w:val="nil"/>
              <w:bottom w:val="nil"/>
              <w:right w:val="nil"/>
            </w:tcBorders>
            <w:shd w:val="clear" w:color="auto" w:fill="auto"/>
            <w:noWrap/>
            <w:vAlign w:val="center"/>
            <w:hideMark/>
          </w:tcPr>
          <w:p w14:paraId="65825BE6" w14:textId="77777777" w:rsidR="00532835" w:rsidRPr="00FA7C72" w:rsidRDefault="00532835" w:rsidP="007674BE">
            <w:pPr>
              <w:jc w:val="right"/>
              <w:rPr>
                <w:color w:val="000000"/>
                <w:sz w:val="16"/>
                <w:szCs w:val="16"/>
              </w:rPr>
            </w:pPr>
            <w:r w:rsidRPr="00FA7C72">
              <w:rPr>
                <w:color w:val="000000"/>
                <w:sz w:val="16"/>
                <w:szCs w:val="16"/>
              </w:rPr>
              <w:t>0.0441</w:t>
            </w:r>
          </w:p>
        </w:tc>
        <w:tc>
          <w:tcPr>
            <w:tcW w:w="445" w:type="dxa"/>
            <w:tcBorders>
              <w:top w:val="nil"/>
              <w:left w:val="nil"/>
              <w:bottom w:val="nil"/>
              <w:right w:val="nil"/>
            </w:tcBorders>
            <w:shd w:val="clear" w:color="auto" w:fill="auto"/>
            <w:noWrap/>
            <w:vAlign w:val="center"/>
            <w:hideMark/>
          </w:tcPr>
          <w:p w14:paraId="550C729A" w14:textId="77777777" w:rsidR="00532835" w:rsidRPr="00FA7C72" w:rsidRDefault="00532835" w:rsidP="007674BE">
            <w:pPr>
              <w:jc w:val="right"/>
              <w:rPr>
                <w:color w:val="000000"/>
                <w:sz w:val="16"/>
                <w:szCs w:val="16"/>
              </w:rPr>
            </w:pPr>
            <w:r w:rsidRPr="00FA7C72">
              <w:rPr>
                <w:color w:val="000000"/>
                <w:sz w:val="16"/>
                <w:szCs w:val="16"/>
              </w:rPr>
              <w:t>10.2817</w:t>
            </w:r>
          </w:p>
        </w:tc>
        <w:tc>
          <w:tcPr>
            <w:tcW w:w="397" w:type="dxa"/>
            <w:tcBorders>
              <w:top w:val="nil"/>
              <w:left w:val="nil"/>
              <w:bottom w:val="nil"/>
              <w:right w:val="nil"/>
            </w:tcBorders>
            <w:shd w:val="clear" w:color="auto" w:fill="auto"/>
            <w:noWrap/>
            <w:vAlign w:val="center"/>
            <w:hideMark/>
          </w:tcPr>
          <w:p w14:paraId="599554F0" w14:textId="77777777" w:rsidR="00532835" w:rsidRPr="00FA7C72" w:rsidRDefault="00532835" w:rsidP="007674BE">
            <w:pPr>
              <w:jc w:val="center"/>
              <w:rPr>
                <w:color w:val="000000"/>
                <w:sz w:val="16"/>
                <w:szCs w:val="16"/>
              </w:rPr>
            </w:pPr>
            <w:r w:rsidRPr="00FA7C72">
              <w:rPr>
                <w:color w:val="000000"/>
                <w:sz w:val="16"/>
                <w:szCs w:val="16"/>
              </w:rPr>
              <w:t>0.000</w:t>
            </w:r>
          </w:p>
        </w:tc>
        <w:tc>
          <w:tcPr>
            <w:tcW w:w="397" w:type="dxa"/>
            <w:tcBorders>
              <w:top w:val="nil"/>
              <w:left w:val="nil"/>
              <w:bottom w:val="nil"/>
              <w:right w:val="nil"/>
            </w:tcBorders>
            <w:shd w:val="clear" w:color="auto" w:fill="auto"/>
            <w:noWrap/>
            <w:vAlign w:val="center"/>
            <w:hideMark/>
          </w:tcPr>
          <w:p w14:paraId="50E8509B" w14:textId="77777777" w:rsidR="00532835" w:rsidRPr="00FA7C72" w:rsidRDefault="00532835" w:rsidP="007674BE">
            <w:pPr>
              <w:jc w:val="right"/>
              <w:rPr>
                <w:color w:val="000000"/>
                <w:sz w:val="16"/>
                <w:szCs w:val="16"/>
              </w:rPr>
            </w:pPr>
            <w:r w:rsidRPr="00FA7C72">
              <w:rPr>
                <w:color w:val="000000"/>
                <w:sz w:val="16"/>
                <w:szCs w:val="16"/>
              </w:rPr>
              <w:t>0.3667</w:t>
            </w:r>
          </w:p>
        </w:tc>
        <w:tc>
          <w:tcPr>
            <w:tcW w:w="397" w:type="dxa"/>
            <w:tcBorders>
              <w:top w:val="nil"/>
              <w:left w:val="nil"/>
              <w:bottom w:val="nil"/>
              <w:right w:val="nil"/>
            </w:tcBorders>
            <w:shd w:val="clear" w:color="auto" w:fill="auto"/>
            <w:noWrap/>
            <w:vAlign w:val="center"/>
            <w:hideMark/>
          </w:tcPr>
          <w:p w14:paraId="7B6926D7" w14:textId="77777777" w:rsidR="00532835" w:rsidRPr="00FA7C72" w:rsidRDefault="00532835" w:rsidP="007674BE">
            <w:pPr>
              <w:jc w:val="right"/>
              <w:rPr>
                <w:color w:val="000000"/>
                <w:sz w:val="16"/>
                <w:szCs w:val="16"/>
              </w:rPr>
            </w:pPr>
            <w:r w:rsidRPr="00FA7C72">
              <w:rPr>
                <w:color w:val="000000"/>
                <w:sz w:val="16"/>
                <w:szCs w:val="16"/>
              </w:rPr>
              <w:t>0.5401</w:t>
            </w:r>
          </w:p>
        </w:tc>
      </w:tr>
      <w:tr w:rsidR="00532835" w:rsidRPr="00FA7C72" w14:paraId="25B67D90" w14:textId="77777777" w:rsidTr="007674BE">
        <w:trPr>
          <w:trHeight w:val="255"/>
        </w:trPr>
        <w:tc>
          <w:tcPr>
            <w:tcW w:w="581" w:type="dxa"/>
            <w:tcBorders>
              <w:top w:val="nil"/>
              <w:left w:val="nil"/>
              <w:bottom w:val="single" w:sz="4" w:space="0" w:color="auto"/>
              <w:right w:val="nil"/>
            </w:tcBorders>
            <w:shd w:val="clear" w:color="auto" w:fill="auto"/>
            <w:noWrap/>
            <w:vAlign w:val="center"/>
            <w:hideMark/>
          </w:tcPr>
          <w:p w14:paraId="1352E0ED" w14:textId="77777777" w:rsidR="00532835" w:rsidRPr="00FA7C72" w:rsidRDefault="00532835" w:rsidP="007674BE">
            <w:pPr>
              <w:rPr>
                <w:color w:val="000000"/>
                <w:sz w:val="16"/>
                <w:szCs w:val="16"/>
              </w:rPr>
            </w:pPr>
            <w:r w:rsidRPr="00FA7C72">
              <w:rPr>
                <w:color w:val="000000"/>
                <w:sz w:val="16"/>
                <w:szCs w:val="16"/>
              </w:rPr>
              <w:t xml:space="preserve">Int_1          </w:t>
            </w:r>
          </w:p>
        </w:tc>
        <w:tc>
          <w:tcPr>
            <w:tcW w:w="397" w:type="dxa"/>
            <w:tcBorders>
              <w:top w:val="nil"/>
              <w:left w:val="nil"/>
              <w:bottom w:val="single" w:sz="4" w:space="0" w:color="auto"/>
              <w:right w:val="nil"/>
            </w:tcBorders>
            <w:shd w:val="clear" w:color="auto" w:fill="auto"/>
            <w:noWrap/>
            <w:vAlign w:val="center"/>
            <w:hideMark/>
          </w:tcPr>
          <w:p w14:paraId="6D8BA761" w14:textId="77777777" w:rsidR="00532835" w:rsidRPr="00FA7C72" w:rsidRDefault="00532835" w:rsidP="007674BE">
            <w:pPr>
              <w:jc w:val="center"/>
              <w:rPr>
                <w:color w:val="000000"/>
                <w:sz w:val="16"/>
                <w:szCs w:val="16"/>
              </w:rPr>
            </w:pPr>
            <w:r w:rsidRPr="00FA7C72">
              <w:rPr>
                <w:color w:val="000000"/>
                <w:sz w:val="16"/>
                <w:szCs w:val="16"/>
              </w:rPr>
              <w:t>0.568</w:t>
            </w:r>
          </w:p>
        </w:tc>
        <w:tc>
          <w:tcPr>
            <w:tcW w:w="397" w:type="dxa"/>
            <w:tcBorders>
              <w:top w:val="nil"/>
              <w:left w:val="nil"/>
              <w:bottom w:val="single" w:sz="4" w:space="0" w:color="auto"/>
              <w:right w:val="nil"/>
            </w:tcBorders>
            <w:shd w:val="clear" w:color="auto" w:fill="auto"/>
            <w:noWrap/>
            <w:vAlign w:val="center"/>
            <w:hideMark/>
          </w:tcPr>
          <w:p w14:paraId="21A138CA" w14:textId="77777777" w:rsidR="00532835" w:rsidRPr="00FA7C72" w:rsidRDefault="00532835" w:rsidP="007674BE">
            <w:pPr>
              <w:jc w:val="right"/>
              <w:rPr>
                <w:color w:val="000000"/>
                <w:sz w:val="16"/>
                <w:szCs w:val="16"/>
              </w:rPr>
            </w:pPr>
            <w:r w:rsidRPr="00FA7C72">
              <w:rPr>
                <w:color w:val="000000"/>
                <w:sz w:val="16"/>
                <w:szCs w:val="16"/>
              </w:rPr>
              <w:t>0.0283</w:t>
            </w:r>
          </w:p>
        </w:tc>
        <w:tc>
          <w:tcPr>
            <w:tcW w:w="445" w:type="dxa"/>
            <w:tcBorders>
              <w:top w:val="nil"/>
              <w:left w:val="nil"/>
              <w:bottom w:val="single" w:sz="4" w:space="0" w:color="auto"/>
              <w:right w:val="nil"/>
            </w:tcBorders>
            <w:shd w:val="clear" w:color="auto" w:fill="auto"/>
            <w:noWrap/>
            <w:vAlign w:val="center"/>
            <w:hideMark/>
          </w:tcPr>
          <w:p w14:paraId="410C5D4C" w14:textId="77777777" w:rsidR="00532835" w:rsidRPr="00FA7C72" w:rsidRDefault="00532835" w:rsidP="007674BE">
            <w:pPr>
              <w:jc w:val="right"/>
              <w:rPr>
                <w:color w:val="000000"/>
                <w:sz w:val="16"/>
                <w:szCs w:val="16"/>
              </w:rPr>
            </w:pPr>
            <w:r w:rsidRPr="00FA7C72">
              <w:rPr>
                <w:color w:val="000000"/>
                <w:sz w:val="16"/>
                <w:szCs w:val="16"/>
              </w:rPr>
              <w:t>2.0068</w:t>
            </w:r>
          </w:p>
        </w:tc>
        <w:tc>
          <w:tcPr>
            <w:tcW w:w="397" w:type="dxa"/>
            <w:tcBorders>
              <w:top w:val="nil"/>
              <w:left w:val="nil"/>
              <w:bottom w:val="single" w:sz="4" w:space="0" w:color="auto"/>
              <w:right w:val="nil"/>
            </w:tcBorders>
            <w:shd w:val="clear" w:color="auto" w:fill="auto"/>
            <w:noWrap/>
            <w:vAlign w:val="center"/>
            <w:hideMark/>
          </w:tcPr>
          <w:p w14:paraId="12640421" w14:textId="77777777" w:rsidR="00532835" w:rsidRPr="00FA7C72" w:rsidRDefault="00532835" w:rsidP="007674BE">
            <w:pPr>
              <w:jc w:val="center"/>
              <w:rPr>
                <w:color w:val="000000"/>
                <w:sz w:val="16"/>
                <w:szCs w:val="16"/>
              </w:rPr>
            </w:pPr>
            <w:r w:rsidRPr="00FA7C72">
              <w:rPr>
                <w:color w:val="000000"/>
                <w:sz w:val="16"/>
                <w:szCs w:val="16"/>
              </w:rPr>
              <w:t>0.0454</w:t>
            </w:r>
          </w:p>
        </w:tc>
        <w:tc>
          <w:tcPr>
            <w:tcW w:w="397" w:type="dxa"/>
            <w:tcBorders>
              <w:top w:val="nil"/>
              <w:left w:val="nil"/>
              <w:bottom w:val="single" w:sz="4" w:space="0" w:color="auto"/>
              <w:right w:val="nil"/>
            </w:tcBorders>
            <w:shd w:val="clear" w:color="auto" w:fill="auto"/>
            <w:noWrap/>
            <w:vAlign w:val="center"/>
            <w:hideMark/>
          </w:tcPr>
          <w:p w14:paraId="21FF1F76" w14:textId="77777777" w:rsidR="00532835" w:rsidRPr="00FA7C72" w:rsidRDefault="00532835" w:rsidP="007674BE">
            <w:pPr>
              <w:jc w:val="right"/>
              <w:rPr>
                <w:color w:val="000000"/>
                <w:sz w:val="16"/>
                <w:szCs w:val="16"/>
              </w:rPr>
            </w:pPr>
            <w:r w:rsidRPr="00FA7C72">
              <w:rPr>
                <w:color w:val="000000"/>
                <w:sz w:val="16"/>
                <w:szCs w:val="16"/>
              </w:rPr>
              <w:t>0.0012</w:t>
            </w:r>
          </w:p>
        </w:tc>
        <w:tc>
          <w:tcPr>
            <w:tcW w:w="397" w:type="dxa"/>
            <w:tcBorders>
              <w:top w:val="nil"/>
              <w:left w:val="nil"/>
              <w:bottom w:val="single" w:sz="4" w:space="0" w:color="auto"/>
              <w:right w:val="nil"/>
            </w:tcBorders>
            <w:shd w:val="clear" w:color="auto" w:fill="auto"/>
            <w:noWrap/>
            <w:vAlign w:val="center"/>
            <w:hideMark/>
          </w:tcPr>
          <w:p w14:paraId="5366B18E" w14:textId="77777777" w:rsidR="00532835" w:rsidRPr="00FA7C72" w:rsidRDefault="00532835" w:rsidP="007674BE">
            <w:pPr>
              <w:jc w:val="right"/>
              <w:rPr>
                <w:color w:val="000000"/>
                <w:sz w:val="16"/>
                <w:szCs w:val="16"/>
              </w:rPr>
            </w:pPr>
            <w:r w:rsidRPr="00FA7C72">
              <w:rPr>
                <w:color w:val="000000"/>
                <w:sz w:val="16"/>
                <w:szCs w:val="16"/>
              </w:rPr>
              <w:t>0.1125</w:t>
            </w:r>
          </w:p>
        </w:tc>
      </w:tr>
    </w:tbl>
    <w:bookmarkEnd w:id="16"/>
    <w:bookmarkEnd w:id="17"/>
    <w:p w14:paraId="64FBC325" w14:textId="77777777" w:rsidR="00532835" w:rsidRPr="00FA7C72" w:rsidRDefault="00532835" w:rsidP="00532835">
      <w:pPr>
        <w:jc w:val="both"/>
        <w:rPr>
          <w:color w:val="000000"/>
          <w:sz w:val="16"/>
          <w:szCs w:val="16"/>
        </w:rPr>
      </w:pPr>
      <w:r w:rsidRPr="00FA7C72">
        <w:rPr>
          <w:color w:val="000000"/>
          <w:sz w:val="16"/>
          <w:szCs w:val="16"/>
        </w:rPr>
        <w:t>(SI – Service Innovation; SDI – Service Delivery Innovation; CVC – Customer Value Creation)</w:t>
      </w:r>
    </w:p>
    <w:p w14:paraId="79521DB0" w14:textId="77777777" w:rsidR="00532835" w:rsidRDefault="00532835" w:rsidP="00427835">
      <w:pPr>
        <w:jc w:val="both"/>
      </w:pPr>
    </w:p>
    <w:p w14:paraId="49399BDA" w14:textId="67E5E369" w:rsidR="003A4C45" w:rsidRDefault="003A4C45" w:rsidP="00427835">
      <w:pPr>
        <w:jc w:val="both"/>
      </w:pPr>
      <w:r w:rsidRPr="00B13BCD">
        <w:t xml:space="preserve">The interaction term was statistically significant in the regression model, and as the interaction, is probed further by computing conditional effects and then testing them for statistical significance. These are referred to as slopes, and these are the slopes for the effect of SI on CVC at one standard deviation below the mean on SDI, at the mean, and one standard deviation above the mean on SDI. </w:t>
      </w:r>
    </w:p>
    <w:p w14:paraId="65F0C715" w14:textId="77777777" w:rsidR="009E1C18" w:rsidRDefault="009E1C18" w:rsidP="00427835">
      <w:pPr>
        <w:jc w:val="both"/>
        <w:rPr>
          <w:sz w:val="16"/>
          <w:szCs w:val="16"/>
        </w:rPr>
      </w:pPr>
    </w:p>
    <w:p w14:paraId="17E1D6B2" w14:textId="77777777" w:rsidR="009E1C18" w:rsidRDefault="009E1C18" w:rsidP="00427835">
      <w:pPr>
        <w:jc w:val="both"/>
        <w:rPr>
          <w:sz w:val="16"/>
          <w:szCs w:val="16"/>
        </w:rPr>
      </w:pPr>
    </w:p>
    <w:p w14:paraId="2CE2B827" w14:textId="5BA10171" w:rsidR="00532835" w:rsidRPr="009E1C18" w:rsidRDefault="009E1C18" w:rsidP="00B0761E">
      <w:pPr>
        <w:jc w:val="center"/>
        <w:rPr>
          <w:sz w:val="16"/>
          <w:szCs w:val="16"/>
        </w:rPr>
      </w:pPr>
      <w:bookmarkStart w:id="18" w:name="_Hlk179969028"/>
      <w:r w:rsidRPr="000D3295">
        <w:t>TABLE VII: CONDITIONAL EFFECTS OF THE FOCAL PREDICTOR AT VALUES OF THE MODERATOR</w:t>
      </w:r>
    </w:p>
    <w:tbl>
      <w:tblPr>
        <w:tblW w:w="4395" w:type="dxa"/>
        <w:jc w:val="center"/>
        <w:tblLook w:val="04A0" w:firstRow="1" w:lastRow="0" w:firstColumn="1" w:lastColumn="0" w:noHBand="0" w:noVBand="1"/>
      </w:tblPr>
      <w:tblGrid>
        <w:gridCol w:w="567"/>
        <w:gridCol w:w="567"/>
        <w:gridCol w:w="709"/>
        <w:gridCol w:w="567"/>
        <w:gridCol w:w="709"/>
        <w:gridCol w:w="567"/>
        <w:gridCol w:w="709"/>
      </w:tblGrid>
      <w:tr w:rsidR="00B0761E" w:rsidRPr="00FA7C72" w14:paraId="4910A650" w14:textId="77777777" w:rsidTr="00B0761E">
        <w:trPr>
          <w:trHeight w:val="239"/>
          <w:jc w:val="center"/>
        </w:trPr>
        <w:tc>
          <w:tcPr>
            <w:tcW w:w="567"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6A86810" w14:textId="77777777" w:rsidR="00532835" w:rsidRPr="00FA7C72" w:rsidRDefault="00532835" w:rsidP="007674BE">
            <w:pPr>
              <w:jc w:val="center"/>
              <w:rPr>
                <w:b/>
                <w:bCs/>
                <w:color w:val="000000"/>
                <w:sz w:val="16"/>
                <w:szCs w:val="16"/>
              </w:rPr>
            </w:pPr>
            <w:bookmarkStart w:id="19" w:name="_Hlk109796833"/>
            <w:r w:rsidRPr="00FA7C72">
              <w:rPr>
                <w:b/>
                <w:bCs/>
                <w:color w:val="000000"/>
                <w:sz w:val="16"/>
                <w:szCs w:val="16"/>
              </w:rPr>
              <w:t>SDI</w:t>
            </w:r>
          </w:p>
        </w:tc>
        <w:tc>
          <w:tcPr>
            <w:tcW w:w="567"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5ACE03D" w14:textId="77777777" w:rsidR="00532835" w:rsidRPr="00FA7C72" w:rsidRDefault="00532835" w:rsidP="007674BE">
            <w:pPr>
              <w:jc w:val="center"/>
              <w:rPr>
                <w:b/>
                <w:bCs/>
                <w:color w:val="000000"/>
                <w:sz w:val="16"/>
                <w:szCs w:val="16"/>
              </w:rPr>
            </w:pPr>
            <w:r w:rsidRPr="00FA7C72">
              <w:rPr>
                <w:b/>
                <w:bCs/>
                <w:color w:val="000000"/>
                <w:sz w:val="16"/>
                <w:szCs w:val="16"/>
              </w:rPr>
              <w:t>Effect</w:t>
            </w:r>
          </w:p>
        </w:tc>
        <w:tc>
          <w:tcPr>
            <w:tcW w:w="709"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423675D" w14:textId="77777777" w:rsidR="00532835" w:rsidRPr="00FA7C72" w:rsidRDefault="00532835" w:rsidP="007674BE">
            <w:pPr>
              <w:jc w:val="center"/>
              <w:rPr>
                <w:b/>
                <w:bCs/>
                <w:color w:val="000000"/>
                <w:sz w:val="16"/>
                <w:szCs w:val="16"/>
              </w:rPr>
            </w:pPr>
            <w:r w:rsidRPr="00FA7C72">
              <w:rPr>
                <w:b/>
                <w:bCs/>
                <w:color w:val="000000"/>
                <w:sz w:val="16"/>
                <w:szCs w:val="16"/>
              </w:rPr>
              <w:t>se</w:t>
            </w:r>
          </w:p>
        </w:tc>
        <w:tc>
          <w:tcPr>
            <w:tcW w:w="567"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D414782" w14:textId="77777777" w:rsidR="00532835" w:rsidRPr="00FA7C72" w:rsidRDefault="00532835" w:rsidP="007674BE">
            <w:pPr>
              <w:jc w:val="center"/>
              <w:rPr>
                <w:b/>
                <w:bCs/>
                <w:color w:val="000000"/>
                <w:sz w:val="16"/>
                <w:szCs w:val="16"/>
              </w:rPr>
            </w:pPr>
            <w:r w:rsidRPr="00FA7C72">
              <w:rPr>
                <w:b/>
                <w:bCs/>
                <w:color w:val="000000"/>
                <w:sz w:val="16"/>
                <w:szCs w:val="16"/>
              </w:rPr>
              <w:t>t</w:t>
            </w:r>
          </w:p>
        </w:tc>
        <w:tc>
          <w:tcPr>
            <w:tcW w:w="709"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C610F36" w14:textId="77777777" w:rsidR="00532835" w:rsidRPr="00FA7C72" w:rsidRDefault="00532835" w:rsidP="007674BE">
            <w:pPr>
              <w:jc w:val="center"/>
              <w:rPr>
                <w:b/>
                <w:bCs/>
                <w:color w:val="000000"/>
                <w:sz w:val="16"/>
                <w:szCs w:val="16"/>
              </w:rPr>
            </w:pPr>
            <w:r w:rsidRPr="00FA7C72">
              <w:rPr>
                <w:b/>
                <w:bCs/>
                <w:color w:val="000000"/>
                <w:sz w:val="16"/>
                <w:szCs w:val="16"/>
              </w:rPr>
              <w:t>p-value</w:t>
            </w:r>
          </w:p>
        </w:tc>
        <w:tc>
          <w:tcPr>
            <w:tcW w:w="567"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02913AF3" w14:textId="77777777" w:rsidR="00532835" w:rsidRPr="00FA7C72" w:rsidRDefault="00532835" w:rsidP="007674BE">
            <w:pPr>
              <w:jc w:val="center"/>
              <w:rPr>
                <w:b/>
                <w:bCs/>
                <w:color w:val="000000"/>
                <w:sz w:val="16"/>
                <w:szCs w:val="16"/>
              </w:rPr>
            </w:pPr>
            <w:r w:rsidRPr="00FA7C72">
              <w:rPr>
                <w:b/>
                <w:bCs/>
                <w:color w:val="000000"/>
                <w:sz w:val="16"/>
                <w:szCs w:val="16"/>
              </w:rPr>
              <w:t>LLCI</w:t>
            </w:r>
          </w:p>
        </w:tc>
        <w:tc>
          <w:tcPr>
            <w:tcW w:w="709"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88F35D3" w14:textId="77777777" w:rsidR="00532835" w:rsidRPr="00FA7C72" w:rsidRDefault="00532835" w:rsidP="007674BE">
            <w:pPr>
              <w:jc w:val="center"/>
              <w:rPr>
                <w:b/>
                <w:bCs/>
                <w:color w:val="000000"/>
                <w:sz w:val="16"/>
                <w:szCs w:val="16"/>
              </w:rPr>
            </w:pPr>
            <w:r w:rsidRPr="00FA7C72">
              <w:rPr>
                <w:b/>
                <w:bCs/>
                <w:color w:val="000000"/>
                <w:sz w:val="16"/>
                <w:szCs w:val="16"/>
              </w:rPr>
              <w:t>ULCI</w:t>
            </w:r>
          </w:p>
        </w:tc>
      </w:tr>
      <w:tr w:rsidR="00B0761E" w:rsidRPr="00FA7C72" w14:paraId="63C64FD0" w14:textId="77777777" w:rsidTr="00B0761E">
        <w:trPr>
          <w:trHeight w:val="292"/>
          <w:jc w:val="center"/>
        </w:trPr>
        <w:tc>
          <w:tcPr>
            <w:tcW w:w="567" w:type="dxa"/>
            <w:tcBorders>
              <w:top w:val="nil"/>
              <w:left w:val="nil"/>
              <w:bottom w:val="nil"/>
              <w:right w:val="nil"/>
            </w:tcBorders>
            <w:shd w:val="clear" w:color="auto" w:fill="auto"/>
            <w:noWrap/>
            <w:tcMar>
              <w:left w:w="28" w:type="dxa"/>
              <w:right w:w="28" w:type="dxa"/>
            </w:tcMar>
            <w:vAlign w:val="center"/>
            <w:hideMark/>
          </w:tcPr>
          <w:p w14:paraId="1EC9208F" w14:textId="77777777" w:rsidR="00532835" w:rsidRPr="00FA7C72" w:rsidRDefault="00532835" w:rsidP="007674BE">
            <w:pPr>
              <w:jc w:val="center"/>
              <w:rPr>
                <w:color w:val="000000"/>
                <w:sz w:val="16"/>
                <w:szCs w:val="16"/>
              </w:rPr>
            </w:pPr>
            <w:r w:rsidRPr="00FA7C72">
              <w:rPr>
                <w:color w:val="000000"/>
                <w:sz w:val="16"/>
                <w:szCs w:val="16"/>
              </w:rPr>
              <w:lastRenderedPageBreak/>
              <w:t>-1.000</w:t>
            </w:r>
          </w:p>
        </w:tc>
        <w:tc>
          <w:tcPr>
            <w:tcW w:w="567" w:type="dxa"/>
            <w:tcBorders>
              <w:top w:val="nil"/>
              <w:left w:val="nil"/>
              <w:bottom w:val="nil"/>
              <w:right w:val="nil"/>
            </w:tcBorders>
            <w:shd w:val="clear" w:color="auto" w:fill="auto"/>
            <w:noWrap/>
            <w:tcMar>
              <w:left w:w="28" w:type="dxa"/>
              <w:right w:w="28" w:type="dxa"/>
            </w:tcMar>
            <w:vAlign w:val="center"/>
            <w:hideMark/>
          </w:tcPr>
          <w:p w14:paraId="24F2CB18" w14:textId="77777777" w:rsidR="00532835" w:rsidRPr="00FA7C72" w:rsidRDefault="00532835" w:rsidP="007674BE">
            <w:pPr>
              <w:jc w:val="center"/>
              <w:rPr>
                <w:color w:val="000000"/>
                <w:sz w:val="16"/>
                <w:szCs w:val="16"/>
              </w:rPr>
            </w:pPr>
            <w:r w:rsidRPr="00FA7C72">
              <w:rPr>
                <w:color w:val="000000"/>
                <w:sz w:val="16"/>
                <w:szCs w:val="16"/>
              </w:rPr>
              <w:t>0.2380</w:t>
            </w:r>
          </w:p>
        </w:tc>
        <w:tc>
          <w:tcPr>
            <w:tcW w:w="709" w:type="dxa"/>
            <w:tcBorders>
              <w:top w:val="nil"/>
              <w:left w:val="nil"/>
              <w:bottom w:val="nil"/>
              <w:right w:val="nil"/>
            </w:tcBorders>
            <w:shd w:val="clear" w:color="auto" w:fill="auto"/>
            <w:noWrap/>
            <w:tcMar>
              <w:left w:w="28" w:type="dxa"/>
              <w:right w:w="28" w:type="dxa"/>
            </w:tcMar>
            <w:vAlign w:val="center"/>
            <w:hideMark/>
          </w:tcPr>
          <w:p w14:paraId="11661397" w14:textId="77777777" w:rsidR="00532835" w:rsidRPr="00FA7C72" w:rsidRDefault="00532835" w:rsidP="007674BE">
            <w:pPr>
              <w:jc w:val="center"/>
              <w:rPr>
                <w:color w:val="000000"/>
                <w:sz w:val="16"/>
                <w:szCs w:val="16"/>
              </w:rPr>
            </w:pPr>
            <w:r w:rsidRPr="00FA7C72">
              <w:rPr>
                <w:color w:val="000000"/>
                <w:sz w:val="16"/>
                <w:szCs w:val="16"/>
              </w:rPr>
              <w:t>0.0519</w:t>
            </w:r>
          </w:p>
        </w:tc>
        <w:tc>
          <w:tcPr>
            <w:tcW w:w="567" w:type="dxa"/>
            <w:tcBorders>
              <w:top w:val="nil"/>
              <w:left w:val="nil"/>
              <w:bottom w:val="nil"/>
              <w:right w:val="nil"/>
            </w:tcBorders>
            <w:shd w:val="clear" w:color="auto" w:fill="auto"/>
            <w:noWrap/>
            <w:tcMar>
              <w:left w:w="28" w:type="dxa"/>
              <w:right w:w="28" w:type="dxa"/>
            </w:tcMar>
            <w:vAlign w:val="center"/>
            <w:hideMark/>
          </w:tcPr>
          <w:p w14:paraId="140A405B" w14:textId="77777777" w:rsidR="00532835" w:rsidRPr="00FA7C72" w:rsidRDefault="00532835" w:rsidP="007674BE">
            <w:pPr>
              <w:jc w:val="center"/>
              <w:rPr>
                <w:color w:val="000000"/>
                <w:sz w:val="16"/>
                <w:szCs w:val="16"/>
              </w:rPr>
            </w:pPr>
            <w:r w:rsidRPr="00FA7C72">
              <w:rPr>
                <w:color w:val="000000"/>
                <w:sz w:val="16"/>
                <w:szCs w:val="16"/>
              </w:rPr>
              <w:t>4.5832</w:t>
            </w:r>
          </w:p>
        </w:tc>
        <w:tc>
          <w:tcPr>
            <w:tcW w:w="709" w:type="dxa"/>
            <w:tcBorders>
              <w:top w:val="nil"/>
              <w:left w:val="nil"/>
              <w:bottom w:val="nil"/>
              <w:right w:val="nil"/>
            </w:tcBorders>
            <w:shd w:val="clear" w:color="auto" w:fill="auto"/>
            <w:noWrap/>
            <w:tcMar>
              <w:left w:w="28" w:type="dxa"/>
              <w:right w:w="28" w:type="dxa"/>
            </w:tcMar>
            <w:vAlign w:val="center"/>
            <w:hideMark/>
          </w:tcPr>
          <w:p w14:paraId="685394E2" w14:textId="77777777" w:rsidR="00532835" w:rsidRPr="00FA7C72" w:rsidRDefault="00532835" w:rsidP="007674BE">
            <w:pPr>
              <w:jc w:val="center"/>
              <w:rPr>
                <w:color w:val="000000"/>
                <w:sz w:val="16"/>
                <w:szCs w:val="16"/>
              </w:rPr>
            </w:pPr>
            <w:r w:rsidRPr="00FA7C72">
              <w:rPr>
                <w:color w:val="000000"/>
                <w:sz w:val="16"/>
                <w:szCs w:val="16"/>
              </w:rPr>
              <w:t>0.000</w:t>
            </w:r>
          </w:p>
        </w:tc>
        <w:tc>
          <w:tcPr>
            <w:tcW w:w="567" w:type="dxa"/>
            <w:tcBorders>
              <w:top w:val="nil"/>
              <w:left w:val="nil"/>
              <w:bottom w:val="nil"/>
              <w:right w:val="nil"/>
            </w:tcBorders>
            <w:shd w:val="clear" w:color="auto" w:fill="auto"/>
            <w:noWrap/>
            <w:tcMar>
              <w:left w:w="28" w:type="dxa"/>
              <w:right w:w="28" w:type="dxa"/>
            </w:tcMar>
            <w:vAlign w:val="center"/>
            <w:hideMark/>
          </w:tcPr>
          <w:p w14:paraId="69839A49" w14:textId="77777777" w:rsidR="00532835" w:rsidRPr="00FA7C72" w:rsidRDefault="00532835" w:rsidP="007674BE">
            <w:pPr>
              <w:jc w:val="center"/>
              <w:rPr>
                <w:color w:val="000000"/>
                <w:sz w:val="16"/>
                <w:szCs w:val="16"/>
              </w:rPr>
            </w:pPr>
            <w:r w:rsidRPr="00FA7C72">
              <w:rPr>
                <w:color w:val="000000"/>
                <w:sz w:val="16"/>
                <w:szCs w:val="16"/>
              </w:rPr>
              <w:t>0.1359</w:t>
            </w:r>
          </w:p>
        </w:tc>
        <w:tc>
          <w:tcPr>
            <w:tcW w:w="709" w:type="dxa"/>
            <w:tcBorders>
              <w:top w:val="nil"/>
              <w:left w:val="nil"/>
              <w:bottom w:val="nil"/>
              <w:right w:val="nil"/>
            </w:tcBorders>
            <w:shd w:val="clear" w:color="auto" w:fill="auto"/>
            <w:noWrap/>
            <w:tcMar>
              <w:left w:w="28" w:type="dxa"/>
              <w:right w:w="28" w:type="dxa"/>
            </w:tcMar>
            <w:vAlign w:val="center"/>
            <w:hideMark/>
          </w:tcPr>
          <w:p w14:paraId="78C2C9D8" w14:textId="77777777" w:rsidR="00532835" w:rsidRPr="00FA7C72" w:rsidRDefault="00532835" w:rsidP="007674BE">
            <w:pPr>
              <w:jc w:val="center"/>
              <w:rPr>
                <w:color w:val="000000"/>
                <w:sz w:val="16"/>
                <w:szCs w:val="16"/>
              </w:rPr>
            </w:pPr>
            <w:r w:rsidRPr="00FA7C72">
              <w:rPr>
                <w:color w:val="000000"/>
                <w:sz w:val="16"/>
                <w:szCs w:val="16"/>
              </w:rPr>
              <w:t>0.3401</w:t>
            </w:r>
          </w:p>
        </w:tc>
      </w:tr>
      <w:tr w:rsidR="00B0761E" w:rsidRPr="00FA7C72" w14:paraId="58F356C7" w14:textId="77777777" w:rsidTr="00B0761E">
        <w:trPr>
          <w:trHeight w:val="280"/>
          <w:jc w:val="center"/>
        </w:trPr>
        <w:tc>
          <w:tcPr>
            <w:tcW w:w="567" w:type="dxa"/>
            <w:tcBorders>
              <w:top w:val="nil"/>
              <w:left w:val="nil"/>
              <w:bottom w:val="nil"/>
              <w:right w:val="nil"/>
            </w:tcBorders>
            <w:shd w:val="clear" w:color="auto" w:fill="auto"/>
            <w:noWrap/>
            <w:tcMar>
              <w:left w:w="28" w:type="dxa"/>
              <w:right w:w="28" w:type="dxa"/>
            </w:tcMar>
            <w:vAlign w:val="center"/>
            <w:hideMark/>
          </w:tcPr>
          <w:p w14:paraId="49F0D194" w14:textId="77777777" w:rsidR="00532835" w:rsidRPr="00FA7C72" w:rsidRDefault="00532835" w:rsidP="007674BE">
            <w:pPr>
              <w:jc w:val="center"/>
              <w:rPr>
                <w:color w:val="000000"/>
                <w:sz w:val="16"/>
                <w:szCs w:val="16"/>
              </w:rPr>
            </w:pPr>
            <w:r w:rsidRPr="00FA7C72">
              <w:rPr>
                <w:color w:val="000000"/>
                <w:sz w:val="16"/>
                <w:szCs w:val="16"/>
              </w:rPr>
              <w:t>0.000</w:t>
            </w:r>
          </w:p>
        </w:tc>
        <w:tc>
          <w:tcPr>
            <w:tcW w:w="567" w:type="dxa"/>
            <w:tcBorders>
              <w:top w:val="nil"/>
              <w:left w:val="nil"/>
              <w:bottom w:val="nil"/>
              <w:right w:val="nil"/>
            </w:tcBorders>
            <w:shd w:val="clear" w:color="auto" w:fill="auto"/>
            <w:noWrap/>
            <w:tcMar>
              <w:left w:w="28" w:type="dxa"/>
              <w:right w:w="28" w:type="dxa"/>
            </w:tcMar>
            <w:vAlign w:val="center"/>
            <w:hideMark/>
          </w:tcPr>
          <w:p w14:paraId="36A4EDA3" w14:textId="77777777" w:rsidR="00532835" w:rsidRPr="00FA7C72" w:rsidRDefault="00532835" w:rsidP="007674BE">
            <w:pPr>
              <w:jc w:val="center"/>
              <w:rPr>
                <w:color w:val="000000"/>
                <w:sz w:val="16"/>
                <w:szCs w:val="16"/>
              </w:rPr>
            </w:pPr>
            <w:r w:rsidRPr="00FA7C72">
              <w:rPr>
                <w:color w:val="000000"/>
                <w:sz w:val="16"/>
                <w:szCs w:val="16"/>
              </w:rPr>
              <w:t>0.2948</w:t>
            </w:r>
          </w:p>
        </w:tc>
        <w:tc>
          <w:tcPr>
            <w:tcW w:w="709" w:type="dxa"/>
            <w:tcBorders>
              <w:top w:val="nil"/>
              <w:left w:val="nil"/>
              <w:bottom w:val="nil"/>
              <w:right w:val="nil"/>
            </w:tcBorders>
            <w:shd w:val="clear" w:color="auto" w:fill="auto"/>
            <w:noWrap/>
            <w:tcMar>
              <w:left w:w="28" w:type="dxa"/>
              <w:right w:w="28" w:type="dxa"/>
            </w:tcMar>
            <w:vAlign w:val="center"/>
            <w:hideMark/>
          </w:tcPr>
          <w:p w14:paraId="703D5C01" w14:textId="77777777" w:rsidR="00532835" w:rsidRPr="00FA7C72" w:rsidRDefault="00532835" w:rsidP="007674BE">
            <w:pPr>
              <w:jc w:val="center"/>
              <w:rPr>
                <w:color w:val="000000"/>
                <w:sz w:val="16"/>
                <w:szCs w:val="16"/>
              </w:rPr>
            </w:pPr>
            <w:r w:rsidRPr="00FA7C72">
              <w:rPr>
                <w:color w:val="000000"/>
                <w:sz w:val="16"/>
                <w:szCs w:val="16"/>
              </w:rPr>
              <w:t>0.0434</w:t>
            </w:r>
          </w:p>
        </w:tc>
        <w:tc>
          <w:tcPr>
            <w:tcW w:w="567" w:type="dxa"/>
            <w:tcBorders>
              <w:top w:val="nil"/>
              <w:left w:val="nil"/>
              <w:bottom w:val="nil"/>
              <w:right w:val="nil"/>
            </w:tcBorders>
            <w:shd w:val="clear" w:color="auto" w:fill="auto"/>
            <w:noWrap/>
            <w:tcMar>
              <w:left w:w="28" w:type="dxa"/>
              <w:right w:w="28" w:type="dxa"/>
            </w:tcMar>
            <w:vAlign w:val="center"/>
            <w:hideMark/>
          </w:tcPr>
          <w:p w14:paraId="7CFF91BD" w14:textId="77777777" w:rsidR="00532835" w:rsidRPr="00FA7C72" w:rsidRDefault="00532835" w:rsidP="007674BE">
            <w:pPr>
              <w:jc w:val="center"/>
              <w:rPr>
                <w:color w:val="000000"/>
                <w:sz w:val="16"/>
                <w:szCs w:val="16"/>
              </w:rPr>
            </w:pPr>
            <w:r w:rsidRPr="00FA7C72">
              <w:rPr>
                <w:color w:val="000000"/>
                <w:sz w:val="16"/>
                <w:szCs w:val="16"/>
              </w:rPr>
              <w:t>6.7950</w:t>
            </w:r>
          </w:p>
        </w:tc>
        <w:tc>
          <w:tcPr>
            <w:tcW w:w="709" w:type="dxa"/>
            <w:tcBorders>
              <w:top w:val="nil"/>
              <w:left w:val="nil"/>
              <w:bottom w:val="nil"/>
              <w:right w:val="nil"/>
            </w:tcBorders>
            <w:shd w:val="clear" w:color="auto" w:fill="auto"/>
            <w:noWrap/>
            <w:tcMar>
              <w:left w:w="28" w:type="dxa"/>
              <w:right w:w="28" w:type="dxa"/>
            </w:tcMar>
            <w:vAlign w:val="center"/>
            <w:hideMark/>
          </w:tcPr>
          <w:p w14:paraId="7386F7C4" w14:textId="77777777" w:rsidR="00532835" w:rsidRPr="00FA7C72" w:rsidRDefault="00532835" w:rsidP="007674BE">
            <w:pPr>
              <w:jc w:val="center"/>
              <w:rPr>
                <w:color w:val="000000"/>
                <w:sz w:val="16"/>
                <w:szCs w:val="16"/>
              </w:rPr>
            </w:pPr>
            <w:r w:rsidRPr="00FA7C72">
              <w:rPr>
                <w:color w:val="000000"/>
                <w:sz w:val="16"/>
                <w:szCs w:val="16"/>
              </w:rPr>
              <w:t>0.000</w:t>
            </w:r>
          </w:p>
        </w:tc>
        <w:tc>
          <w:tcPr>
            <w:tcW w:w="567" w:type="dxa"/>
            <w:tcBorders>
              <w:top w:val="nil"/>
              <w:left w:val="nil"/>
              <w:bottom w:val="nil"/>
              <w:right w:val="nil"/>
            </w:tcBorders>
            <w:shd w:val="clear" w:color="auto" w:fill="auto"/>
            <w:noWrap/>
            <w:tcMar>
              <w:left w:w="28" w:type="dxa"/>
              <w:right w:w="28" w:type="dxa"/>
            </w:tcMar>
            <w:vAlign w:val="center"/>
            <w:hideMark/>
          </w:tcPr>
          <w:p w14:paraId="1BDC2100" w14:textId="77777777" w:rsidR="00532835" w:rsidRPr="00FA7C72" w:rsidRDefault="00532835" w:rsidP="007674BE">
            <w:pPr>
              <w:jc w:val="center"/>
              <w:rPr>
                <w:color w:val="000000"/>
                <w:sz w:val="16"/>
                <w:szCs w:val="16"/>
              </w:rPr>
            </w:pPr>
            <w:r w:rsidRPr="00FA7C72">
              <w:rPr>
                <w:color w:val="000000"/>
                <w:sz w:val="16"/>
                <w:szCs w:val="16"/>
              </w:rPr>
              <w:t>0.2096</w:t>
            </w:r>
          </w:p>
        </w:tc>
        <w:tc>
          <w:tcPr>
            <w:tcW w:w="709" w:type="dxa"/>
            <w:tcBorders>
              <w:top w:val="nil"/>
              <w:left w:val="nil"/>
              <w:bottom w:val="nil"/>
              <w:right w:val="nil"/>
            </w:tcBorders>
            <w:shd w:val="clear" w:color="auto" w:fill="auto"/>
            <w:noWrap/>
            <w:tcMar>
              <w:left w:w="28" w:type="dxa"/>
              <w:right w:w="28" w:type="dxa"/>
            </w:tcMar>
            <w:vAlign w:val="center"/>
            <w:hideMark/>
          </w:tcPr>
          <w:p w14:paraId="66EACE25" w14:textId="77777777" w:rsidR="00532835" w:rsidRPr="00FA7C72" w:rsidRDefault="00532835" w:rsidP="007674BE">
            <w:pPr>
              <w:jc w:val="center"/>
              <w:rPr>
                <w:color w:val="000000"/>
                <w:sz w:val="16"/>
                <w:szCs w:val="16"/>
              </w:rPr>
            </w:pPr>
            <w:r w:rsidRPr="00FA7C72">
              <w:rPr>
                <w:color w:val="000000"/>
                <w:sz w:val="16"/>
                <w:szCs w:val="16"/>
              </w:rPr>
              <w:t>0.3801</w:t>
            </w:r>
          </w:p>
        </w:tc>
      </w:tr>
      <w:tr w:rsidR="00B0761E" w:rsidRPr="00FA7C72" w14:paraId="60DE13E0" w14:textId="77777777" w:rsidTr="00B0761E">
        <w:trPr>
          <w:trHeight w:val="280"/>
          <w:jc w:val="center"/>
        </w:trPr>
        <w:tc>
          <w:tcPr>
            <w:tcW w:w="567" w:type="dxa"/>
            <w:tcBorders>
              <w:top w:val="nil"/>
              <w:left w:val="nil"/>
              <w:bottom w:val="single" w:sz="4" w:space="0" w:color="auto"/>
              <w:right w:val="nil"/>
            </w:tcBorders>
            <w:shd w:val="clear" w:color="auto" w:fill="auto"/>
            <w:noWrap/>
            <w:tcMar>
              <w:left w:w="28" w:type="dxa"/>
              <w:right w:w="28" w:type="dxa"/>
            </w:tcMar>
            <w:vAlign w:val="center"/>
            <w:hideMark/>
          </w:tcPr>
          <w:p w14:paraId="0A54FB5E" w14:textId="77777777" w:rsidR="00532835" w:rsidRPr="00FA7C72" w:rsidRDefault="00532835" w:rsidP="007674BE">
            <w:pPr>
              <w:jc w:val="center"/>
              <w:rPr>
                <w:color w:val="000000"/>
                <w:sz w:val="16"/>
                <w:szCs w:val="16"/>
              </w:rPr>
            </w:pPr>
            <w:r w:rsidRPr="00FA7C72">
              <w:rPr>
                <w:color w:val="000000"/>
                <w:sz w:val="16"/>
                <w:szCs w:val="16"/>
              </w:rPr>
              <w:t>1.000</w:t>
            </w:r>
          </w:p>
        </w:tc>
        <w:tc>
          <w:tcPr>
            <w:tcW w:w="567" w:type="dxa"/>
            <w:tcBorders>
              <w:top w:val="nil"/>
              <w:left w:val="nil"/>
              <w:bottom w:val="single" w:sz="4" w:space="0" w:color="auto"/>
              <w:right w:val="nil"/>
            </w:tcBorders>
            <w:shd w:val="clear" w:color="auto" w:fill="auto"/>
            <w:noWrap/>
            <w:tcMar>
              <w:left w:w="28" w:type="dxa"/>
              <w:right w:w="28" w:type="dxa"/>
            </w:tcMar>
            <w:vAlign w:val="center"/>
            <w:hideMark/>
          </w:tcPr>
          <w:p w14:paraId="793C0E46" w14:textId="77777777" w:rsidR="00532835" w:rsidRPr="00FA7C72" w:rsidRDefault="00532835" w:rsidP="007674BE">
            <w:pPr>
              <w:jc w:val="center"/>
              <w:rPr>
                <w:color w:val="000000"/>
                <w:sz w:val="16"/>
                <w:szCs w:val="16"/>
              </w:rPr>
            </w:pPr>
            <w:r w:rsidRPr="00FA7C72">
              <w:rPr>
                <w:color w:val="000000"/>
                <w:sz w:val="16"/>
                <w:szCs w:val="16"/>
              </w:rPr>
              <w:t>0.3517</w:t>
            </w:r>
          </w:p>
        </w:tc>
        <w:tc>
          <w:tcPr>
            <w:tcW w:w="709" w:type="dxa"/>
            <w:tcBorders>
              <w:top w:val="nil"/>
              <w:left w:val="nil"/>
              <w:bottom w:val="single" w:sz="4" w:space="0" w:color="auto"/>
              <w:right w:val="nil"/>
            </w:tcBorders>
            <w:shd w:val="clear" w:color="auto" w:fill="auto"/>
            <w:noWrap/>
            <w:tcMar>
              <w:left w:w="28" w:type="dxa"/>
              <w:right w:w="28" w:type="dxa"/>
            </w:tcMar>
            <w:vAlign w:val="center"/>
            <w:hideMark/>
          </w:tcPr>
          <w:p w14:paraId="0FFC9E6D" w14:textId="77777777" w:rsidR="00532835" w:rsidRPr="00FA7C72" w:rsidRDefault="00532835" w:rsidP="007674BE">
            <w:pPr>
              <w:jc w:val="center"/>
              <w:rPr>
                <w:color w:val="000000"/>
                <w:sz w:val="16"/>
                <w:szCs w:val="16"/>
              </w:rPr>
            </w:pPr>
            <w:r w:rsidRPr="00FA7C72">
              <w:rPr>
                <w:color w:val="000000"/>
                <w:sz w:val="16"/>
                <w:szCs w:val="16"/>
              </w:rPr>
              <w:t>0.0517</w:t>
            </w:r>
          </w:p>
        </w:tc>
        <w:tc>
          <w:tcPr>
            <w:tcW w:w="567" w:type="dxa"/>
            <w:tcBorders>
              <w:top w:val="nil"/>
              <w:left w:val="nil"/>
              <w:bottom w:val="single" w:sz="4" w:space="0" w:color="auto"/>
              <w:right w:val="nil"/>
            </w:tcBorders>
            <w:shd w:val="clear" w:color="auto" w:fill="auto"/>
            <w:noWrap/>
            <w:tcMar>
              <w:left w:w="28" w:type="dxa"/>
              <w:right w:w="28" w:type="dxa"/>
            </w:tcMar>
            <w:vAlign w:val="center"/>
            <w:hideMark/>
          </w:tcPr>
          <w:p w14:paraId="69566CF9" w14:textId="77777777" w:rsidR="00532835" w:rsidRPr="00FA7C72" w:rsidRDefault="00532835" w:rsidP="007674BE">
            <w:pPr>
              <w:jc w:val="center"/>
              <w:rPr>
                <w:color w:val="000000"/>
                <w:sz w:val="16"/>
                <w:szCs w:val="16"/>
              </w:rPr>
            </w:pPr>
            <w:r w:rsidRPr="00FA7C72">
              <w:rPr>
                <w:color w:val="000000"/>
                <w:sz w:val="16"/>
                <w:szCs w:val="16"/>
              </w:rPr>
              <w:t>6.8037</w:t>
            </w:r>
          </w:p>
        </w:tc>
        <w:tc>
          <w:tcPr>
            <w:tcW w:w="709" w:type="dxa"/>
            <w:tcBorders>
              <w:top w:val="nil"/>
              <w:left w:val="nil"/>
              <w:bottom w:val="single" w:sz="4" w:space="0" w:color="auto"/>
              <w:right w:val="nil"/>
            </w:tcBorders>
            <w:shd w:val="clear" w:color="auto" w:fill="auto"/>
            <w:noWrap/>
            <w:tcMar>
              <w:left w:w="28" w:type="dxa"/>
              <w:right w:w="28" w:type="dxa"/>
            </w:tcMar>
            <w:vAlign w:val="center"/>
            <w:hideMark/>
          </w:tcPr>
          <w:p w14:paraId="339F8132" w14:textId="77777777" w:rsidR="00532835" w:rsidRPr="00FA7C72" w:rsidRDefault="00532835" w:rsidP="007674BE">
            <w:pPr>
              <w:jc w:val="center"/>
              <w:rPr>
                <w:color w:val="000000"/>
                <w:sz w:val="16"/>
                <w:szCs w:val="16"/>
              </w:rPr>
            </w:pPr>
            <w:r w:rsidRPr="00FA7C72">
              <w:rPr>
                <w:color w:val="000000"/>
                <w:sz w:val="16"/>
                <w:szCs w:val="16"/>
              </w:rPr>
              <w:t>0.000</w:t>
            </w:r>
          </w:p>
        </w:tc>
        <w:tc>
          <w:tcPr>
            <w:tcW w:w="567" w:type="dxa"/>
            <w:tcBorders>
              <w:top w:val="nil"/>
              <w:left w:val="nil"/>
              <w:bottom w:val="single" w:sz="4" w:space="0" w:color="auto"/>
              <w:right w:val="nil"/>
            </w:tcBorders>
            <w:shd w:val="clear" w:color="auto" w:fill="auto"/>
            <w:noWrap/>
            <w:tcMar>
              <w:left w:w="28" w:type="dxa"/>
              <w:right w:w="28" w:type="dxa"/>
            </w:tcMar>
            <w:vAlign w:val="center"/>
            <w:hideMark/>
          </w:tcPr>
          <w:p w14:paraId="092C34DB" w14:textId="77777777" w:rsidR="00532835" w:rsidRPr="00FA7C72" w:rsidRDefault="00532835" w:rsidP="007674BE">
            <w:pPr>
              <w:jc w:val="center"/>
              <w:rPr>
                <w:color w:val="000000"/>
                <w:sz w:val="16"/>
                <w:szCs w:val="16"/>
              </w:rPr>
            </w:pPr>
            <w:r w:rsidRPr="00FA7C72">
              <w:rPr>
                <w:color w:val="000000"/>
                <w:sz w:val="16"/>
                <w:szCs w:val="16"/>
              </w:rPr>
              <w:t>0.2501</w:t>
            </w:r>
          </w:p>
        </w:tc>
        <w:tc>
          <w:tcPr>
            <w:tcW w:w="709" w:type="dxa"/>
            <w:tcBorders>
              <w:top w:val="nil"/>
              <w:left w:val="nil"/>
              <w:bottom w:val="single" w:sz="4" w:space="0" w:color="auto"/>
              <w:right w:val="nil"/>
            </w:tcBorders>
            <w:shd w:val="clear" w:color="auto" w:fill="auto"/>
            <w:noWrap/>
            <w:tcMar>
              <w:left w:w="28" w:type="dxa"/>
              <w:right w:w="28" w:type="dxa"/>
            </w:tcMar>
            <w:vAlign w:val="center"/>
            <w:hideMark/>
          </w:tcPr>
          <w:p w14:paraId="7FF4794A" w14:textId="77777777" w:rsidR="00532835" w:rsidRPr="00FA7C72" w:rsidRDefault="00532835" w:rsidP="007674BE">
            <w:pPr>
              <w:jc w:val="center"/>
              <w:rPr>
                <w:color w:val="000000"/>
                <w:sz w:val="16"/>
                <w:szCs w:val="16"/>
              </w:rPr>
            </w:pPr>
            <w:r w:rsidRPr="00FA7C72">
              <w:rPr>
                <w:color w:val="000000"/>
                <w:sz w:val="16"/>
                <w:szCs w:val="16"/>
              </w:rPr>
              <w:t>0.4532</w:t>
            </w:r>
          </w:p>
        </w:tc>
      </w:tr>
    </w:tbl>
    <w:bookmarkEnd w:id="19"/>
    <w:p w14:paraId="42AD6C4A" w14:textId="77777777" w:rsidR="00532835" w:rsidRPr="00FA7C72" w:rsidRDefault="00532835" w:rsidP="00B0761E">
      <w:pPr>
        <w:ind w:left="202" w:firstLine="202"/>
        <w:rPr>
          <w:color w:val="000000"/>
          <w:sz w:val="16"/>
          <w:szCs w:val="16"/>
        </w:rPr>
      </w:pPr>
      <w:r w:rsidRPr="00FA7C72">
        <w:rPr>
          <w:color w:val="000000"/>
          <w:sz w:val="16"/>
          <w:szCs w:val="16"/>
        </w:rPr>
        <w:t>(SDI – Service Delivery Innovation)</w:t>
      </w:r>
    </w:p>
    <w:bookmarkEnd w:id="18"/>
    <w:p w14:paraId="1B21CE50" w14:textId="77777777" w:rsidR="00532835" w:rsidRDefault="00532835" w:rsidP="00427835">
      <w:pPr>
        <w:jc w:val="both"/>
      </w:pPr>
    </w:p>
    <w:p w14:paraId="59E7288C" w14:textId="10BF6F69" w:rsidR="003A4C45" w:rsidRDefault="003A4C45" w:rsidP="00427835">
      <w:pPr>
        <w:jc w:val="both"/>
      </w:pPr>
      <w:r w:rsidRPr="00B13BCD">
        <w:t xml:space="preserve">SDI was mean-centered (Table VII) at 0, and the 1.000 is equal to the standard deviation of the SDI variable on both the positive and negative sides. The slope at one standard deviation unit below the mean on SDI is 0.2380 and statistically significant. The conditional slope at one standard deviation above the mean on the centered SDI variable is 0.3517 and is statistically significant. The same is depicted graphically, where the effect is clearly visible (Figure 3). The slope becomes less pronounced from low SDI to higher SDI. The slope that the line x is reflecting is one standard deviation below the mean on SDI; the line y reflects the mean on SDI; and the line z reflects the slope at one standard deviation above the mean on SDI. Figure 3 clearly shows line z </w:t>
      </w:r>
      <w:bookmarkStart w:id="20" w:name="_Int_c5LReCOV"/>
      <w:r w:rsidRPr="00B13BCD">
        <w:t>has</w:t>
      </w:r>
      <w:bookmarkEnd w:id="20"/>
      <w:r w:rsidRPr="00B13BCD">
        <w:t xml:space="preserve"> the most pronounced slope, line y </w:t>
      </w:r>
      <w:bookmarkStart w:id="21" w:name="_Int_QClj97mW"/>
      <w:r w:rsidRPr="00B13BCD">
        <w:t>has</w:t>
      </w:r>
      <w:bookmarkEnd w:id="21"/>
      <w:r w:rsidRPr="00B13BCD">
        <w:t xml:space="preserve"> the next most pronounced slope, and line x </w:t>
      </w:r>
      <w:bookmarkStart w:id="22" w:name="_Int_k7tt8IZX"/>
      <w:r w:rsidRPr="00B13BCD">
        <w:t>has</w:t>
      </w:r>
      <w:bookmarkEnd w:id="22"/>
      <w:r w:rsidRPr="00B13BCD">
        <w:t xml:space="preserve"> the weakest slope, and all are statistically significant according to the conditional effects test.</w:t>
      </w:r>
    </w:p>
    <w:p w14:paraId="68A36C37" w14:textId="77777777" w:rsidR="00E71E29" w:rsidRDefault="00E71E29" w:rsidP="00427835">
      <w:pPr>
        <w:jc w:val="both"/>
      </w:pPr>
    </w:p>
    <w:p w14:paraId="571C7556" w14:textId="7F0A0432" w:rsidR="003A4C45" w:rsidRPr="00B13BCD" w:rsidRDefault="006306BE" w:rsidP="00B0761E">
      <w:pPr>
        <w:pStyle w:val="NormalWeb"/>
        <w:spacing w:before="0" w:beforeAutospacing="0" w:after="0" w:afterAutospacing="0"/>
        <w:ind w:firstLine="288"/>
        <w:rPr>
          <w:rFonts w:eastAsiaTheme="minorHAnsi"/>
        </w:rPr>
      </w:pPr>
      <w:r>
        <w:rPr>
          <w:noProof/>
        </w:rPr>
        <w:drawing>
          <wp:inline distT="0" distB="0" distL="0" distR="0" wp14:anchorId="3E4FEC5F" wp14:editId="3405019C">
            <wp:extent cx="3013266" cy="3114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0" r="2975" b="2850"/>
                    <a:stretch/>
                  </pic:blipFill>
                  <pic:spPr bwMode="auto">
                    <a:xfrm>
                      <a:off x="0" y="0"/>
                      <a:ext cx="3068991" cy="3172275"/>
                    </a:xfrm>
                    <a:prstGeom prst="rect">
                      <a:avLst/>
                    </a:prstGeom>
                    <a:noFill/>
                    <a:ln>
                      <a:noFill/>
                    </a:ln>
                    <a:extLst>
                      <a:ext uri="{53640926-AAD7-44D8-BBD7-CCE9431645EC}">
                        <a14:shadowObscured xmlns:a14="http://schemas.microsoft.com/office/drawing/2010/main"/>
                      </a:ext>
                    </a:extLst>
                  </pic:spPr>
                </pic:pic>
              </a:graphicData>
            </a:graphic>
          </wp:inline>
        </w:drawing>
      </w:r>
    </w:p>
    <w:p w14:paraId="2F17F4D0" w14:textId="5DA4787B" w:rsidR="00B0761E" w:rsidRDefault="00B0761E" w:rsidP="00B0761E">
      <w:pPr>
        <w:jc w:val="center"/>
        <w:rPr>
          <w:sz w:val="16"/>
          <w:szCs w:val="16"/>
        </w:rPr>
      </w:pPr>
      <w:r w:rsidRPr="00F650AA">
        <w:rPr>
          <w:b/>
          <w:bCs/>
        </w:rPr>
        <w:t>Fig. 3.</w:t>
      </w:r>
      <w:r w:rsidRPr="00F650AA">
        <w:t xml:space="preserve"> Conditional effects – moderation</w:t>
      </w:r>
    </w:p>
    <w:p w14:paraId="37901F92" w14:textId="77777777" w:rsidR="00B0761E" w:rsidRDefault="00B0761E" w:rsidP="00427835">
      <w:pPr>
        <w:jc w:val="both"/>
      </w:pPr>
    </w:p>
    <w:p w14:paraId="79CE52FC" w14:textId="6137DFC3" w:rsidR="003A4C45" w:rsidRPr="00B13BCD" w:rsidRDefault="003A4C45" w:rsidP="00427835">
      <w:pPr>
        <w:jc w:val="both"/>
      </w:pPr>
      <w:r w:rsidRPr="00B13BCD">
        <w:t xml:space="preserve">The indirect effect of the SI variable on CS through the mediating variable CVC varies across levels of SDI. This is also one standard deviation below the mean, at the mean of SDI, and one standard deviation above the mean on SDI. The conditional indirect effects are computed as the product of path ‘a’ at a given level of SDI and path ‘b.’ </w:t>
      </w:r>
    </w:p>
    <w:p w14:paraId="7963728D" w14:textId="77777777" w:rsidR="003A4C45" w:rsidRDefault="003A4C45" w:rsidP="00427835">
      <w:pPr>
        <w:jc w:val="both"/>
      </w:pPr>
      <w:r w:rsidRPr="00B13BCD">
        <w:t xml:space="preserve">As zero falls outside of the lower and upper bounds, we deem the conditional indirect effect statistically significant. In all three conditions (Table VII) of the confidence intervals, the conditional indirect effects are statistically significant. The results obtained have a single index of moderated mediation, which combines the results from above and provides an overall test of moderated mediation. The bootstrap confidence interval shows that moderated mediation index is statistically </w:t>
      </w:r>
      <w:r w:rsidRPr="00B13BCD">
        <w:t xml:space="preserve">significant. The zero falls outside the lower and upper bounds (Table VIII), indicating moderated mediation.  </w:t>
      </w:r>
    </w:p>
    <w:p w14:paraId="5C8076CD" w14:textId="77777777" w:rsidR="00F26239" w:rsidRDefault="00F26239" w:rsidP="00427835">
      <w:pPr>
        <w:jc w:val="both"/>
        <w:rPr>
          <w:sz w:val="16"/>
          <w:szCs w:val="16"/>
        </w:rPr>
      </w:pPr>
    </w:p>
    <w:p w14:paraId="6664B46B" w14:textId="7B3FDFFA" w:rsidR="006306BE" w:rsidRPr="009E1C18" w:rsidRDefault="009E1C18" w:rsidP="00B0761E">
      <w:pPr>
        <w:jc w:val="center"/>
        <w:rPr>
          <w:sz w:val="16"/>
          <w:szCs w:val="16"/>
        </w:rPr>
      </w:pPr>
      <w:r w:rsidRPr="003A04DB">
        <w:t>TABLE VIII: INDEX OF MODERATED MEDIATION</w:t>
      </w:r>
    </w:p>
    <w:tbl>
      <w:tblPr>
        <w:tblW w:w="4820" w:type="dxa"/>
        <w:jc w:val="center"/>
        <w:tblLook w:val="04A0" w:firstRow="1" w:lastRow="0" w:firstColumn="1" w:lastColumn="0" w:noHBand="0" w:noVBand="1"/>
      </w:tblPr>
      <w:tblGrid>
        <w:gridCol w:w="474"/>
        <w:gridCol w:w="608"/>
        <w:gridCol w:w="732"/>
        <w:gridCol w:w="928"/>
        <w:gridCol w:w="937"/>
        <w:gridCol w:w="1141"/>
      </w:tblGrid>
      <w:tr w:rsidR="006306BE" w:rsidRPr="00FA7C72" w14:paraId="137A23EF" w14:textId="77777777" w:rsidTr="00B0761E">
        <w:trPr>
          <w:trHeight w:val="209"/>
          <w:jc w:val="center"/>
        </w:trPr>
        <w:tc>
          <w:tcPr>
            <w:tcW w:w="474" w:type="dxa"/>
            <w:tcBorders>
              <w:top w:val="single" w:sz="4" w:space="0" w:color="auto"/>
              <w:left w:val="nil"/>
              <w:bottom w:val="single" w:sz="4" w:space="0" w:color="auto"/>
              <w:right w:val="nil"/>
            </w:tcBorders>
            <w:shd w:val="clear" w:color="auto" w:fill="auto"/>
            <w:noWrap/>
            <w:vAlign w:val="center"/>
            <w:hideMark/>
          </w:tcPr>
          <w:p w14:paraId="500956F3" w14:textId="77777777" w:rsidR="006306BE" w:rsidRPr="00FA7C72" w:rsidRDefault="006306BE" w:rsidP="007674BE">
            <w:pPr>
              <w:jc w:val="center"/>
              <w:rPr>
                <w:b/>
                <w:bCs/>
                <w:color w:val="000000"/>
                <w:sz w:val="16"/>
                <w:szCs w:val="16"/>
              </w:rPr>
            </w:pPr>
            <w:bookmarkStart w:id="23" w:name="_Hlk109796925"/>
            <w:bookmarkStart w:id="24" w:name="_Hlk179969104"/>
          </w:p>
        </w:tc>
        <w:tc>
          <w:tcPr>
            <w:tcW w:w="608" w:type="dxa"/>
            <w:tcBorders>
              <w:top w:val="single" w:sz="4" w:space="0" w:color="auto"/>
              <w:left w:val="nil"/>
              <w:bottom w:val="single" w:sz="4" w:space="0" w:color="auto"/>
              <w:right w:val="nil"/>
            </w:tcBorders>
            <w:shd w:val="clear" w:color="auto" w:fill="auto"/>
            <w:noWrap/>
            <w:vAlign w:val="center"/>
            <w:hideMark/>
          </w:tcPr>
          <w:p w14:paraId="11598EEF" w14:textId="77777777" w:rsidR="006306BE" w:rsidRPr="00FA7C72" w:rsidRDefault="006306BE" w:rsidP="007674BE">
            <w:pPr>
              <w:jc w:val="center"/>
              <w:rPr>
                <w:b/>
                <w:bCs/>
                <w:color w:val="000000"/>
                <w:sz w:val="16"/>
                <w:szCs w:val="16"/>
              </w:rPr>
            </w:pPr>
            <w:r w:rsidRPr="00FA7C72">
              <w:rPr>
                <w:b/>
                <w:bCs/>
                <w:color w:val="000000"/>
                <w:sz w:val="16"/>
                <w:szCs w:val="16"/>
              </w:rPr>
              <w:t>Index</w:t>
            </w:r>
          </w:p>
        </w:tc>
        <w:tc>
          <w:tcPr>
            <w:tcW w:w="732" w:type="dxa"/>
            <w:tcBorders>
              <w:top w:val="single" w:sz="4" w:space="0" w:color="auto"/>
              <w:left w:val="nil"/>
              <w:bottom w:val="single" w:sz="4" w:space="0" w:color="auto"/>
              <w:right w:val="nil"/>
            </w:tcBorders>
            <w:shd w:val="clear" w:color="auto" w:fill="auto"/>
            <w:noWrap/>
            <w:vAlign w:val="center"/>
            <w:hideMark/>
          </w:tcPr>
          <w:p w14:paraId="33CD1475" w14:textId="77777777" w:rsidR="006306BE" w:rsidRPr="00FA7C72" w:rsidRDefault="006306BE" w:rsidP="007674BE">
            <w:pPr>
              <w:jc w:val="center"/>
              <w:rPr>
                <w:b/>
                <w:bCs/>
                <w:color w:val="000000"/>
                <w:sz w:val="16"/>
                <w:szCs w:val="16"/>
              </w:rPr>
            </w:pPr>
            <w:proofErr w:type="spellStart"/>
            <w:r w:rsidRPr="00FA7C72">
              <w:rPr>
                <w:b/>
                <w:bCs/>
                <w:color w:val="000000"/>
                <w:sz w:val="16"/>
                <w:szCs w:val="16"/>
              </w:rPr>
              <w:t>BootSE</w:t>
            </w:r>
            <w:proofErr w:type="spellEnd"/>
          </w:p>
        </w:tc>
        <w:tc>
          <w:tcPr>
            <w:tcW w:w="928" w:type="dxa"/>
            <w:tcBorders>
              <w:top w:val="single" w:sz="4" w:space="0" w:color="auto"/>
              <w:left w:val="nil"/>
              <w:bottom w:val="single" w:sz="4" w:space="0" w:color="auto"/>
              <w:right w:val="nil"/>
            </w:tcBorders>
            <w:shd w:val="clear" w:color="auto" w:fill="auto"/>
            <w:noWrap/>
            <w:vAlign w:val="center"/>
            <w:hideMark/>
          </w:tcPr>
          <w:p w14:paraId="5D9697BB" w14:textId="77777777" w:rsidR="006306BE" w:rsidRPr="00FA7C72" w:rsidRDefault="006306BE" w:rsidP="007674BE">
            <w:pPr>
              <w:jc w:val="center"/>
              <w:rPr>
                <w:b/>
                <w:bCs/>
                <w:color w:val="000000"/>
                <w:sz w:val="16"/>
                <w:szCs w:val="16"/>
              </w:rPr>
            </w:pPr>
            <w:proofErr w:type="spellStart"/>
            <w:r w:rsidRPr="00FA7C72">
              <w:rPr>
                <w:b/>
                <w:bCs/>
                <w:color w:val="000000"/>
                <w:sz w:val="16"/>
                <w:szCs w:val="16"/>
              </w:rPr>
              <w:t>BootLLCI</w:t>
            </w:r>
            <w:proofErr w:type="spellEnd"/>
          </w:p>
        </w:tc>
        <w:tc>
          <w:tcPr>
            <w:tcW w:w="937" w:type="dxa"/>
            <w:tcBorders>
              <w:top w:val="single" w:sz="4" w:space="0" w:color="auto"/>
              <w:left w:val="nil"/>
              <w:bottom w:val="single" w:sz="4" w:space="0" w:color="auto"/>
              <w:right w:val="nil"/>
            </w:tcBorders>
            <w:shd w:val="clear" w:color="auto" w:fill="auto"/>
            <w:noWrap/>
            <w:vAlign w:val="center"/>
            <w:hideMark/>
          </w:tcPr>
          <w:p w14:paraId="7547C8DB" w14:textId="77777777" w:rsidR="006306BE" w:rsidRPr="00FA7C72" w:rsidRDefault="006306BE" w:rsidP="007674BE">
            <w:pPr>
              <w:jc w:val="center"/>
              <w:rPr>
                <w:b/>
                <w:bCs/>
                <w:color w:val="000000"/>
                <w:sz w:val="16"/>
                <w:szCs w:val="16"/>
              </w:rPr>
            </w:pPr>
            <w:proofErr w:type="spellStart"/>
            <w:r w:rsidRPr="00FA7C72">
              <w:rPr>
                <w:b/>
                <w:bCs/>
                <w:color w:val="000000"/>
                <w:sz w:val="16"/>
                <w:szCs w:val="16"/>
              </w:rPr>
              <w:t>BootULCI</w:t>
            </w:r>
            <w:proofErr w:type="spellEnd"/>
          </w:p>
        </w:tc>
        <w:tc>
          <w:tcPr>
            <w:tcW w:w="1141" w:type="dxa"/>
            <w:tcBorders>
              <w:top w:val="single" w:sz="4" w:space="0" w:color="auto"/>
              <w:left w:val="nil"/>
              <w:bottom w:val="single" w:sz="4" w:space="0" w:color="auto"/>
              <w:right w:val="nil"/>
            </w:tcBorders>
            <w:vAlign w:val="center"/>
          </w:tcPr>
          <w:p w14:paraId="5DF17749" w14:textId="77777777" w:rsidR="006306BE" w:rsidRPr="00FA7C72" w:rsidRDefault="006306BE" w:rsidP="007674BE">
            <w:pPr>
              <w:jc w:val="center"/>
              <w:rPr>
                <w:b/>
                <w:bCs/>
                <w:color w:val="000000"/>
                <w:sz w:val="16"/>
                <w:szCs w:val="16"/>
              </w:rPr>
            </w:pPr>
            <w:r w:rsidRPr="00FA7C72">
              <w:rPr>
                <w:b/>
                <w:bCs/>
                <w:color w:val="000000"/>
                <w:sz w:val="16"/>
                <w:szCs w:val="16"/>
              </w:rPr>
              <w:t>Hypothesis</w:t>
            </w:r>
          </w:p>
        </w:tc>
      </w:tr>
      <w:tr w:rsidR="006306BE" w:rsidRPr="00FA7C72" w14:paraId="25959A95" w14:textId="77777777" w:rsidTr="00B0761E">
        <w:trPr>
          <w:trHeight w:val="310"/>
          <w:jc w:val="center"/>
        </w:trPr>
        <w:tc>
          <w:tcPr>
            <w:tcW w:w="474" w:type="dxa"/>
            <w:tcBorders>
              <w:top w:val="nil"/>
              <w:left w:val="nil"/>
              <w:bottom w:val="single" w:sz="4" w:space="0" w:color="auto"/>
              <w:right w:val="nil"/>
            </w:tcBorders>
            <w:shd w:val="clear" w:color="auto" w:fill="auto"/>
            <w:noWrap/>
            <w:vAlign w:val="center"/>
            <w:hideMark/>
          </w:tcPr>
          <w:p w14:paraId="4FC13754" w14:textId="77777777" w:rsidR="006306BE" w:rsidRPr="00FA7C72" w:rsidRDefault="006306BE" w:rsidP="007674BE">
            <w:pPr>
              <w:jc w:val="center"/>
              <w:rPr>
                <w:color w:val="000000"/>
                <w:sz w:val="16"/>
                <w:szCs w:val="16"/>
              </w:rPr>
            </w:pPr>
            <w:r w:rsidRPr="00FA7C72">
              <w:rPr>
                <w:color w:val="000000"/>
                <w:sz w:val="16"/>
                <w:szCs w:val="16"/>
              </w:rPr>
              <w:t>SDI</w:t>
            </w:r>
          </w:p>
        </w:tc>
        <w:tc>
          <w:tcPr>
            <w:tcW w:w="608" w:type="dxa"/>
            <w:tcBorders>
              <w:top w:val="nil"/>
              <w:left w:val="nil"/>
              <w:bottom w:val="single" w:sz="4" w:space="0" w:color="auto"/>
              <w:right w:val="nil"/>
            </w:tcBorders>
            <w:shd w:val="clear" w:color="auto" w:fill="auto"/>
            <w:noWrap/>
            <w:vAlign w:val="center"/>
            <w:hideMark/>
          </w:tcPr>
          <w:p w14:paraId="42747180" w14:textId="77777777" w:rsidR="006306BE" w:rsidRPr="00FA7C72" w:rsidRDefault="006306BE" w:rsidP="007674BE">
            <w:pPr>
              <w:jc w:val="center"/>
              <w:rPr>
                <w:color w:val="000000"/>
                <w:sz w:val="16"/>
                <w:szCs w:val="16"/>
              </w:rPr>
            </w:pPr>
            <w:r w:rsidRPr="00FA7C72">
              <w:rPr>
                <w:color w:val="000000"/>
                <w:sz w:val="16"/>
                <w:szCs w:val="16"/>
              </w:rPr>
              <w:t>0.215</w:t>
            </w:r>
          </w:p>
        </w:tc>
        <w:tc>
          <w:tcPr>
            <w:tcW w:w="732" w:type="dxa"/>
            <w:tcBorders>
              <w:top w:val="nil"/>
              <w:left w:val="nil"/>
              <w:bottom w:val="single" w:sz="4" w:space="0" w:color="auto"/>
              <w:right w:val="nil"/>
            </w:tcBorders>
            <w:shd w:val="clear" w:color="auto" w:fill="auto"/>
            <w:noWrap/>
            <w:vAlign w:val="center"/>
            <w:hideMark/>
          </w:tcPr>
          <w:p w14:paraId="08330921" w14:textId="77777777" w:rsidR="006306BE" w:rsidRPr="00FA7C72" w:rsidRDefault="006306BE" w:rsidP="007674BE">
            <w:pPr>
              <w:jc w:val="center"/>
              <w:rPr>
                <w:color w:val="000000"/>
                <w:sz w:val="16"/>
                <w:szCs w:val="16"/>
              </w:rPr>
            </w:pPr>
            <w:r w:rsidRPr="00FA7C72">
              <w:rPr>
                <w:color w:val="000000"/>
                <w:sz w:val="16"/>
                <w:szCs w:val="16"/>
              </w:rPr>
              <w:t>0.0119</w:t>
            </w:r>
          </w:p>
        </w:tc>
        <w:tc>
          <w:tcPr>
            <w:tcW w:w="928" w:type="dxa"/>
            <w:tcBorders>
              <w:top w:val="nil"/>
              <w:left w:val="nil"/>
              <w:bottom w:val="single" w:sz="4" w:space="0" w:color="auto"/>
              <w:right w:val="nil"/>
            </w:tcBorders>
            <w:shd w:val="clear" w:color="auto" w:fill="auto"/>
            <w:noWrap/>
            <w:vAlign w:val="center"/>
            <w:hideMark/>
          </w:tcPr>
          <w:p w14:paraId="28F1F15C" w14:textId="77777777" w:rsidR="006306BE" w:rsidRPr="00FA7C72" w:rsidRDefault="006306BE" w:rsidP="007674BE">
            <w:pPr>
              <w:jc w:val="center"/>
              <w:rPr>
                <w:color w:val="000000"/>
                <w:sz w:val="16"/>
                <w:szCs w:val="16"/>
              </w:rPr>
            </w:pPr>
            <w:r w:rsidRPr="00FA7C72">
              <w:rPr>
                <w:color w:val="000000"/>
                <w:sz w:val="16"/>
                <w:szCs w:val="16"/>
              </w:rPr>
              <w:t>0.0004</w:t>
            </w:r>
          </w:p>
        </w:tc>
        <w:tc>
          <w:tcPr>
            <w:tcW w:w="937" w:type="dxa"/>
            <w:tcBorders>
              <w:top w:val="nil"/>
              <w:left w:val="nil"/>
              <w:bottom w:val="single" w:sz="4" w:space="0" w:color="auto"/>
              <w:right w:val="nil"/>
            </w:tcBorders>
            <w:shd w:val="clear" w:color="auto" w:fill="auto"/>
            <w:noWrap/>
            <w:vAlign w:val="center"/>
            <w:hideMark/>
          </w:tcPr>
          <w:p w14:paraId="64C51D01" w14:textId="77777777" w:rsidR="006306BE" w:rsidRPr="00FA7C72" w:rsidRDefault="006306BE" w:rsidP="007674BE">
            <w:pPr>
              <w:jc w:val="center"/>
              <w:rPr>
                <w:color w:val="000000"/>
                <w:sz w:val="16"/>
                <w:szCs w:val="16"/>
              </w:rPr>
            </w:pPr>
            <w:r w:rsidRPr="00FA7C72">
              <w:rPr>
                <w:color w:val="000000"/>
                <w:sz w:val="16"/>
                <w:szCs w:val="16"/>
              </w:rPr>
              <w:t>0.0474</w:t>
            </w:r>
          </w:p>
        </w:tc>
        <w:tc>
          <w:tcPr>
            <w:tcW w:w="1141" w:type="dxa"/>
            <w:tcBorders>
              <w:top w:val="nil"/>
              <w:left w:val="nil"/>
              <w:bottom w:val="single" w:sz="4" w:space="0" w:color="auto"/>
              <w:right w:val="nil"/>
            </w:tcBorders>
            <w:vAlign w:val="center"/>
          </w:tcPr>
          <w:p w14:paraId="78F68D3F" w14:textId="77777777" w:rsidR="006306BE" w:rsidRPr="00FA7C72" w:rsidRDefault="006306BE" w:rsidP="007674BE">
            <w:pPr>
              <w:jc w:val="center"/>
              <w:rPr>
                <w:color w:val="000000"/>
                <w:sz w:val="16"/>
                <w:szCs w:val="16"/>
              </w:rPr>
            </w:pPr>
            <w:r w:rsidRPr="00FA7C72">
              <w:rPr>
                <w:color w:val="000000"/>
                <w:sz w:val="16"/>
                <w:szCs w:val="16"/>
              </w:rPr>
              <w:t>H4 supported</w:t>
            </w:r>
          </w:p>
        </w:tc>
      </w:tr>
    </w:tbl>
    <w:bookmarkEnd w:id="23"/>
    <w:p w14:paraId="775800CB" w14:textId="392305CA" w:rsidR="006306BE" w:rsidRPr="00FA7C72" w:rsidRDefault="006306BE" w:rsidP="006306BE">
      <w:pPr>
        <w:rPr>
          <w:color w:val="000000"/>
          <w:sz w:val="16"/>
          <w:szCs w:val="16"/>
        </w:rPr>
      </w:pPr>
      <w:r w:rsidRPr="00FA7C72">
        <w:rPr>
          <w:color w:val="000000"/>
          <w:sz w:val="16"/>
          <w:szCs w:val="16"/>
        </w:rPr>
        <w:t xml:space="preserve">   </w:t>
      </w:r>
      <w:r w:rsidR="00B0761E">
        <w:rPr>
          <w:color w:val="000000"/>
          <w:sz w:val="16"/>
          <w:szCs w:val="16"/>
        </w:rPr>
        <w:tab/>
      </w:r>
      <w:r w:rsidRPr="00FA7C72">
        <w:rPr>
          <w:color w:val="000000"/>
          <w:sz w:val="16"/>
          <w:szCs w:val="16"/>
        </w:rPr>
        <w:t>(SDI – Service Delivery Innovation)</w:t>
      </w:r>
    </w:p>
    <w:bookmarkEnd w:id="24"/>
    <w:p w14:paraId="3AA0EA61" w14:textId="676DF6D9" w:rsidR="001B36B1" w:rsidRPr="00E857A2" w:rsidRDefault="003A4C45" w:rsidP="00B0761E">
      <w:pPr>
        <w:pStyle w:val="Heading1"/>
      </w:pPr>
      <w:r>
        <w:t>DISCUSSION</w:t>
      </w:r>
    </w:p>
    <w:p w14:paraId="39DE0A12" w14:textId="77777777" w:rsidR="003A4C45" w:rsidRPr="00B13BCD" w:rsidRDefault="003A4C45" w:rsidP="00427835">
      <w:pPr>
        <w:jc w:val="both"/>
      </w:pPr>
      <w:r w:rsidRPr="00B13BCD">
        <w:t xml:space="preserve">The primary objective of this study was to thoroughly examine the distinct effects of SDI as an independent factor from SI in relation to their influence on enhancing CS and fostering CL. This investigation entailed examining the intricate interrelationships among SI, CVC, CS, and CL, within the broader frameworks of OI and CE. OI serves as the initial step towards implementing technology and management on a large scale throughout an entire industry, which is especially important for promoting CE </w:t>
      </w:r>
      <w:r w:rsidRPr="00B13BCD">
        <w:fldChar w:fldCharType="begin" w:fldLock="1"/>
      </w:r>
      <w:r w:rsidRPr="00B13BCD">
        <w:instrText>ADDIN CSL_CITATION {"citationItems":[{"id":"ITEM-1","itemData":{"ISSN":"0964-4733","author":[{"dropping-particle":"","family":"Köhler","given":"Julia","non-dropping-particle":"","parse-names":false,"suffix":""},{"dropping-particle":"","family":"Sönnichsen","given":"Sönnich Dahl","non-dropping-particle":"","parse-names":false,"suffix":""},{"dropping-particle":"","family":"Beske‐Jansen","given":"Philip","non-dropping-particle":"","parse-names":false,"suffix":""}],"container-title":"Business Strategy and the Environment","id":"ITEM-1","issue":"6","issued":{"date-parts":[["2022"]]},"page":"2700-2713","publisher":"Wiley Online Library","title":"Towards a collaboration framework for circular economy: The role of dynamic capabilities and open innovation","type":"article-journal","volume":"31"},"uris":["http://www.mendeley.com/documents/?uuid=8382615a-37dd-4bb1-b355-019aaef342e9"]}],"mendeley":{"formattedCitation":"[26]","plainTextFormattedCitation":"[26]","previouslyFormattedCitation":"[26]"},"properties":{"noteIndex":0},"schema":"https://github.com/citation-style-language/schema/raw/master/csl-citation.json"}</w:instrText>
      </w:r>
      <w:r w:rsidRPr="00B13BCD">
        <w:fldChar w:fldCharType="separate"/>
      </w:r>
      <w:r w:rsidRPr="00B13BCD">
        <w:rPr>
          <w:noProof/>
        </w:rPr>
        <w:t>[26]</w:t>
      </w:r>
      <w:r w:rsidRPr="00B13BCD">
        <w:fldChar w:fldCharType="end"/>
      </w:r>
      <w:r w:rsidRPr="00B13BCD">
        <w:t>. We focused on the telecommunications sector, specifically targeting mobile service consumers, in order to meet the CE goals, set by the industry. It was essential to measure and understand these interactions within this specific framework because the sector has a significant impact in delivering services that adhere to CE regulations.</w:t>
      </w:r>
    </w:p>
    <w:p w14:paraId="1635162E" w14:textId="77777777" w:rsidR="003A4C45" w:rsidRPr="00B13BCD" w:rsidRDefault="003A4C45" w:rsidP="00427835">
      <w:pPr>
        <w:jc w:val="both"/>
      </w:pPr>
      <w:r w:rsidRPr="00B13BCD">
        <w:t xml:space="preserve">The empirical findings of our inquiry validate all four hypotheses, establishing the positive and statistically significant direct relationships between the constructs (refer to Table IV). SI is recognized as a vital component that is closely associated with CVC, CS, and CL, which answers the primary question of our research. The profound importance of SI can be attributed to its impact on many phases of the customer life cycle within the ongoing firm-customer interaction. CVC plays a crucial function in facilitating the relationship between SI and CS. The relationship between SI and CS remains statistically significant both prior to and following mediation. However, the mediation effect through CVC significantly enhances this association. The direct influence of SI on CS is readily evident, underscoring its capacity to augment CL. However, the process of creating value varies for each consumer, based on their specific needs, perceived value, and duration of engagement with the product or service. While SI may offer added reassurance to a current consumer, it plays a crucial part in establishing contentment for a new customer. This emphasizes the significance of generating value by being responsive, dependable, and incorporating adaptive characteristics that accommodate evolving tastes. </w:t>
      </w:r>
    </w:p>
    <w:p w14:paraId="0DA09AB0" w14:textId="62C657A2" w:rsidR="003A4C45" w:rsidRPr="00B13BCD" w:rsidRDefault="003A4C45" w:rsidP="00427835">
      <w:pPr>
        <w:jc w:val="both"/>
      </w:pPr>
      <w:r w:rsidRPr="00B13BCD">
        <w:t xml:space="preserve">Furthermore, our data demonstrates a robust and favorable association between CS and CL, affirming the prevailing scholarly notion that consistent consumer satisfaction fosters enduring loyalty. Furthermore, CS acts as a mediator between SI and CL, a concept that has been previously supported by other academics and further validated by our own research </w:t>
      </w:r>
      <w:r w:rsidRPr="00B13BCD">
        <w:fldChar w:fldCharType="begin" w:fldLock="1"/>
      </w:r>
      <w:r w:rsidRPr="00B13BCD">
        <w:instrText>ADDIN CSL_CITATION {"citationItems":[{"id":"ITEM-1","itemData":{"abstract":"This study sought to explore service recovery strategies adopted by telecommunication companies operating in Africa with Uganda Telecom as a case study. The study adopts a quantitative approach design. A sample size of 250 respondents was used for this study comprising 100 Uganda telecom Staff and 150 subscribers of Uganda telecom in Kampala central business district. Findings of the study revealed a significant positive relationship between service recovery based on firm’s understanding of customer complaints, firm’s fair treatment of customer complaints and customer satisfaction. Furthermore, the study also found a positive correlation between service recovery and customer satisfaction. The study contributes to extant literature on service recovery from developing country perspective.","author":[{"dropping-particle":"","family":"Ibrahim","given":"Masud","non-dropping-particle":"","parse-names":false,"suffix":""},{"dropping-particle":"","family":"Abdallahamed","given":"Ssendiwala","non-dropping-particle":"","parse-names":false,"suffix":""}],"container-title":"European Journal of Business and Management","id":"ITEM-1","issue":"4","issued":{"date-parts":[["2014"]]},"page":"197-209","title":"Service Recovery and Customer Satisfaction : A Case of Uganda Telecom","type":"article-journal","volume":"6"},"uris":["http://www.mendeley.com/documents/?uuid=49e1b615-2061-4ad3-86a7-f2eb776bbd3b"]}],"mendeley":{"formattedCitation":"[100]","plainTextFormattedCitation":"[100]","previouslyFormattedCitation":"[100]"},"properties":{"noteIndex":0},"schema":"https://github.com/citation-style-language/schema/raw/master/csl-citation.json"}</w:instrText>
      </w:r>
      <w:r w:rsidRPr="00B13BCD">
        <w:fldChar w:fldCharType="separate"/>
      </w:r>
      <w:r w:rsidRPr="00B13BCD">
        <w:rPr>
          <w:noProof/>
        </w:rPr>
        <w:t>[1</w:t>
      </w:r>
      <w:r w:rsidR="00E51639">
        <w:rPr>
          <w:noProof/>
        </w:rPr>
        <w:t>14</w:t>
      </w:r>
      <w:r w:rsidRPr="00B13BCD">
        <w:rPr>
          <w:noProof/>
        </w:rPr>
        <w:t>]</w:t>
      </w:r>
      <w:r w:rsidRPr="00B13BCD">
        <w:fldChar w:fldCharType="end"/>
      </w:r>
      <w:r w:rsidRPr="00B13BCD">
        <w:t>. The relationship between SI and CL is mediated by both CVC and CS sequentially. This is consistent with the studies conducted furthering theory on the relationships between the four constructs. This underscores the collaborative impact of value generation in fostering customer contentment and allegiance, aligning with the focus on sustainable value cultivation in the CE paradigm.</w:t>
      </w:r>
    </w:p>
    <w:p w14:paraId="655AF959" w14:textId="77777777" w:rsidR="003A4C45" w:rsidRPr="00B13BCD" w:rsidRDefault="003A4C45" w:rsidP="00427835">
      <w:pPr>
        <w:jc w:val="both"/>
      </w:pPr>
      <w:r w:rsidRPr="00B13BCD">
        <w:lastRenderedPageBreak/>
        <w:t xml:space="preserve">The unique aspect of our work is in the thorough analysis of SDI as distinct from SI. It is found that SDI, as an independent entity, affects the SI-CVC relationship, illustrating the intricate interplay of various innovation frameworks in determining consumer value. The existence of SDI has a regulating impact on the mediating influence of CVC in the connection between SI and CS. This indicates that SDI has the capability to either augment or diminish the value offered by SI, responding to the second research question. The combination of SI and SDI can thus form a basis for the development of DCs to build competitive advantage by delivering value. According to </w:t>
      </w:r>
      <w:r w:rsidRPr="00B13BCD">
        <w:fldChar w:fldCharType="begin" w:fldLock="1"/>
      </w:r>
      <w:r w:rsidRPr="00B13BCD">
        <w:instrText>ADDIN CSL_CITATION {"citationItems":[{"id":"ITEM-1","itemData":{"author":[{"dropping-particle":"","family":"Teece","given":"David J","non-dropping-particle":"","parse-names":false,"suffix":""}],"container-title":"Strategic Management Review","id":"ITEM-1","issue":"2","issued":{"date-parts":[["2020"]]},"page":"233-253","publisher":"now publishers","title":"Hand in glove: Open innovation and the dynamic capabilities framework","type":"article-journal","volume":"1"},"uris":["http://www.mendeley.com/documents/?uuid=ff74c7d1-7d77-449d-af53-e1c31da44504"]}],"mendeley":{"formattedCitation":"[17]","plainTextFormattedCitation":"[17]","previouslyFormattedCitation":"[17]"},"properties":{"noteIndex":0},"schema":"https://github.com/citation-style-language/schema/raw/master/csl-citation.json"}</w:instrText>
      </w:r>
      <w:r w:rsidRPr="00B13BCD">
        <w:fldChar w:fldCharType="separate"/>
      </w:r>
      <w:r w:rsidRPr="00B13BCD">
        <w:rPr>
          <w:noProof/>
        </w:rPr>
        <w:t>[17]</w:t>
      </w:r>
      <w:r w:rsidRPr="00B13BCD">
        <w:fldChar w:fldCharType="end"/>
      </w:r>
      <w:r w:rsidRPr="00B13BCD">
        <w:t>, DCs pertain to the strategic choices made by a firm within a particular business context, whereas OI facilitates the processes of sensing, seizing, and reconfiguring. This underscores the necessity of incorporating inventive approaches into the processes of delivering services, emphasizing the importance of integrating novel concepts and techniques into service provision in alignment with the principles of OI.</w:t>
      </w:r>
    </w:p>
    <w:p w14:paraId="6E1CBA00" w14:textId="77777777" w:rsidR="003A4C45" w:rsidRPr="00B13BCD" w:rsidRDefault="003A4C45" w:rsidP="00B0761E">
      <w:pPr>
        <w:pStyle w:val="Heading2"/>
        <w:numPr>
          <w:ilvl w:val="1"/>
          <w:numId w:val="3"/>
        </w:numPr>
        <w:jc w:val="both"/>
      </w:pPr>
      <w:r w:rsidRPr="00B13BCD">
        <w:t>Theoretical implications</w:t>
      </w:r>
    </w:p>
    <w:p w14:paraId="5F1876B4" w14:textId="308C74D8" w:rsidR="003A4C45" w:rsidRPr="00B13BCD" w:rsidRDefault="003A4C45" w:rsidP="00427835">
      <w:pPr>
        <w:jc w:val="both"/>
      </w:pPr>
      <w:r w:rsidRPr="00B13BCD">
        <w:t xml:space="preserve">According to </w:t>
      </w:r>
      <w:r w:rsidRPr="00B13BCD">
        <w:fldChar w:fldCharType="begin" w:fldLock="1"/>
      </w:r>
      <w:r w:rsidRPr="00B13BCD">
        <w:instrText>ADDIN CSL_CITATION {"citationItems":[{"id":"ITEM-1","itemData":{"ISSN":"0959-6526","author":[{"dropping-particle":"","family":"Mousavi","given":"Seyedesmaeil","non-dropping-particle":"","parse-names":false,"suffix":""},{"dropping-particle":"","family":"Bossink","given":"Bart","non-dropping-particle":"","parse-names":false,"suffix":""},{"dropping-particle":"","family":"Vliet","given":"Mario","non-dropping-particle":"van","parse-names":false,"suffix":""}],"container-title":"Journal of cleaner production","id":"ITEM-1","issued":{"date-parts":[["2018"]]},"page":"224-239","publisher":"Elsevier","title":"Dynamic capabilities and organizational routines for managing innovation towards sustainability","type":"article-journal","volume":"203"},"uris":["http://www.mendeley.com/documents/?uuid=0472b828-31ee-4051-a36c-17bffc2f2273"]}],"mendeley":{"formattedCitation":"[101]","plainTextFormattedCitation":"[101]","previouslyFormattedCitation":"[101]"},"properties":{"noteIndex":0},"schema":"https://github.com/citation-style-language/schema/raw/master/csl-citation.json"}</w:instrText>
      </w:r>
      <w:r w:rsidRPr="00B13BCD">
        <w:fldChar w:fldCharType="separate"/>
      </w:r>
      <w:r w:rsidRPr="00B13BCD">
        <w:rPr>
          <w:noProof/>
        </w:rPr>
        <w:t>[1</w:t>
      </w:r>
      <w:r w:rsidR="00E51639">
        <w:rPr>
          <w:noProof/>
        </w:rPr>
        <w:t>15</w:t>
      </w:r>
      <w:r w:rsidRPr="00B13BCD">
        <w:rPr>
          <w:noProof/>
        </w:rPr>
        <w:t>]</w:t>
      </w:r>
      <w:r w:rsidRPr="00B13BCD">
        <w:fldChar w:fldCharType="end"/>
      </w:r>
      <w:r w:rsidRPr="00B13BCD">
        <w:t xml:space="preserve">, the ability and inclination of a firm to execute an organizational transformation are contingent upon its DCs. Consequently, DCs play a vital role in attaining CE </w:t>
      </w:r>
      <w:r w:rsidRPr="00B13BCD">
        <w:fldChar w:fldCharType="begin" w:fldLock="1"/>
      </w:r>
      <w:r w:rsidRPr="00B13BCD">
        <w:instrText>ADDIN CSL_CITATION {"citationItems":[{"id":"ITEM-1","itemData":{"ISSN":"1535-3958","author":[{"dropping-particle":"","family":"Khan","given":"Owais","non-dropping-particle":"","parse-names":false,"suffix":""},{"dropping-particle":"","family":"Daddi","given":"Tiberio","non-dropping-particle":"","parse-names":false,"suffix":""},{"dropping-particle":"","family":"Iraldo","given":"Fabio","non-dropping-particle":"","parse-names":false,"suffix":""}],"container-title":"Corporate Social Responsibility and Environmental Management","id":"ITEM-1","issue":"6","issued":{"date-parts":[["2020"]]},"page":"3018-3033","publisher":"Wiley Online Library","title":"The role of dynamic capabilities in circular economy implementation and performance of companies","type":"article-journal","volume":"27"},"uris":["http://www.mendeley.com/documents/?uuid=f29e49f0-2a00-42a3-82b5-8f3efdf66f01"]}],"mendeley":{"formattedCitation":"[102]","plainTextFormattedCitation":"[102]","previouslyFormattedCitation":"[102]"},"properties":{"noteIndex":0},"schema":"https://github.com/citation-style-language/schema/raw/master/csl-citation.json"}</w:instrText>
      </w:r>
      <w:r w:rsidRPr="00B13BCD">
        <w:fldChar w:fldCharType="separate"/>
      </w:r>
      <w:r w:rsidRPr="00B13BCD">
        <w:rPr>
          <w:noProof/>
        </w:rPr>
        <w:t>[1</w:t>
      </w:r>
      <w:r w:rsidR="00E51639">
        <w:rPr>
          <w:noProof/>
        </w:rPr>
        <w:t>16</w:t>
      </w:r>
      <w:r w:rsidRPr="00B13BCD">
        <w:rPr>
          <w:noProof/>
        </w:rPr>
        <w:t>]</w:t>
      </w:r>
      <w:r w:rsidRPr="00B13BCD">
        <w:fldChar w:fldCharType="end"/>
      </w:r>
      <w:r w:rsidRPr="00B13BCD">
        <w:t xml:space="preserve">. This study emphasizes the significance of clearly distinguishing SI and SDI as distinct concepts, while also considering their integration within the broader framework of CE and OI. OI enhances collaboration and knowledge sharing, influencing both SI and SDI by integrating external innovations into </w:t>
      </w:r>
      <w:r w:rsidR="00697DB6">
        <w:t>SD</w:t>
      </w:r>
      <w:r w:rsidRPr="00B13BCD">
        <w:t xml:space="preserve"> processes, hence enhancing customer experiences. In this study, we examine how the two separate capabilities (SI and SDI) collaborate to build “combinative capabilities” </w:t>
      </w:r>
      <w:r w:rsidRPr="00B13BCD">
        <w:fldChar w:fldCharType="begin" w:fldLock="1"/>
      </w:r>
      <w:r w:rsidRPr="00B13BCD">
        <w:instrText>ADDIN CSL_CITATION {"citationItems":[{"id":"ITEM-1","itemData":{"ISSN":"1047-7039","author":[{"dropping-particle":"","family":"Kogut","given":"Bruce","non-dropping-particle":"","parse-names":false,"suffix":""},{"dropping-particle":"","family":"Zander","given":"Udo","non-dropping-particle":"","parse-names":false,"suffix":""}],"container-title":"Organization science","id":"ITEM-1","issue":"3","issued":{"date-parts":[["1992"]]},"page":"383-397","publisher":"INFORMS","title":"Knowledge of the firm, combinative capabilities, and the replication of technology","type":"article-journal","volume":"3"},"uris":["http://www.mendeley.com/documents/?uuid=3ffe3b42-c17a-4383-b795-a45baaeabbe8"]}],"mendeley":{"formattedCitation":"[103]","plainTextFormattedCitation":"[103]","previouslyFormattedCitation":"[103]"},"properties":{"noteIndex":0},"schema":"https://github.com/citation-style-language/schema/raw/master/csl-citation.json"}</w:instrText>
      </w:r>
      <w:r w:rsidRPr="00B13BCD">
        <w:fldChar w:fldCharType="separate"/>
      </w:r>
      <w:r w:rsidRPr="00B13BCD">
        <w:rPr>
          <w:noProof/>
        </w:rPr>
        <w:t>[1</w:t>
      </w:r>
      <w:r w:rsidR="00E51639">
        <w:rPr>
          <w:noProof/>
        </w:rPr>
        <w:t>17</w:t>
      </w:r>
      <w:r w:rsidRPr="00B13BCD">
        <w:rPr>
          <w:noProof/>
        </w:rPr>
        <w:t>]</w:t>
      </w:r>
      <w:r w:rsidRPr="00B13BCD">
        <w:fldChar w:fldCharType="end"/>
      </w:r>
      <w:r w:rsidRPr="00B13BCD">
        <w:t xml:space="preserve"> and produce value greater than the sum of the parts. The capabilities can reconfigure the resources in an ongoing manner to maneuver and accommodate market change </w:t>
      </w:r>
      <w:r w:rsidRPr="00B13BCD">
        <w:fldChar w:fldCharType="begin" w:fldLock="1"/>
      </w:r>
      <w:r w:rsidRPr="00B13BCD">
        <w:instrText>ADDIN CSL_CITATION {"citationItems":[{"id":"ITEM-1","itemData":{"DOI":"10.1002/1097-0266(200010/11)21:10/11&lt;1105::AID-SMJ133&gt;3.0.CO;2-E","ISSN":"01432095","abstract":"This paper focuses on dynamic capabilities and, more generally, the resource-based view of the firm. We argue that dynamic capabilities are a set of specific and identifiable processes such as product development, strategic decision making, and alliancing. They are neither vague nor tautological. Although dynamic capabilities are idiosyncratic in their details and path dependent in their emergence, they have significant commonalities across firms (popularly termed 'best practice'). This suggests that they are more homogeneous, fungible, equifinal, and substitutable than is usually assumed. In moderately dynamic markets, dynamic capabilities resemble the traditional conception of routines. They an detailed, analytic, stable processes with predictable outcomes. In contrast, in high-velocity markets, they are simple, highly experiential and fragile processes with unpredictable outcomes. Finally, well-known learning mechanisms guide the evolution of dynamic capabilities. In moderately dynamic markets, the evolutionary emphasis is on variation, in high-velocity markets, it is on selection. At the level of RBV, we conclude that traditional RBV misidentifies the locus of long-term competitive advantage in dynamic markets, overemphasizes the strategic logic of leverage, and reaches a boundary condition in high-velocity markets. Copyright © 2000 John Wiley &amp; Sons, Ltd.","author":[{"dropping-particle":"","family":"Eisenhardt","given":"Kathleen M.","non-dropping-particle":"","parse-names":false,"suffix":""},{"dropping-particle":"","family":"Martin","given":"Jeffrey A.","non-dropping-particle":"","parse-names":false,"suffix":""}],"container-title":"Strategic Management Journal","id":"ITEM-1","issue":"10-11","issued":{"date-parts":[["2000"]]},"page":"1105-1121","title":"Dynamic capabilities: What are they?","type":"article-journal","volume":"21"},"uris":["http://www.mendeley.com/documents/?uuid=71d1d7f7-5276-44f9-910f-42393aadb3b9"]}],"mendeley":{"formattedCitation":"[104]","plainTextFormattedCitation":"[104]","previouslyFormattedCitation":"[104]"},"properties":{"noteIndex":0},"schema":"https://github.com/citation-style-language/schema/raw/master/csl-citation.json"}</w:instrText>
      </w:r>
      <w:r w:rsidRPr="00B13BCD">
        <w:fldChar w:fldCharType="separate"/>
      </w:r>
      <w:r w:rsidRPr="00B13BCD">
        <w:rPr>
          <w:noProof/>
        </w:rPr>
        <w:t>[1</w:t>
      </w:r>
      <w:r w:rsidR="00E51639">
        <w:rPr>
          <w:noProof/>
        </w:rPr>
        <w:t>18</w:t>
      </w:r>
      <w:r w:rsidRPr="00B13BCD">
        <w:rPr>
          <w:noProof/>
        </w:rPr>
        <w:t>]</w:t>
      </w:r>
      <w:r w:rsidRPr="00B13BCD">
        <w:fldChar w:fldCharType="end"/>
      </w:r>
      <w:r w:rsidRPr="00B13BCD">
        <w:t xml:space="preserve">. Our findings demonstrated the advantage of applying both constructs together for the first time. </w:t>
      </w:r>
    </w:p>
    <w:p w14:paraId="488EB606" w14:textId="440977DA" w:rsidR="003A4C45" w:rsidRPr="00B13BCD" w:rsidRDefault="003A4C45" w:rsidP="00427835">
      <w:pPr>
        <w:jc w:val="both"/>
      </w:pPr>
      <w:r w:rsidRPr="00B13BCD">
        <w:t xml:space="preserve">SI is found to have a positive and </w:t>
      </w:r>
      <w:bookmarkStart w:id="25" w:name="_Int_WsMgoRGY"/>
      <w:r w:rsidRPr="00B13BCD">
        <w:t>significant relationship</w:t>
      </w:r>
      <w:bookmarkEnd w:id="25"/>
      <w:r w:rsidRPr="00B13BCD">
        <w:t xml:space="preserve"> with CVC, CS, and CL. The analysis reveals that, while SI is crucial, SDI moderates its relationship with CVC such that more value is created when more innovation is imbued in the </w:t>
      </w:r>
      <w:r w:rsidR="00697DB6">
        <w:t>SD</w:t>
      </w:r>
      <w:r w:rsidRPr="00B13BCD">
        <w:t xml:space="preserve"> process. The operand related to SDI needs to consider the environment of </w:t>
      </w:r>
      <w:r w:rsidR="00697DB6">
        <w:t>SD</w:t>
      </w:r>
      <w:r w:rsidRPr="00B13BCD">
        <w:t xml:space="preserve">, which can be unique for each customer. According to the survey undertaken, the operand can be the phone (device or hardware) of the customer to which the service is being delivered. </w:t>
      </w:r>
      <w:r w:rsidRPr="00B13BCD">
        <w:fldChar w:fldCharType="begin" w:fldLock="1"/>
      </w:r>
      <w:r w:rsidRPr="00B13BCD">
        <w:instrText>ADDIN CSL_CITATION {"citationItems":[{"id":"ITEM-1","itemData":{"ISSN":"0148-2963","author":[{"dropping-particle":"","family":"Lusch","given":"Robert F","non-dropping-particle":"","parse-names":false,"suffix":""},{"dropping-particle":"","family":"Vargo","given":"Stephen L","non-dropping-particle":"","parse-names":false,"suffix":""},{"dropping-particle":"","family":"Gustafsson","given":"Anders","non-dropping-particle":"","parse-names":false,"suffix":""}],"container-title":"Journal of Business Research","id":"ITEM-1","issue":"8","issued":{"date-parts":[["2016"]]},"page":"2957-2963","publisher":"Elsevier","title":"Fostering a trans-disciplinary perspectives of service ecosystems","type":"article-journal","volume":"69"},"uris":["http://www.mendeley.com/documents/?uuid=b345c384-7e55-4362-8928-6822c44c66c8"]}],"mendeley":{"formattedCitation":"[30]","plainTextFormattedCitation":"[30]","previouslyFormattedCitation":"[30]"},"properties":{"noteIndex":0},"schema":"https://github.com/citation-style-language/schema/raw/master/csl-citation.json"}</w:instrText>
      </w:r>
      <w:r w:rsidRPr="00B13BCD">
        <w:fldChar w:fldCharType="separate"/>
      </w:r>
      <w:r w:rsidRPr="00B13BCD">
        <w:rPr>
          <w:noProof/>
        </w:rPr>
        <w:t>[30]</w:t>
      </w:r>
      <w:r w:rsidRPr="00B13BCD">
        <w:fldChar w:fldCharType="end"/>
      </w:r>
      <w:r w:rsidRPr="00B13BCD">
        <w:t xml:space="preserve"> emphasized that resource integration possibilities are unlimited. A new service that gets developed must factor in the delivery of the service to different customers. Hence, the operant resources need to work on the operand resources (a phone in this case), considering all the user interface challenges the user might experience while using the device. This resembles DCs working with other resources and capabilities to create value by sensing and seizing opportunities and redeploying and reconfiguring a firm’s resource base. This also adds to the theory by integrating the DCs into the S-D logic. </w:t>
      </w:r>
    </w:p>
    <w:p w14:paraId="25E9EDD5" w14:textId="77777777" w:rsidR="003A4C45" w:rsidRPr="00B13BCD" w:rsidRDefault="003A4C45" w:rsidP="00427835">
      <w:pPr>
        <w:jc w:val="both"/>
      </w:pPr>
      <w:r w:rsidRPr="00B13BCD">
        <w:rPr>
          <w:rFonts w:cstheme="minorHAnsi"/>
          <w:lang w:val="en-GB" w:eastAsia="en-GB" w:bidi="hi-IN"/>
        </w:rPr>
        <w:t xml:space="preserve">Through this integration, we acknowledge that value creation is not solely dependent on the possession of distinctive resources, </w:t>
      </w:r>
      <w:r w:rsidRPr="00B13BCD">
        <w:rPr>
          <w:rFonts w:cstheme="minorHAnsi"/>
          <w:lang w:val="en-GB" w:eastAsia="en-GB" w:bidi="hi-IN"/>
        </w:rPr>
        <w:t>but also on the ongoing dynamic reconfiguration and integration of these resources in collaboration with multiple actors. The DC framework facilitates the agility and responsiveness necessary to adjust to changing circumstances, whereas S-D logic offers a more comprehensive comprehension of value co-creation through intricate and dynamic interactions.</w:t>
      </w:r>
      <w:r w:rsidRPr="00B13BCD">
        <w:t xml:space="preserve"> </w:t>
      </w:r>
    </w:p>
    <w:p w14:paraId="1A55BC34" w14:textId="77777777" w:rsidR="003A4C45" w:rsidRPr="00B13BCD" w:rsidRDefault="003A4C45" w:rsidP="00427835">
      <w:pPr>
        <w:pStyle w:val="Heading2"/>
        <w:numPr>
          <w:ilvl w:val="1"/>
          <w:numId w:val="3"/>
        </w:numPr>
        <w:jc w:val="both"/>
      </w:pPr>
      <w:r w:rsidRPr="00B13BCD">
        <w:t>Managerial implications</w:t>
      </w:r>
    </w:p>
    <w:p w14:paraId="6621D6BA" w14:textId="3C192E80" w:rsidR="003A4C45" w:rsidRPr="00B13BCD" w:rsidRDefault="003A4C45" w:rsidP="00427835">
      <w:pPr>
        <w:jc w:val="both"/>
      </w:pPr>
      <w:r w:rsidRPr="00B13BCD">
        <w:t xml:space="preserve">The investigation into the relationship between SI and SDI, along with the importance of CVC, provides valuable guidance for telecommunications industry managers who want to improve CS and strengthen CL. The telecommunications service industry is operating in a hypercompetitive environment, which has led to the commoditization of voice and data services, making it a bigger concern for CE. As a result of the substantial expansion resulting from rapid technological advancements, the telecom industry faces an urgent concern regarding sustainability. As the telecommunications business approaches commoditization, maintaining CL remains uncertain and fragile </w:t>
      </w:r>
      <w:r w:rsidRPr="00B13BCD">
        <w:fldChar w:fldCharType="begin" w:fldLock="1"/>
      </w:r>
      <w:r w:rsidRPr="00B13BCD">
        <w:instrText>ADDIN CSL_CITATION {"citationItems":[{"id":"ITEM-1","itemData":{"ISBN":"1317163753","author":[{"dropping-particle":"","family":"Holmes","given":"Andrew","non-dropping-particle":"","parse-names":false,"suffix":""}],"id":"ITEM-1","issued":{"date-parts":[["2016"]]},"publisher":"CRC Press","title":"Commoditization and the strategic response","type":"book"},"uris":["http://www.mendeley.com/documents/?uuid=bacee841-74f5-40ce-bd93-952c1bb5aae4"]},{"id":"ITEM-2","itemData":{"DOI":"10.1002/smj","ISBN":"1097-0266","ISSN":"01432095","abstract":"Examining how compensation structure affects mobility and entrepreneurship decisions of employees, particularly those at the extreme ends of the performance distribution, we find that employees with high performance are less likely to leave firms with highly dispersed compensation. However, if these “high performers” do leave these employers, they are more likely to create or join new firms. Employees with lower performance are more likely to leave firms with high pay dispersion, but less likely to move to new ventures. Additionally, we show that mobility and entrepreneurship result in employees’ receiving higher compensation, regardless of their performance level.","author":[{"dropping-particle":"","family":"Carnahan","given":"Seth","non-dropping-particle":"","parse-names":false,"suffix":""},{"dropping-particle":"","family":"Agarwal","given":"Rajshree","non-dropping-particle":"","parse-names":false,"suffix":""},{"dropping-particle":"","family":"Campbell","given":"Benjamin","non-dropping-particle":"","parse-names":false,"suffix":""}],"container-title":"Business","id":"ITEM-2","issue":"March 2015","issued":{"date-parts":[["2010"]]},"page":"1-43","title":"The Effect of Firm Compensation Structures on the Mobility and Entrepreneurship of Extreme Performers","type":"article-journal","volume":"1239"},"uris":["http://www.mendeley.com/documents/?uuid=f7243561-91f3-4344-80c4-e73ff5409d53"]}],"mendeley":{"formattedCitation":"[105], [106]","plainTextFormattedCitation":"[105], [106]","previouslyFormattedCitation":"[105], [106]"},"properties":{"noteIndex":0},"schema":"https://github.com/citation-style-language/schema/raw/master/csl-citation.json"}</w:instrText>
      </w:r>
      <w:r w:rsidRPr="00B13BCD">
        <w:fldChar w:fldCharType="separate"/>
      </w:r>
      <w:r w:rsidRPr="00B13BCD">
        <w:rPr>
          <w:noProof/>
        </w:rPr>
        <w:t>[1</w:t>
      </w:r>
      <w:r w:rsidR="00E51639">
        <w:rPr>
          <w:noProof/>
        </w:rPr>
        <w:t>19</w:t>
      </w:r>
      <w:r w:rsidRPr="00B13BCD">
        <w:rPr>
          <w:noProof/>
        </w:rPr>
        <w:t>], [1</w:t>
      </w:r>
      <w:r w:rsidR="00E51639">
        <w:rPr>
          <w:noProof/>
        </w:rPr>
        <w:t>20</w:t>
      </w:r>
      <w:r w:rsidRPr="00B13BCD">
        <w:rPr>
          <w:noProof/>
        </w:rPr>
        <w:t>]</w:t>
      </w:r>
      <w:r w:rsidRPr="00B13BCD">
        <w:fldChar w:fldCharType="end"/>
      </w:r>
      <w:r w:rsidRPr="00B13BCD">
        <w:t xml:space="preserve">. The establishment of this infrastructure often necessitates the acquisition of new equipment, which places a burden on the global supply of raw materials and necessitates increased power consumption due to the densification of networks </w:t>
      </w:r>
      <w:r w:rsidRPr="00B13BCD">
        <w:fldChar w:fldCharType="begin" w:fldLock="1"/>
      </w:r>
      <w:r w:rsidRPr="00B13BCD">
        <w:instrText>ADDIN CSL_CITATION {"citationItems":[{"id":"ITEM-1","itemData":{"author":[{"dropping-particle":"","family":"Ingvarson","given":"Emma","non-dropping-particle":"","parse-names":false,"suffix":""},{"dropping-particle":"","family":"Evelina","given":"Brynzér","non-dropping-particle":"","parse-names":false,"suffix":""}],"id":"ITEM-1","issued":{"date-parts":[["2022"]]},"title":"Debunking-telcos-circular-economy-myths","type":"report"},"uris":["http://www.mendeley.com/documents/?uuid=0303df28-945f-411d-862b-bd1e5dc2e2fc"]}],"mendeley":{"formattedCitation":"[107]","plainTextFormattedCitation":"[107]","previouslyFormattedCitation":"[107]"},"properties":{"noteIndex":0},"schema":"https://github.com/citation-style-language/schema/raw/master/csl-citation.json"}</w:instrText>
      </w:r>
      <w:r w:rsidRPr="00B13BCD">
        <w:fldChar w:fldCharType="separate"/>
      </w:r>
      <w:r w:rsidRPr="00B13BCD">
        <w:rPr>
          <w:noProof/>
        </w:rPr>
        <w:t>[1</w:t>
      </w:r>
      <w:r w:rsidR="00E51639">
        <w:rPr>
          <w:noProof/>
        </w:rPr>
        <w:t>21</w:t>
      </w:r>
      <w:r w:rsidRPr="00B13BCD">
        <w:rPr>
          <w:noProof/>
        </w:rPr>
        <w:t>]</w:t>
      </w:r>
      <w:r w:rsidRPr="00B13BCD">
        <w:fldChar w:fldCharType="end"/>
      </w:r>
      <w:r w:rsidRPr="00B13BCD">
        <w:t xml:space="preserve">. </w:t>
      </w:r>
    </w:p>
    <w:p w14:paraId="3B37947B" w14:textId="5632F4F5" w:rsidR="003A4C45" w:rsidRPr="00B13BCD" w:rsidRDefault="003A4C45" w:rsidP="00427835">
      <w:pPr>
        <w:jc w:val="both"/>
      </w:pPr>
      <w:r w:rsidRPr="00B13BCD">
        <w:rPr>
          <w:rFonts w:cstheme="minorHAnsi"/>
          <w:lang w:val="en-GB" w:eastAsia="en-GB" w:bidi="hi-IN"/>
        </w:rPr>
        <w:t xml:space="preserve">The integrated perspective of S-D logic and DC view suggests that organizations should prioritize the development of DCs that enable the co-creation of value by integrating resources with a variety of stakeholders. This method not only improves CS, CL and CVC, but also guarantees that the organization remains adaptable and responsive to market fluctuations. </w:t>
      </w:r>
      <w:r w:rsidRPr="00B13BCD">
        <w:t>Recognizing the temporary nature of CL, telecommunications companies often carry out CS surveys to obtain crucial insights into changing consumer preferences and expectations. These insights are crucial for R&amp;D, marketing, and customer service efforts, enabling managers to proactively meet changing client expectations. In addition to immediate operational improvements, the industry's trajectory requires the implementation of CE concepts and OI methodologies. Telecom managers may reduce waste, extend product lifecycle, and provide environmentally friendly services using CE principles like recycle, reuse, repair, and remanufacture, aligning it with UN sustainable development goals and ITU’s Connect-2030 Agenda (ITU-T L.1031</w:t>
      </w:r>
      <w:r w:rsidRPr="00B13BCD">
        <w:rPr>
          <w:rStyle w:val="FootnoteReference"/>
        </w:rPr>
        <w:footnoteReference w:id="3"/>
      </w:r>
      <w:r w:rsidRPr="00B13BCD">
        <w:t xml:space="preserve">) </w:t>
      </w:r>
      <w:r w:rsidRPr="00B13BCD">
        <w:fldChar w:fldCharType="begin" w:fldLock="1"/>
      </w:r>
      <w:r w:rsidRPr="00B13BCD">
        <w:instrText>ADDIN CSL_CITATION {"citationItems":[{"id":"ITEM-1","itemData":{"author":[{"dropping-particle":"","family":"Agarwal","given":"Arun","non-dropping-particle":"","parse-names":false,"suffix":""}],"id":"ITEM-1","issued":{"date-parts":[["2023"]]},"title":"Circular Economy in Indian Telecom Sector: Vision, Strategy and Action Plan","type":"report"},"uris":["http://www.mendeley.com/documents/?uuid=3497b79c-c45e-4077-9cfa-c1eaf04ea0af"]}],"mendeley":{"formattedCitation":"[82]","plainTextFormattedCitation":"[82]"},"properties":{"noteIndex":0},"schema":"https://github.com/citation-style-language/schema/raw/master/csl-citation.json"}</w:instrText>
      </w:r>
      <w:r w:rsidRPr="00B13BCD">
        <w:fldChar w:fldCharType="separate"/>
      </w:r>
      <w:r w:rsidRPr="00B13BCD">
        <w:rPr>
          <w:noProof/>
        </w:rPr>
        <w:t>[</w:t>
      </w:r>
      <w:r w:rsidR="00E51639">
        <w:rPr>
          <w:noProof/>
        </w:rPr>
        <w:t>96</w:t>
      </w:r>
      <w:r w:rsidRPr="00B13BCD">
        <w:rPr>
          <w:noProof/>
        </w:rPr>
        <w:t>]</w:t>
      </w:r>
      <w:r w:rsidRPr="00B13BCD">
        <w:fldChar w:fldCharType="end"/>
      </w:r>
      <w:r w:rsidRPr="00B13BCD">
        <w:t xml:space="preserve">. The managers must prioritize customer-centric, value-creating innovations that follow CE and OI principles. </w:t>
      </w:r>
    </w:p>
    <w:p w14:paraId="5E4816A3" w14:textId="4A185987" w:rsidR="003A4C45" w:rsidRPr="00B13BCD" w:rsidRDefault="003A4C45" w:rsidP="00B0761E">
      <w:pPr>
        <w:pStyle w:val="Heading2"/>
        <w:numPr>
          <w:ilvl w:val="1"/>
          <w:numId w:val="3"/>
        </w:numPr>
      </w:pPr>
      <w:r w:rsidRPr="00B13BCD">
        <w:t>Limitations and future research</w:t>
      </w:r>
    </w:p>
    <w:p w14:paraId="6ED3B376" w14:textId="0E9950E5" w:rsidR="001B36B1" w:rsidRPr="0013354F" w:rsidRDefault="003A4C45" w:rsidP="00427835">
      <w:pPr>
        <w:ind w:firstLine="144"/>
        <w:jc w:val="both"/>
      </w:pPr>
      <w:r w:rsidRPr="00B13BCD">
        <w:t xml:space="preserve">No study is without limitations, and we are cognizant of some of our own. The survey was designed to capture the views of mobile service users. Kolkata, India's third-largest city, received 60% of the responses, with the balance coming from other cities. The study's limitations include only an urban, educated, English-speaking population.  Additionally, there might be other facets of the mobile service MNO company that add value to customers but haven't been fully or even partially covered by SI. A future study can focus on the Indian rural telephony market. Comparing rival organizations' innovations </w:t>
      </w:r>
      <w:r w:rsidRPr="00B13BCD">
        <w:lastRenderedPageBreak/>
        <w:t>from the standpoint of OI and CE leading to CVC adds another dimension. Further research on secondary data on customer porting from one firm to another is possible, as well as comparing different state models and MNOs to see which has lost and gained the most customers and why. The current study did not differentiate between retail and corporate customers, which can be used as a differentiator in future studies</w:t>
      </w:r>
      <w:r w:rsidR="001B36B1" w:rsidRPr="00113F26">
        <w:rPr>
          <w:rStyle w:val="BodyText2"/>
          <w:rFonts w:ascii="Times" w:hAnsi="Times"/>
          <w:sz w:val="20"/>
          <w:szCs w:val="20"/>
        </w:rPr>
        <w:t>.</w:t>
      </w:r>
    </w:p>
    <w:p w14:paraId="5E8AEDEC" w14:textId="4E029C1A" w:rsidR="00E97402" w:rsidRDefault="00EC7077" w:rsidP="00B0761E">
      <w:pPr>
        <w:pStyle w:val="Heading1"/>
      </w:pPr>
      <w:r>
        <w:t>CONCLUSION</w:t>
      </w:r>
    </w:p>
    <w:p w14:paraId="12D670B9" w14:textId="1D3DB151" w:rsidR="00E97402" w:rsidRPr="00CD684F" w:rsidRDefault="003A4C45" w:rsidP="00427835">
      <w:pPr>
        <w:pStyle w:val="Heading2"/>
        <w:numPr>
          <w:ilvl w:val="0"/>
          <w:numId w:val="0"/>
        </w:numPr>
        <w:jc w:val="both"/>
        <w:rPr>
          <w:i w:val="0"/>
        </w:rPr>
      </w:pPr>
      <w:r w:rsidRPr="003A4C45">
        <w:rPr>
          <w:i w:val="0"/>
        </w:rPr>
        <w:t xml:space="preserve">This study, for the first time, uses two innovation constructs, SDI and SI, to understand their impacts, individually and in conjunction, on the created value to generate CS and CL. From a broader standpoint, it becomes increasingly evident that SI and SDI are crucial elements of the overarching notion of OI. OI principles not only facilitate these features but also play a pivotal role in directing enterprises towards embracing CE principles. Shifting external factors and industry competition compel enterprises to have the capability to address evolving customer preferences. The integration of CE concepts into </w:t>
      </w:r>
      <w:r w:rsidR="00697DB6">
        <w:rPr>
          <w:i w:val="0"/>
        </w:rPr>
        <w:t>SI</w:t>
      </w:r>
      <w:r w:rsidRPr="003A4C45">
        <w:rPr>
          <w:i w:val="0"/>
        </w:rPr>
        <w:t xml:space="preserve"> and </w:t>
      </w:r>
      <w:r w:rsidR="00697DB6">
        <w:rPr>
          <w:i w:val="0"/>
        </w:rPr>
        <w:t>SD</w:t>
      </w:r>
      <w:r w:rsidRPr="003A4C45">
        <w:rPr>
          <w:i w:val="0"/>
        </w:rPr>
        <w:t xml:space="preserve"> amplifies the influence of these principles and showcases a commitment to generating sustainable value. Hence, establishing a conducive environment for OI not only fosters uniqueness but also facilitates the adoption of CE techniques, ultimately driving the generation of customer value, satisfaction, and loyalty in a dynamic market</w:t>
      </w:r>
      <w:r w:rsidR="00E97402" w:rsidRPr="00CD684F">
        <w:rPr>
          <w:i w:val="0"/>
        </w:rPr>
        <w:t xml:space="preserve">. </w:t>
      </w:r>
    </w:p>
    <w:p w14:paraId="5F0A8E2C" w14:textId="7C58515B" w:rsidR="00E97402" w:rsidRDefault="00EC7077">
      <w:pPr>
        <w:pStyle w:val="ReferenceHead"/>
      </w:pPr>
      <w:r>
        <w:t>REFERENCES</w:t>
      </w:r>
    </w:p>
    <w:p w14:paraId="1C379D81" w14:textId="77777777" w:rsidR="003A4C45" w:rsidRDefault="003A4C45" w:rsidP="003A4C45">
      <w:pPr>
        <w:pStyle w:val="References"/>
        <w:numPr>
          <w:ilvl w:val="0"/>
          <w:numId w:val="0"/>
        </w:numPr>
      </w:pPr>
    </w:p>
    <w:p w14:paraId="208B7D84" w14:textId="68C9AA75" w:rsidR="003A4C45" w:rsidRDefault="003A4C45" w:rsidP="00F26239">
      <w:pPr>
        <w:pStyle w:val="References"/>
        <w:tabs>
          <w:tab w:val="num" w:pos="426"/>
        </w:tabs>
        <w:ind w:left="426" w:hanging="426"/>
      </w:pPr>
      <w:r>
        <w:t>D. Sumter, J. de Koning, C. Bakker, and R. Balkenende, “Key competencies for design in a circular economy: Exploring gaps in design knowledge and skills for a circular economy,” Sustainability, vol. 13, no. 2, p. 776, 2021.</w:t>
      </w:r>
    </w:p>
    <w:p w14:paraId="225AF19E" w14:textId="09686D6B" w:rsidR="003A4C45" w:rsidRDefault="003A4C45" w:rsidP="00F26239">
      <w:pPr>
        <w:pStyle w:val="References"/>
        <w:tabs>
          <w:tab w:val="num" w:pos="426"/>
        </w:tabs>
        <w:ind w:left="426" w:hanging="426"/>
      </w:pPr>
      <w:r>
        <w:t xml:space="preserve">K. Govindan and M. </w:t>
      </w:r>
      <w:proofErr w:type="spellStart"/>
      <w:r>
        <w:t>Hasanagic</w:t>
      </w:r>
      <w:proofErr w:type="spellEnd"/>
      <w:r>
        <w:t>, “A systematic review on drivers, barriers, and practices towards circular economy: a supply chain perspective,” Int. J. Prod. Res., vol. 56, no. 1–2, pp. 278–311, 2018.</w:t>
      </w:r>
    </w:p>
    <w:p w14:paraId="15F40AE0" w14:textId="30CC193C" w:rsidR="003A4C45" w:rsidRDefault="003A4C45" w:rsidP="00F26239">
      <w:pPr>
        <w:pStyle w:val="References"/>
        <w:tabs>
          <w:tab w:val="num" w:pos="426"/>
        </w:tabs>
        <w:ind w:left="426" w:hanging="426"/>
      </w:pPr>
      <w:r>
        <w:t xml:space="preserve">M. </w:t>
      </w:r>
      <w:proofErr w:type="spellStart"/>
      <w:r>
        <w:t>Geissdoerfer</w:t>
      </w:r>
      <w:proofErr w:type="spellEnd"/>
      <w:r>
        <w:t xml:space="preserve">, P. </w:t>
      </w:r>
      <w:proofErr w:type="spellStart"/>
      <w:r>
        <w:t>Savaget</w:t>
      </w:r>
      <w:proofErr w:type="spellEnd"/>
      <w:r>
        <w:t xml:space="preserve">, N. M. P. </w:t>
      </w:r>
      <w:proofErr w:type="spellStart"/>
      <w:r>
        <w:t>Bocken</w:t>
      </w:r>
      <w:proofErr w:type="spellEnd"/>
      <w:r>
        <w:t xml:space="preserve">, and E. J. </w:t>
      </w:r>
      <w:proofErr w:type="spellStart"/>
      <w:r>
        <w:t>Hultink</w:t>
      </w:r>
      <w:proofErr w:type="spellEnd"/>
      <w:r>
        <w:t xml:space="preserve">, “The Circular Economy–A new sustainability </w:t>
      </w:r>
      <w:proofErr w:type="gramStart"/>
      <w:r>
        <w:t>paradigm?,</w:t>
      </w:r>
      <w:proofErr w:type="gramEnd"/>
      <w:r>
        <w:t>” J. Clean. Prod., vol. 143, pp. 757–768, 2017.</w:t>
      </w:r>
    </w:p>
    <w:p w14:paraId="4E51E9FF" w14:textId="225B07C8" w:rsidR="003A4C45" w:rsidRDefault="003A4C45" w:rsidP="00F26239">
      <w:pPr>
        <w:pStyle w:val="References"/>
        <w:tabs>
          <w:tab w:val="num" w:pos="426"/>
        </w:tabs>
        <w:ind w:left="426" w:hanging="426"/>
      </w:pPr>
      <w:r>
        <w:t>R. Merli, M. Preziosi, and A. Acampora, “How do scholars approach the circular economy? A systematic literature review,” J. Clean. Prod., vol. 178, pp. 703–722, 2018.</w:t>
      </w:r>
    </w:p>
    <w:p w14:paraId="378AC570" w14:textId="03B4A35C" w:rsidR="003A4C45" w:rsidRDefault="003A4C45" w:rsidP="00F26239">
      <w:pPr>
        <w:pStyle w:val="References"/>
        <w:tabs>
          <w:tab w:val="num" w:pos="426"/>
        </w:tabs>
        <w:ind w:left="426" w:hanging="426"/>
      </w:pPr>
      <w:r>
        <w:t xml:space="preserve">J. Kirchherr, D. </w:t>
      </w:r>
      <w:proofErr w:type="spellStart"/>
      <w:r>
        <w:t>Reike</w:t>
      </w:r>
      <w:proofErr w:type="spellEnd"/>
      <w:r>
        <w:t xml:space="preserve">, and M. Hekkert, “Conceptualizing the circular economy: An analysis of 114 definitions,” </w:t>
      </w:r>
      <w:proofErr w:type="spellStart"/>
      <w:r>
        <w:t>Resour</w:t>
      </w:r>
      <w:proofErr w:type="spellEnd"/>
      <w:r>
        <w:t xml:space="preserve">. </w:t>
      </w:r>
      <w:proofErr w:type="spellStart"/>
      <w:r>
        <w:t>Conserv</w:t>
      </w:r>
      <w:proofErr w:type="spellEnd"/>
      <w:r>
        <w:t xml:space="preserve">. </w:t>
      </w:r>
      <w:proofErr w:type="spellStart"/>
      <w:r>
        <w:t>Recycl</w:t>
      </w:r>
      <w:proofErr w:type="spellEnd"/>
      <w:r>
        <w:t>., vol. 127, pp. 221–232, 2017.</w:t>
      </w:r>
    </w:p>
    <w:p w14:paraId="61C51F72" w14:textId="52350DE9" w:rsidR="003A4C45" w:rsidRDefault="003A4C45" w:rsidP="00F26239">
      <w:pPr>
        <w:pStyle w:val="References"/>
        <w:tabs>
          <w:tab w:val="num" w:pos="426"/>
        </w:tabs>
        <w:ind w:left="426" w:hanging="426"/>
      </w:pPr>
      <w:r>
        <w:t>S. A. Neves and A. C. Marques, “Drivers and barriers in the transition from a linear economy to a circular economy,” J. Clean. Prod., vol. 341, p. 130865, 2022.</w:t>
      </w:r>
    </w:p>
    <w:p w14:paraId="6254365F" w14:textId="031895AA" w:rsidR="003A4C45" w:rsidRDefault="003A4C45" w:rsidP="00F26239">
      <w:pPr>
        <w:pStyle w:val="References"/>
        <w:tabs>
          <w:tab w:val="num" w:pos="426"/>
        </w:tabs>
        <w:ind w:left="426" w:hanging="426"/>
      </w:pPr>
      <w:r>
        <w:t xml:space="preserve">A. </w:t>
      </w:r>
      <w:proofErr w:type="spellStart"/>
      <w:r>
        <w:t>Felsberger</w:t>
      </w:r>
      <w:proofErr w:type="spellEnd"/>
      <w:r>
        <w:t>, F. H. Qaiser, A. Choudhary, and G. Reiner, “The impact of Industry 4.0 on the reconciliation of dynamic capabilities: Evidence from the European manufacturing industries,” Prod. Plan. Control, vol. 33, no. 2–3, pp. 277–300, 2022.</w:t>
      </w:r>
    </w:p>
    <w:p w14:paraId="53B6D22C" w14:textId="7B351D7B" w:rsidR="003A4C45" w:rsidRDefault="003A4C45" w:rsidP="00F26239">
      <w:pPr>
        <w:pStyle w:val="References"/>
        <w:tabs>
          <w:tab w:val="num" w:pos="426"/>
        </w:tabs>
        <w:ind w:left="426" w:hanging="426"/>
      </w:pPr>
      <w:r>
        <w:t xml:space="preserve">M. Bilal, K. I. A. Khan, M. J. </w:t>
      </w:r>
      <w:proofErr w:type="spellStart"/>
      <w:r>
        <w:t>Thaheem</w:t>
      </w:r>
      <w:proofErr w:type="spellEnd"/>
      <w:r>
        <w:t>, and A. R. Nasir, “Current state and barriers to the circular economy in the building sector: Towards a mitigation framework,” J. Clean. Prod., vol. 276, p. 123250, 2020.</w:t>
      </w:r>
    </w:p>
    <w:p w14:paraId="27A9BEE6" w14:textId="2F0380A6" w:rsidR="003A4C45" w:rsidRDefault="003A4C45" w:rsidP="00F26239">
      <w:pPr>
        <w:pStyle w:val="References"/>
        <w:tabs>
          <w:tab w:val="num" w:pos="426"/>
        </w:tabs>
        <w:ind w:left="426" w:hanging="426"/>
      </w:pPr>
      <w:r>
        <w:t xml:space="preserve">L. Ma, A. Ali, M. Shahzad, and A. Khan, “Factors of green innovation: the role of dynamic capabilities and knowledge sharing through green creativity,” </w:t>
      </w:r>
      <w:proofErr w:type="spellStart"/>
      <w:r>
        <w:t>Kybernetes</w:t>
      </w:r>
      <w:proofErr w:type="spellEnd"/>
      <w:r>
        <w:t>, 2022.</w:t>
      </w:r>
    </w:p>
    <w:p w14:paraId="360D3A06" w14:textId="04371B55" w:rsidR="003A4C45" w:rsidRDefault="003A4C45" w:rsidP="00F26239">
      <w:pPr>
        <w:pStyle w:val="References"/>
        <w:tabs>
          <w:tab w:val="num" w:pos="426"/>
        </w:tabs>
        <w:ind w:left="426" w:hanging="426"/>
      </w:pPr>
      <w:r>
        <w:t xml:space="preserve">S. K. Singh, M. Del Giudice, C. J. Chiappetta Jabbour, H. Latan, and A. S. Sohal, “Stakeholder pressure, green innovation, and performance in small and medium‐sized enterprises: The role of green dynamic capabilities,” Bus. </w:t>
      </w:r>
      <w:proofErr w:type="spellStart"/>
      <w:r>
        <w:t>Strateg</w:t>
      </w:r>
      <w:proofErr w:type="spellEnd"/>
      <w:r>
        <w:t>. Environ., vol. 31, no. 1, pp. 500–514, 2022.</w:t>
      </w:r>
    </w:p>
    <w:p w14:paraId="3477C20F" w14:textId="0A35017C" w:rsidR="003A4C45" w:rsidRDefault="003A4C45" w:rsidP="00F26239">
      <w:pPr>
        <w:pStyle w:val="References"/>
        <w:tabs>
          <w:tab w:val="num" w:pos="426"/>
        </w:tabs>
        <w:ind w:left="426" w:hanging="426"/>
      </w:pPr>
      <w:r>
        <w:t xml:space="preserve">S. L. Vargo and R. F. Lusch, “Evolving to a New Dominant Logic for Marketing,” J. Mark., vol. 68, no. 1, pp. 1–17, 2004, </w:t>
      </w:r>
      <w:proofErr w:type="spellStart"/>
      <w:r>
        <w:t>doi</w:t>
      </w:r>
      <w:proofErr w:type="spellEnd"/>
      <w:r>
        <w:t>: 10.1509/jmkg.68.1.1.24036.</w:t>
      </w:r>
    </w:p>
    <w:p w14:paraId="715C9708" w14:textId="33B63649" w:rsidR="003A4C45" w:rsidRDefault="003A4C45" w:rsidP="00F26239">
      <w:pPr>
        <w:pStyle w:val="References"/>
        <w:ind w:left="426" w:hanging="426"/>
      </w:pPr>
      <w:r>
        <w:t xml:space="preserve">H. Wieland, K. Koskela-Huotari, and S. L. Vargo, “Extending actor participation in value creation: an institutional view,” J. </w:t>
      </w:r>
      <w:proofErr w:type="spellStart"/>
      <w:r>
        <w:t>Strateg</w:t>
      </w:r>
      <w:proofErr w:type="spellEnd"/>
      <w:r>
        <w:t>. Mark., vol. 24, no. 3–4, pp. 210–226, 2016.</w:t>
      </w:r>
    </w:p>
    <w:p w14:paraId="081B0918" w14:textId="4D87B165" w:rsidR="003A4C45" w:rsidRDefault="003A4C45" w:rsidP="00F26239">
      <w:pPr>
        <w:pStyle w:val="References"/>
        <w:ind w:left="426" w:hanging="426"/>
      </w:pPr>
      <w:r>
        <w:t>J. A. Fehrer and H. Wieland, “A systemic logic for circular business models,” J. Bus. Res., vol. 125, pp. 609–620, 2021.</w:t>
      </w:r>
    </w:p>
    <w:p w14:paraId="10388283" w14:textId="2EAE0695" w:rsidR="003A4C45" w:rsidRDefault="003A4C45" w:rsidP="00F26239">
      <w:pPr>
        <w:pStyle w:val="References"/>
        <w:ind w:left="426" w:hanging="426"/>
      </w:pPr>
      <w:r>
        <w:t>S. L. Vargo, “Beyond circularity—A Service-dominant (SD) logic perspective,” Circ. Econ. Sustain., vol. 1, no. 1, pp. 257–260, 2021.</w:t>
      </w:r>
    </w:p>
    <w:p w14:paraId="62F3962F" w14:textId="10CC1E7A" w:rsidR="003A4C45" w:rsidRDefault="003A4C45" w:rsidP="00F26239">
      <w:pPr>
        <w:pStyle w:val="References"/>
        <w:ind w:left="426" w:hanging="426"/>
      </w:pPr>
      <w:r>
        <w:t xml:space="preserve">T. B. Lawrence and R. Suddaby, “1.6 institutions and institutional work,” Sage </w:t>
      </w:r>
      <w:proofErr w:type="spellStart"/>
      <w:r>
        <w:t>Handb</w:t>
      </w:r>
      <w:proofErr w:type="spellEnd"/>
      <w:r>
        <w:t>. Organ. Stud., pp. 215–254, 2006.</w:t>
      </w:r>
    </w:p>
    <w:p w14:paraId="5D532A47" w14:textId="77777777" w:rsidR="00606050" w:rsidRDefault="00606050" w:rsidP="00F26239">
      <w:pPr>
        <w:pStyle w:val="References"/>
        <w:ind w:left="426" w:hanging="426"/>
      </w:pPr>
      <w:r>
        <w:t xml:space="preserve">D. J. Teece, “Hand in glove: Open innovation and the dynamic capabilities framework,” </w:t>
      </w:r>
      <w:proofErr w:type="spellStart"/>
      <w:r>
        <w:t>Strateg</w:t>
      </w:r>
      <w:proofErr w:type="spellEnd"/>
      <w:r>
        <w:t>. Manag. Rev., vol. 1, no. 2, pp. 233–253, 2020</w:t>
      </w:r>
    </w:p>
    <w:p w14:paraId="35D56490" w14:textId="73429B77" w:rsidR="003A4C45" w:rsidRDefault="003A4C45" w:rsidP="00F26239">
      <w:pPr>
        <w:pStyle w:val="References"/>
        <w:ind w:left="426" w:hanging="426"/>
      </w:pPr>
      <w:r>
        <w:t xml:space="preserve">H. Chesbrough, W. Vanhaverbeke, and J. West, “Innovation Open,” 2006, </w:t>
      </w:r>
      <w:proofErr w:type="spellStart"/>
      <w:r>
        <w:t>doi</w:t>
      </w:r>
      <w:proofErr w:type="spellEnd"/>
      <w:r>
        <w:t>: 10.1111/j.1467-8691.2008.</w:t>
      </w:r>
      <w:proofErr w:type="gramStart"/>
      <w:r>
        <w:t>00502.x.</w:t>
      </w:r>
      <w:proofErr w:type="gramEnd"/>
    </w:p>
    <w:p w14:paraId="7D091231" w14:textId="512D5336" w:rsidR="003A4C45" w:rsidRDefault="003A4C45" w:rsidP="00F26239">
      <w:pPr>
        <w:pStyle w:val="References"/>
        <w:ind w:left="426" w:hanging="426"/>
      </w:pPr>
      <w:r>
        <w:t xml:space="preserve">E. Enkel, O. Gassmann, and H. Chesbrough, “Open R&amp;D and open innovation: exploring the phenomenon,” </w:t>
      </w:r>
      <w:proofErr w:type="spellStart"/>
      <w:r>
        <w:t>R&amp;d</w:t>
      </w:r>
      <w:proofErr w:type="spellEnd"/>
      <w:r>
        <w:t xml:space="preserve"> Manag., vol. 39, no. 4, pp. 311–316, 2009.</w:t>
      </w:r>
    </w:p>
    <w:p w14:paraId="600BDEA1" w14:textId="3E2AAF36" w:rsidR="003A4C45" w:rsidRDefault="003A4C45" w:rsidP="00F26239">
      <w:pPr>
        <w:pStyle w:val="References"/>
        <w:ind w:left="426" w:hanging="426"/>
      </w:pPr>
      <w:r>
        <w:t>M. L. Meuter, M. J. Bitner, A. L. Ostrom, and S. W. Brown, “Choosing among alternative service delivery modes: An investigation of customer trial of self-service technologies,” J. Mark., vol. 69, no. 2, pp. 61–83, 2005.</w:t>
      </w:r>
    </w:p>
    <w:p w14:paraId="4268B801" w14:textId="7D1AEDAC" w:rsidR="003A4C45" w:rsidRDefault="003A4C45" w:rsidP="00F26239">
      <w:pPr>
        <w:pStyle w:val="References"/>
        <w:ind w:left="426" w:hanging="426"/>
      </w:pPr>
      <w:r>
        <w:t>V. A. Zeithaml, A. Parasuraman, and L. L. Berry, Delivering quality service: Balancing customer perceptions and expectations. Simon and Schuster, 1990.</w:t>
      </w:r>
    </w:p>
    <w:p w14:paraId="4667DF52" w14:textId="11892D03" w:rsidR="003A4C45" w:rsidRDefault="003A4C45" w:rsidP="00F26239">
      <w:pPr>
        <w:pStyle w:val="References"/>
        <w:ind w:left="426" w:hanging="426"/>
      </w:pPr>
      <w:r>
        <w:t>V. A. Zeithaml, L. L. Berry, and A. Parasuraman, “Communication and control processes in the delivery of service quality,” J. Mark., vol. 52, no. 2, pp. 35–48, 1988.</w:t>
      </w:r>
    </w:p>
    <w:p w14:paraId="19EF2847" w14:textId="7247C71D" w:rsidR="003A4C45" w:rsidRDefault="003A4C45" w:rsidP="00F26239">
      <w:pPr>
        <w:pStyle w:val="References"/>
        <w:ind w:left="426" w:hanging="426"/>
      </w:pPr>
      <w:r>
        <w:t>I. I. Alam, “New service development in India’s business‐to‐business financial services sector,” J. Bus. Ind. Mark., 2012.</w:t>
      </w:r>
    </w:p>
    <w:p w14:paraId="06E8FD52" w14:textId="4CBB0759" w:rsidR="003A4C45" w:rsidRDefault="003A4C45" w:rsidP="00F26239">
      <w:pPr>
        <w:pStyle w:val="References"/>
        <w:ind w:left="426" w:hanging="426"/>
      </w:pPr>
      <w:r>
        <w:t xml:space="preserve">F. </w:t>
      </w:r>
      <w:proofErr w:type="spellStart"/>
      <w:r>
        <w:t>Gallouj</w:t>
      </w:r>
      <w:proofErr w:type="spellEnd"/>
      <w:r>
        <w:t xml:space="preserve"> and F. Djellal, “The Handbook of Innovation and Services,” </w:t>
      </w:r>
      <w:proofErr w:type="spellStart"/>
      <w:r>
        <w:t>Handb</w:t>
      </w:r>
      <w:proofErr w:type="spellEnd"/>
      <w:r>
        <w:t xml:space="preserve">. </w:t>
      </w:r>
      <w:proofErr w:type="spellStart"/>
      <w:r>
        <w:t>Innov</w:t>
      </w:r>
      <w:proofErr w:type="spellEnd"/>
      <w:r>
        <w:t xml:space="preserve">. Serv., 2013, </w:t>
      </w:r>
      <w:proofErr w:type="spellStart"/>
      <w:r>
        <w:t>doi</w:t>
      </w:r>
      <w:proofErr w:type="spellEnd"/>
      <w:r>
        <w:t>: 10.4337/9781849803304.</w:t>
      </w:r>
    </w:p>
    <w:p w14:paraId="334AD7E1" w14:textId="6F67AC7B" w:rsidR="003A4C45" w:rsidRDefault="003A4C45" w:rsidP="00F26239">
      <w:pPr>
        <w:pStyle w:val="References"/>
        <w:ind w:left="426" w:hanging="426"/>
      </w:pPr>
      <w:r>
        <w:t xml:space="preserve">J.-S. Chen, Hung Tai Tsou, and A. Y.-H. Huang, “Service Delivery Innovation,” J. Serv. Res., vol. 12, no. 1, pp. 36–55, 2009, </w:t>
      </w:r>
      <w:proofErr w:type="spellStart"/>
      <w:r>
        <w:t>doi</w:t>
      </w:r>
      <w:proofErr w:type="spellEnd"/>
      <w:r>
        <w:t>: 10.1177/1094670509338619.</w:t>
      </w:r>
    </w:p>
    <w:p w14:paraId="5948A934" w14:textId="5C4F5DB0" w:rsidR="003A4C45" w:rsidRDefault="003A4C45" w:rsidP="00F26239">
      <w:pPr>
        <w:pStyle w:val="References"/>
        <w:ind w:left="426" w:hanging="426"/>
      </w:pPr>
      <w:r>
        <w:t>O. H. Chi, G. Denton, and D. Gursoy, “Artificially intelligent device use in service delivery: a systematic review, synthesis, and research agenda,” J. Hosp. Mark. Manag., vol. 29, no. 7, pp. 757–786, 2020.</w:t>
      </w:r>
    </w:p>
    <w:p w14:paraId="53902142" w14:textId="7465472D" w:rsidR="003A4C45" w:rsidRDefault="003A4C45" w:rsidP="00F26239">
      <w:pPr>
        <w:pStyle w:val="References"/>
        <w:ind w:left="426" w:hanging="426"/>
      </w:pPr>
      <w:r>
        <w:t xml:space="preserve">J. Köhler, S. D. </w:t>
      </w:r>
      <w:proofErr w:type="spellStart"/>
      <w:r>
        <w:t>Sönnichsen</w:t>
      </w:r>
      <w:proofErr w:type="spellEnd"/>
      <w:r>
        <w:t xml:space="preserve">, and P. Beske‐Jansen, “Towards a collaboration framework for circular economy: The role of dynamic capabilities and open innovation,” Bus. </w:t>
      </w:r>
      <w:proofErr w:type="spellStart"/>
      <w:r>
        <w:t>Strateg</w:t>
      </w:r>
      <w:proofErr w:type="spellEnd"/>
      <w:r>
        <w:t>. Environ., vol. 31, no. 6, pp. 2700–2713, 2022.</w:t>
      </w:r>
    </w:p>
    <w:p w14:paraId="5B58B3FF" w14:textId="5327F262" w:rsidR="003A4C45" w:rsidRDefault="003A4C45" w:rsidP="00F26239">
      <w:pPr>
        <w:pStyle w:val="References"/>
        <w:ind w:left="426" w:hanging="426"/>
      </w:pPr>
      <w:r>
        <w:t xml:space="preserve">F. Piller and J. West, “Firms, users, and innovation,” New Front. open </w:t>
      </w:r>
      <w:proofErr w:type="spellStart"/>
      <w:r>
        <w:t>Innov</w:t>
      </w:r>
      <w:proofErr w:type="spellEnd"/>
      <w:r>
        <w:t>., vol. 29, no. 1, pp. 29–49, 2014.</w:t>
      </w:r>
    </w:p>
    <w:p w14:paraId="74FE215D" w14:textId="44E59C01" w:rsidR="003A4C45" w:rsidRDefault="003A4C45" w:rsidP="00F26239">
      <w:pPr>
        <w:pStyle w:val="References"/>
        <w:ind w:left="426" w:hanging="426"/>
      </w:pPr>
      <w:r>
        <w:t>J. West and K. R. Lakhani, “Getting clear about communities in open innovation,” in Online Communities and Open Innovation, Routledge, 2014, pp. 109–117.</w:t>
      </w:r>
    </w:p>
    <w:p w14:paraId="5452E3EC" w14:textId="3FD072B0" w:rsidR="003A4C45" w:rsidRDefault="003A4C45" w:rsidP="00F26239">
      <w:pPr>
        <w:pStyle w:val="References"/>
        <w:ind w:left="426" w:hanging="426"/>
      </w:pPr>
      <w:r>
        <w:t>R. F. Lusch and S. L. Vargo, Service-dominant logic: Premises, perspectives, possibilities. Cambridge University Press, 2014.</w:t>
      </w:r>
    </w:p>
    <w:p w14:paraId="0AFEA762" w14:textId="58E7A7BB" w:rsidR="003A4C45" w:rsidRDefault="003A4C45" w:rsidP="00F26239">
      <w:pPr>
        <w:pStyle w:val="References"/>
        <w:ind w:left="426" w:hanging="426"/>
      </w:pPr>
      <w:r>
        <w:t>R. F. Lusch, S. L. Vargo, and A. Gustafsson, “Fostering a trans-disciplinary perspectives of service ecosystems,” J. Bus. Res., vol. 69, no. 8, pp. 2957–2963, 2016.</w:t>
      </w:r>
    </w:p>
    <w:p w14:paraId="66681B7D" w14:textId="28E6F713" w:rsidR="003A4C45" w:rsidRDefault="003A4C45" w:rsidP="00F26239">
      <w:pPr>
        <w:pStyle w:val="References"/>
        <w:ind w:left="426" w:hanging="426"/>
      </w:pPr>
      <w:r>
        <w:t xml:space="preserve">K. Koskela-Huotari, B. Edvardsson, J. M. Jonas, D. </w:t>
      </w:r>
      <w:proofErr w:type="spellStart"/>
      <w:r>
        <w:t>Sörhammar</w:t>
      </w:r>
      <w:proofErr w:type="spellEnd"/>
      <w:r>
        <w:t xml:space="preserve">, and L. </w:t>
      </w:r>
      <w:proofErr w:type="spellStart"/>
      <w:r>
        <w:t>Witell</w:t>
      </w:r>
      <w:proofErr w:type="spellEnd"/>
      <w:r>
        <w:t>, “Innovation in service ecosystems—Breaking, making, and maintaining institutionalized rules of resource integration,” J. Bus. Res., vol. 69, no. 8, pp. 2964–2971, 2016.</w:t>
      </w:r>
    </w:p>
    <w:p w14:paraId="42F36FCA" w14:textId="6C24C202" w:rsidR="003A4C45" w:rsidRDefault="003A4C45" w:rsidP="00F26239">
      <w:pPr>
        <w:pStyle w:val="References"/>
        <w:ind w:left="426" w:hanging="426"/>
      </w:pPr>
      <w:r>
        <w:t>H. W. Chesbrough, Open innovation: The new imperative for creating and profiting from technology. Harvard Business Press, 2003.</w:t>
      </w:r>
    </w:p>
    <w:p w14:paraId="10146902" w14:textId="33C3B3B5" w:rsidR="003A4C45" w:rsidRDefault="003A4C45" w:rsidP="00F26239">
      <w:pPr>
        <w:pStyle w:val="References"/>
        <w:ind w:left="426" w:hanging="426"/>
      </w:pPr>
      <w:r>
        <w:t>Z. Tang and R. F. Lusch, “Open Innovation: An SD Logic Perspective,” in World Scientific Reference on Innovation: Volume 3: Open Innovation, Ecosystems and Entrepreneurship: Issues and Perspectives, World Scientific, 2018, pp. 13–35.</w:t>
      </w:r>
    </w:p>
    <w:p w14:paraId="7A0D3648" w14:textId="349E3C7A" w:rsidR="003A4C45" w:rsidRDefault="003A4C45" w:rsidP="00F26239">
      <w:pPr>
        <w:pStyle w:val="References"/>
        <w:ind w:left="426" w:hanging="426"/>
      </w:pPr>
      <w:r>
        <w:t>S. L. Vargo and R. F. Lusch, “Service-dominant logic: continuing the evolution,” J. Acad. Mark. Sci., vol. 36, no. 1, pp. 1–10, 2008.</w:t>
      </w:r>
    </w:p>
    <w:p w14:paraId="67E87013" w14:textId="0A6CC018" w:rsidR="003A4C45" w:rsidRDefault="003A4C45" w:rsidP="00F26239">
      <w:pPr>
        <w:pStyle w:val="References"/>
        <w:ind w:left="426" w:hanging="426"/>
      </w:pPr>
      <w:r>
        <w:t>R. F. Lusch and S. L. Vargo, The service-dominant logic of marketing: Dialog, debate, and directions. Routledge, 2014.</w:t>
      </w:r>
    </w:p>
    <w:p w14:paraId="5B2075EC" w14:textId="1D76D2B2" w:rsidR="003A4C45" w:rsidRDefault="003A4C45" w:rsidP="00F26239">
      <w:pPr>
        <w:pStyle w:val="References"/>
        <w:tabs>
          <w:tab w:val="num" w:pos="426"/>
        </w:tabs>
        <w:ind w:left="426" w:hanging="426"/>
      </w:pPr>
      <w:r>
        <w:t>S. L. Vargo, P. P. Maglio, and M. A. Akaka, “On value and value co-creation: A service systems and service logic perspective,” Eur. Manag. J., vol. 26, no. 3, pp. 145–152, 2008.</w:t>
      </w:r>
    </w:p>
    <w:p w14:paraId="0758C397" w14:textId="7CDF61C4" w:rsidR="003A4C45" w:rsidRDefault="003A4C45" w:rsidP="00F26239">
      <w:pPr>
        <w:pStyle w:val="References"/>
        <w:tabs>
          <w:tab w:val="num" w:pos="426"/>
        </w:tabs>
        <w:ind w:left="426" w:hanging="426"/>
      </w:pPr>
      <w:r>
        <w:t xml:space="preserve">R. F. Lusch, S. L. Vargo, and M. </w:t>
      </w:r>
      <w:proofErr w:type="spellStart"/>
      <w:r>
        <w:t>O’brien</w:t>
      </w:r>
      <w:proofErr w:type="spellEnd"/>
      <w:r>
        <w:t>, “Competing through service: Insights from service-dominant logic,” J. Retail., vol. 83, no. 1, pp. 5–18, 2007.</w:t>
      </w:r>
    </w:p>
    <w:p w14:paraId="73543E0F" w14:textId="3FBF2E28" w:rsidR="003A4C45" w:rsidRDefault="003A4C45" w:rsidP="00F26239">
      <w:pPr>
        <w:pStyle w:val="References"/>
        <w:tabs>
          <w:tab w:val="num" w:pos="426"/>
        </w:tabs>
        <w:ind w:left="426" w:hanging="426"/>
      </w:pPr>
      <w:r>
        <w:t xml:space="preserve">R. Wilden, M. A. Akaka, I. O. Karpen, and J. </w:t>
      </w:r>
      <w:proofErr w:type="spellStart"/>
      <w:r>
        <w:t>Hohberger</w:t>
      </w:r>
      <w:proofErr w:type="spellEnd"/>
      <w:r>
        <w:t>, “The evolution and prospects of service-dominant logic: An investigation of past, present, and future research,” J. Serv. Res., vol. 20, no. 4, pp. 345–361, 2017.</w:t>
      </w:r>
    </w:p>
    <w:p w14:paraId="01DDCD39" w14:textId="45715E4C" w:rsidR="003A4C45" w:rsidRDefault="003A4C45" w:rsidP="00F26239">
      <w:pPr>
        <w:pStyle w:val="References"/>
        <w:tabs>
          <w:tab w:val="num" w:pos="426"/>
        </w:tabs>
        <w:ind w:left="426" w:hanging="426"/>
      </w:pPr>
      <w:r>
        <w:t>S. A. Zahra and G. George, “Absorptive capacity: A review, reconceptualization, and extension,” Acad. Manag. Rev., vol. 27, no. 2, pp. 185–203, 2002.</w:t>
      </w:r>
    </w:p>
    <w:p w14:paraId="3516BC47" w14:textId="56E856AF" w:rsidR="003A4C45" w:rsidRDefault="003A4C45" w:rsidP="00F26239">
      <w:pPr>
        <w:pStyle w:val="References"/>
        <w:tabs>
          <w:tab w:val="num" w:pos="426"/>
        </w:tabs>
        <w:ind w:left="426" w:hanging="426"/>
      </w:pPr>
      <w:r>
        <w:lastRenderedPageBreak/>
        <w:t xml:space="preserve">Q. Wu, Q. He, and Y. Duan, “Explicating dynamic capabilities for corporate sustainability,” </w:t>
      </w:r>
      <w:proofErr w:type="spellStart"/>
      <w:r>
        <w:t>EuroMed</w:t>
      </w:r>
      <w:proofErr w:type="spellEnd"/>
      <w:r>
        <w:t xml:space="preserve"> J. Bus., vol. 8, no. 3, pp. 255–272, 2013.</w:t>
      </w:r>
    </w:p>
    <w:p w14:paraId="4441CEF4" w14:textId="4C0EB904" w:rsidR="003A4C45" w:rsidRDefault="003A4C45" w:rsidP="00F26239">
      <w:pPr>
        <w:pStyle w:val="References"/>
        <w:tabs>
          <w:tab w:val="num" w:pos="426"/>
        </w:tabs>
        <w:ind w:left="426" w:hanging="426"/>
      </w:pPr>
      <w:r>
        <w:t xml:space="preserve">O. Khan, T. Daddi, and F. </w:t>
      </w:r>
      <w:proofErr w:type="spellStart"/>
      <w:r>
        <w:t>Iraldo</w:t>
      </w:r>
      <w:proofErr w:type="spellEnd"/>
      <w:r>
        <w:t>, “</w:t>
      </w:r>
      <w:proofErr w:type="spellStart"/>
      <w:r>
        <w:t>Microfoundations</w:t>
      </w:r>
      <w:proofErr w:type="spellEnd"/>
      <w:r>
        <w:t xml:space="preserve"> of dynamic capabilities: Insights from circular economy business cases,” Bus. </w:t>
      </w:r>
      <w:proofErr w:type="spellStart"/>
      <w:r>
        <w:t>Strateg</w:t>
      </w:r>
      <w:proofErr w:type="spellEnd"/>
      <w:r>
        <w:t>. Environ., vol. 29, no. 3, pp. 1479–1493, 2020.</w:t>
      </w:r>
    </w:p>
    <w:p w14:paraId="2BAD4B59" w14:textId="1D1EF5C4" w:rsidR="003A4C45" w:rsidRDefault="003A4C45" w:rsidP="00F26239">
      <w:pPr>
        <w:pStyle w:val="References"/>
        <w:tabs>
          <w:tab w:val="num" w:pos="426"/>
        </w:tabs>
        <w:ind w:left="426" w:hanging="426"/>
      </w:pPr>
      <w:r>
        <w:t xml:space="preserve">R. De Angelis, R. Morgan, and L. M. De Luca, “Open strategy and dynamic capabilities: A framework for circular economy business models research,” Bus. </w:t>
      </w:r>
      <w:proofErr w:type="spellStart"/>
      <w:r>
        <w:t>Strateg</w:t>
      </w:r>
      <w:proofErr w:type="spellEnd"/>
      <w:r>
        <w:t>. Environ., 2023.</w:t>
      </w:r>
    </w:p>
    <w:p w14:paraId="32304D9B" w14:textId="3EC3A3CC" w:rsidR="003A4C45" w:rsidRDefault="003A4C45" w:rsidP="00F26239">
      <w:pPr>
        <w:pStyle w:val="References"/>
        <w:tabs>
          <w:tab w:val="num" w:pos="426"/>
        </w:tabs>
        <w:ind w:left="426" w:hanging="426"/>
      </w:pPr>
      <w:r>
        <w:t xml:space="preserve">B. M. R. P. Seles, J. Mascarenhas, A. B. Lopes de Sousa Jabbour, and A. H. Trevisan, “Smoothing the circular economy transition: The role of resources and capabilities enablers,” Bus. </w:t>
      </w:r>
      <w:proofErr w:type="spellStart"/>
      <w:r>
        <w:t>Strateg</w:t>
      </w:r>
      <w:proofErr w:type="spellEnd"/>
      <w:r>
        <w:t>. Environ., vol. 31, no. 4, pp. 1814–1837, 2022.</w:t>
      </w:r>
    </w:p>
    <w:p w14:paraId="021DF699" w14:textId="1DCB51D2" w:rsidR="003A4C45" w:rsidRDefault="003A4C45" w:rsidP="00F26239">
      <w:pPr>
        <w:pStyle w:val="References"/>
        <w:tabs>
          <w:tab w:val="num" w:pos="426"/>
        </w:tabs>
        <w:ind w:left="426" w:hanging="426"/>
      </w:pPr>
      <w:r>
        <w:t xml:space="preserve">C. Coppola, A. Vollero, and A. Siano, “Developing dynamic capabilities for the circular economy in the textile and clothing industry in Italy: A natural‐resource‐based view,” Bus. </w:t>
      </w:r>
      <w:proofErr w:type="spellStart"/>
      <w:r>
        <w:t>Strateg</w:t>
      </w:r>
      <w:proofErr w:type="spellEnd"/>
      <w:r>
        <w:t>. Environ., 2023.</w:t>
      </w:r>
    </w:p>
    <w:p w14:paraId="528A0367" w14:textId="30A44F20" w:rsidR="003A4C45" w:rsidRDefault="003A4C45" w:rsidP="00F26239">
      <w:pPr>
        <w:pStyle w:val="References"/>
        <w:tabs>
          <w:tab w:val="num" w:pos="426"/>
        </w:tabs>
        <w:ind w:left="426" w:hanging="426"/>
      </w:pPr>
      <w:r>
        <w:t>K. M. Eisenhardt and J. A. Martin, “</w:t>
      </w:r>
      <w:r w:rsidR="00F942E1">
        <w:t xml:space="preserve">Dynamic </w:t>
      </w:r>
      <w:proofErr w:type="gramStart"/>
      <w:r w:rsidR="00F942E1">
        <w:t>Capabilities :</w:t>
      </w:r>
      <w:proofErr w:type="gramEnd"/>
      <w:r w:rsidR="00F942E1">
        <w:t xml:space="preserve"> What Are They ?,</w:t>
      </w:r>
      <w:r>
        <w:t>” vol. 1121, pp. 1105–1121, 2000.</w:t>
      </w:r>
    </w:p>
    <w:p w14:paraId="13B16CA0" w14:textId="4C97634F" w:rsidR="003A4C45" w:rsidRDefault="003A4C45" w:rsidP="00F26239">
      <w:pPr>
        <w:pStyle w:val="References"/>
        <w:tabs>
          <w:tab w:val="num" w:pos="426"/>
        </w:tabs>
        <w:ind w:left="426" w:hanging="426"/>
      </w:pPr>
      <w:r>
        <w:t xml:space="preserve">E. </w:t>
      </w:r>
      <w:proofErr w:type="spellStart"/>
      <w:r>
        <w:t>Siems</w:t>
      </w:r>
      <w:proofErr w:type="spellEnd"/>
      <w:r>
        <w:t xml:space="preserve">, A. Land, and S. </w:t>
      </w:r>
      <w:proofErr w:type="spellStart"/>
      <w:r>
        <w:t>Seuring</w:t>
      </w:r>
      <w:proofErr w:type="spellEnd"/>
      <w:r>
        <w:t>, “Dynamic capabilities in sustainable supply chain management: an inter-temporal comparison of the food and automotive industries,” Int. J. Prod. Econ., vol. 236, p. 108128, 2021.</w:t>
      </w:r>
    </w:p>
    <w:p w14:paraId="18A0F751" w14:textId="7743A098" w:rsidR="003A4C45" w:rsidRDefault="003A4C45" w:rsidP="00F26239">
      <w:pPr>
        <w:pStyle w:val="References"/>
        <w:tabs>
          <w:tab w:val="num" w:pos="426"/>
        </w:tabs>
        <w:ind w:left="426" w:hanging="426"/>
      </w:pPr>
      <w:r>
        <w:t xml:space="preserve">F. </w:t>
      </w:r>
      <w:proofErr w:type="spellStart"/>
      <w:r>
        <w:t>Gallouj</w:t>
      </w:r>
      <w:proofErr w:type="spellEnd"/>
      <w:r>
        <w:t xml:space="preserve"> and O. Weinstein, “Innovation in services </w:t>
      </w:r>
      <w:proofErr w:type="gramStart"/>
      <w:r>
        <w:t>To</w:t>
      </w:r>
      <w:proofErr w:type="gramEnd"/>
      <w:r>
        <w:t xml:space="preserve"> cite this version,” Res. Policy, vol. 26, pp. 537–556, 1997.</w:t>
      </w:r>
    </w:p>
    <w:p w14:paraId="723C92F3" w14:textId="3E5B2052" w:rsidR="003A4C45" w:rsidRDefault="003A4C45" w:rsidP="00F26239">
      <w:pPr>
        <w:pStyle w:val="References"/>
        <w:tabs>
          <w:tab w:val="num" w:pos="426"/>
        </w:tabs>
        <w:ind w:left="426" w:hanging="426"/>
      </w:pPr>
      <w:r>
        <w:t xml:space="preserve">D. Teece, G. Pisano, and A. </w:t>
      </w:r>
      <w:proofErr w:type="spellStart"/>
      <w:r>
        <w:t>Shuen</w:t>
      </w:r>
      <w:proofErr w:type="spellEnd"/>
      <w:r>
        <w:t xml:space="preserve">, “Dynamic capabilities and strategic management,” </w:t>
      </w:r>
      <w:proofErr w:type="spellStart"/>
      <w:r>
        <w:t>Strateg</w:t>
      </w:r>
      <w:proofErr w:type="spellEnd"/>
      <w:r>
        <w:t xml:space="preserve">. Manag. J., vol. 18, no. 7, pp. 509–533, 1997, </w:t>
      </w:r>
      <w:proofErr w:type="spellStart"/>
      <w:r>
        <w:t>doi</w:t>
      </w:r>
      <w:proofErr w:type="spellEnd"/>
      <w:r>
        <w:t>: 10.1002/(SICI)1097-0266(199708)18:7&lt;</w:t>
      </w:r>
      <w:proofErr w:type="gramStart"/>
      <w:r>
        <w:t>509::</w:t>
      </w:r>
      <w:proofErr w:type="gramEnd"/>
      <w:r>
        <w:t>AID-SMJ882&gt;3.0.CO;2-Z.</w:t>
      </w:r>
    </w:p>
    <w:p w14:paraId="19D0E4BE" w14:textId="3C8DE9EA" w:rsidR="00EC7077" w:rsidRDefault="00EC7077" w:rsidP="00F26239">
      <w:pPr>
        <w:pStyle w:val="References"/>
        <w:tabs>
          <w:tab w:val="num" w:pos="426"/>
        </w:tabs>
        <w:ind w:left="426" w:hanging="426"/>
      </w:pPr>
      <w:r w:rsidRPr="00EC7077">
        <w:t>E. J. Arnould and L. Linda, “Price, and Avinash Malshe (2006</w:t>
      </w:r>
      <w:proofErr w:type="gramStart"/>
      <w:r w:rsidRPr="00EC7077">
        <w:t>),‘</w:t>
      </w:r>
      <w:proofErr w:type="gramEnd"/>
      <w:r w:rsidRPr="00EC7077">
        <w:t>Toward a Cultural Resource-Based Theory of the Customer,’” Serv. Log. Mark. Dialog, Debate, Dir., pp. 91–104, 2006.</w:t>
      </w:r>
    </w:p>
    <w:p w14:paraId="22D446C8" w14:textId="3BBDD306" w:rsidR="00EC7077" w:rsidRDefault="00EC7077" w:rsidP="00F26239">
      <w:pPr>
        <w:pStyle w:val="References"/>
        <w:tabs>
          <w:tab w:val="num" w:pos="426"/>
        </w:tabs>
        <w:ind w:left="426" w:hanging="426"/>
      </w:pPr>
      <w:r w:rsidRPr="00D601D3">
        <w:rPr>
          <w:noProof/>
        </w:rPr>
        <w:t xml:space="preserve">S. Madhavaram and S. D. Hunt, “The service-dominant logic and a hierarchy of operant resources: developing masterful operant resources and implications for marketing strategy,” </w:t>
      </w:r>
      <w:r w:rsidRPr="00D601D3">
        <w:rPr>
          <w:i/>
          <w:iCs/>
          <w:noProof/>
        </w:rPr>
        <w:t>J. Acad. Mark. Sci.</w:t>
      </w:r>
      <w:r w:rsidRPr="00D601D3">
        <w:rPr>
          <w:noProof/>
        </w:rPr>
        <w:t>, vol. 36, no. 1, pp. 67–82, 2008.</w:t>
      </w:r>
    </w:p>
    <w:p w14:paraId="0A84BB37" w14:textId="345BE171" w:rsidR="00EC7077" w:rsidRDefault="00EC7077" w:rsidP="00F26239">
      <w:pPr>
        <w:pStyle w:val="References"/>
        <w:tabs>
          <w:tab w:val="num" w:pos="426"/>
        </w:tabs>
        <w:ind w:left="426" w:hanging="426"/>
      </w:pPr>
      <w:r w:rsidRPr="00EC7077">
        <w:t>R. F. Lusch and S. L. Vargo, “Service‐dominant logic: a necessary step,” Eur. J. Mark., vol. 45, no. 7/8, pp. 1298–1309, 2011.</w:t>
      </w:r>
    </w:p>
    <w:p w14:paraId="2F39814A" w14:textId="6D2FFFC2" w:rsidR="00EC7077" w:rsidRDefault="00EC7077" w:rsidP="00F26239">
      <w:pPr>
        <w:pStyle w:val="References"/>
        <w:tabs>
          <w:tab w:val="num" w:pos="426"/>
        </w:tabs>
        <w:ind w:left="426" w:hanging="426"/>
      </w:pPr>
      <w:r w:rsidRPr="00EC7077">
        <w:t xml:space="preserve">I. O. Karpen, L. L. Bove, B. A. Lukas, and M. J. </w:t>
      </w:r>
      <w:proofErr w:type="spellStart"/>
      <w:r w:rsidRPr="00EC7077">
        <w:t>Zyphur</w:t>
      </w:r>
      <w:proofErr w:type="spellEnd"/>
      <w:r w:rsidRPr="00EC7077">
        <w:t>, “Service-dominant orientation: measurement and impact on performance outcomes,” J. Retail., vol. 91, no. 1, pp. 89–108, 2015.</w:t>
      </w:r>
    </w:p>
    <w:p w14:paraId="18DE5AC8" w14:textId="4EDF044F" w:rsidR="003A4C45" w:rsidRDefault="00EC7077" w:rsidP="00F26239">
      <w:pPr>
        <w:pStyle w:val="References"/>
        <w:tabs>
          <w:tab w:val="num" w:pos="426"/>
        </w:tabs>
        <w:ind w:left="426" w:hanging="426"/>
      </w:pPr>
      <w:r w:rsidRPr="00EC7077">
        <w:t>R. Wilden, T. M. Devinney, and G. R. Dowling, “The architecture of dynamic capability research identifying the building blocks of a configurational approach,” Acad. Manag. Ann., vol. 10, no. 1, pp. 997–1076, 2016.</w:t>
      </w:r>
    </w:p>
    <w:p w14:paraId="254D70B7" w14:textId="0474FD17" w:rsidR="003A4C45" w:rsidRDefault="00EC7077" w:rsidP="00F26239">
      <w:pPr>
        <w:pStyle w:val="References"/>
        <w:tabs>
          <w:tab w:val="num" w:pos="426"/>
        </w:tabs>
        <w:ind w:left="426" w:hanging="426"/>
      </w:pPr>
      <w:r w:rsidRPr="00EC7077">
        <w:t xml:space="preserve">J. </w:t>
      </w:r>
      <w:proofErr w:type="spellStart"/>
      <w:r w:rsidRPr="00EC7077">
        <w:t>Siltaloppi</w:t>
      </w:r>
      <w:proofErr w:type="spellEnd"/>
      <w:r w:rsidRPr="00EC7077">
        <w:t>, K. Koskela-Huotari, and S. L. Vargo, “Institutional complexity as a driver for innovation in service ecosystems,” Serv. Sci., vol. 8, no. 3, pp. 333–343, 2016.</w:t>
      </w:r>
    </w:p>
    <w:p w14:paraId="26E9EFF4" w14:textId="761F68F8" w:rsidR="003A4C45" w:rsidRDefault="00EC7077" w:rsidP="00F26239">
      <w:pPr>
        <w:pStyle w:val="References"/>
        <w:tabs>
          <w:tab w:val="num" w:pos="426"/>
        </w:tabs>
        <w:ind w:left="426" w:hanging="426"/>
      </w:pPr>
      <w:r w:rsidRPr="00EC7077">
        <w:t xml:space="preserve">S. Nenonen, J. </w:t>
      </w:r>
      <w:proofErr w:type="spellStart"/>
      <w:r w:rsidRPr="00EC7077">
        <w:t>Gummerus</w:t>
      </w:r>
      <w:proofErr w:type="spellEnd"/>
      <w:r w:rsidRPr="00EC7077">
        <w:t>, and A. Sklyar, “Game-changers: dynamic capabilities’ influence on service ecosystems,” J. Serv. Manag., 2018.</w:t>
      </w:r>
    </w:p>
    <w:p w14:paraId="77A72473" w14:textId="7C3F151F" w:rsidR="003A4C45" w:rsidRDefault="00EC7077" w:rsidP="00F26239">
      <w:pPr>
        <w:pStyle w:val="References"/>
        <w:tabs>
          <w:tab w:val="num" w:pos="426"/>
        </w:tabs>
        <w:ind w:left="426" w:hanging="426"/>
      </w:pPr>
      <w:r w:rsidRPr="00EC7077">
        <w:t xml:space="preserve">H. Kjellberg, S. Nenonen, and K. M. Thome, “Analyzing service processes at the micro level: actors and practices,” SAGE </w:t>
      </w:r>
      <w:proofErr w:type="spellStart"/>
      <w:r w:rsidRPr="00EC7077">
        <w:t>Handb</w:t>
      </w:r>
      <w:proofErr w:type="spellEnd"/>
      <w:r w:rsidRPr="00EC7077">
        <w:t>. Serv. Log., vol. 411, 2018.</w:t>
      </w:r>
    </w:p>
    <w:p w14:paraId="622E548C" w14:textId="2D78F997" w:rsidR="003A4C45" w:rsidRDefault="00EC7077" w:rsidP="00F26239">
      <w:pPr>
        <w:pStyle w:val="References"/>
        <w:tabs>
          <w:tab w:val="num" w:pos="426"/>
        </w:tabs>
        <w:ind w:left="426" w:hanging="426"/>
      </w:pPr>
      <w:r w:rsidRPr="00EC7077">
        <w:t xml:space="preserve">D. J. Teece, “Reflections on ‘Profiting from Innovation,’” Res. Policy, vol. 35, no. 8 SPEC. ISS., pp. 1131–1146, 2006, </w:t>
      </w:r>
      <w:proofErr w:type="spellStart"/>
      <w:r w:rsidRPr="00EC7077">
        <w:t>doi</w:t>
      </w:r>
      <w:proofErr w:type="spellEnd"/>
      <w:r w:rsidRPr="00EC7077">
        <w:t>: 10.1016/j.respol.2006.09.009.</w:t>
      </w:r>
    </w:p>
    <w:p w14:paraId="266E79F8" w14:textId="0494A9B5" w:rsidR="003A4C45" w:rsidRDefault="00EC7077" w:rsidP="00F26239">
      <w:pPr>
        <w:pStyle w:val="References"/>
        <w:tabs>
          <w:tab w:val="num" w:pos="426"/>
        </w:tabs>
        <w:ind w:left="426" w:hanging="426"/>
      </w:pPr>
      <w:r w:rsidRPr="00EC7077">
        <w:t xml:space="preserve">S. L. Vargo and R. F. Lusch, “Evolving to for Logic Marketing,” J. Marketing, vol. 68, no. 1, pp. 1–17, 2004, </w:t>
      </w:r>
      <w:proofErr w:type="spellStart"/>
      <w:r w:rsidRPr="00EC7077">
        <w:t>doi</w:t>
      </w:r>
      <w:proofErr w:type="spellEnd"/>
      <w:r w:rsidRPr="00EC7077">
        <w:t>: 10.1300/J047v07n04_02.</w:t>
      </w:r>
    </w:p>
    <w:p w14:paraId="7749E347" w14:textId="4C549438" w:rsidR="003A4C45" w:rsidRDefault="00EC7077" w:rsidP="00F26239">
      <w:pPr>
        <w:pStyle w:val="References"/>
        <w:tabs>
          <w:tab w:val="num" w:pos="426"/>
        </w:tabs>
        <w:ind w:left="426" w:hanging="426"/>
      </w:pPr>
      <w:r w:rsidRPr="00EC7077">
        <w:t>A. F. Payne, K. Storbacka, and P. Frow, “Managing the co-creation of value,” J. Acad. Mark. Sci., vol. 36, no. 1, pp. 83–96, 2008.</w:t>
      </w:r>
    </w:p>
    <w:p w14:paraId="68A0FFDE" w14:textId="291B1DAD" w:rsidR="003A4C45" w:rsidRDefault="00EC7077" w:rsidP="00F26239">
      <w:pPr>
        <w:pStyle w:val="References"/>
        <w:tabs>
          <w:tab w:val="num" w:pos="426"/>
        </w:tabs>
        <w:ind w:left="426" w:hanging="426"/>
      </w:pPr>
      <w:r w:rsidRPr="00EC7077">
        <w:t>T. W. Andreassen et al., “Linking service design to value creation and service research,” J. Serv. Manag., 2016.</w:t>
      </w:r>
    </w:p>
    <w:p w14:paraId="0384E934" w14:textId="7DB7AC96" w:rsidR="003A4C45" w:rsidRDefault="00EC7077" w:rsidP="00F26239">
      <w:pPr>
        <w:pStyle w:val="References"/>
        <w:tabs>
          <w:tab w:val="num" w:pos="426"/>
        </w:tabs>
        <w:ind w:left="426" w:hanging="426"/>
      </w:pPr>
      <w:r w:rsidRPr="00EC7077">
        <w:t xml:space="preserve">D. J. Flint, R. B. Woodruff, and S. F. </w:t>
      </w:r>
      <w:proofErr w:type="spellStart"/>
      <w:r w:rsidRPr="00EC7077">
        <w:t>Gardial</w:t>
      </w:r>
      <w:proofErr w:type="spellEnd"/>
      <w:r w:rsidRPr="00EC7077">
        <w:t xml:space="preserve">, “Customer value change in industrial marketing relationships: A call for new strategies and research,” Ind. Mark. Manag., vol. 26, no. 2, pp. 163–175, 1997, </w:t>
      </w:r>
      <w:proofErr w:type="spellStart"/>
      <w:r w:rsidRPr="00EC7077">
        <w:t>doi</w:t>
      </w:r>
      <w:proofErr w:type="spellEnd"/>
      <w:r w:rsidRPr="00EC7077">
        <w:t>: 10.1016/S0019-8501(96)00112-5.</w:t>
      </w:r>
    </w:p>
    <w:p w14:paraId="1CF3258B" w14:textId="123DBA8F" w:rsidR="003A4C45" w:rsidRDefault="00EC7077" w:rsidP="00F26239">
      <w:pPr>
        <w:pStyle w:val="References"/>
        <w:tabs>
          <w:tab w:val="num" w:pos="426"/>
        </w:tabs>
        <w:ind w:left="426" w:hanging="426"/>
      </w:pPr>
      <w:r w:rsidRPr="00EC7077">
        <w:t xml:space="preserve">Y. F. Kuo, C. M. Wu, and W. J. Deng, “The relationships among service quality, perceived value, customer satisfaction, and post-purchase intention in mobile value-added services,” Computers in Human Behavior, vol. 25, no. 4. pp. 887–896, 2009, </w:t>
      </w:r>
      <w:proofErr w:type="spellStart"/>
      <w:r w:rsidRPr="00EC7077">
        <w:t>doi</w:t>
      </w:r>
      <w:proofErr w:type="spellEnd"/>
      <w:r w:rsidRPr="00EC7077">
        <w:t>: 10.1016/j.chb.2009.03.003.</w:t>
      </w:r>
    </w:p>
    <w:p w14:paraId="36F3FB12" w14:textId="4D011BC2" w:rsidR="003A4C45" w:rsidRDefault="00EC7077" w:rsidP="00F26239">
      <w:pPr>
        <w:pStyle w:val="References"/>
        <w:tabs>
          <w:tab w:val="num" w:pos="426"/>
        </w:tabs>
        <w:ind w:left="426" w:hanging="426"/>
      </w:pPr>
      <w:r w:rsidRPr="00EC7077">
        <w:t xml:space="preserve">O. Turel and A. Serenko, “Satisfaction with mobile services in Canada: An empirical investigation,” Telecomm. Policy, vol. 30, no. 5–6, pp. 314–331, 2006, </w:t>
      </w:r>
      <w:proofErr w:type="spellStart"/>
      <w:r w:rsidRPr="00EC7077">
        <w:t>doi</w:t>
      </w:r>
      <w:proofErr w:type="spellEnd"/>
      <w:r w:rsidRPr="00EC7077">
        <w:t>: 10.1016/j.telpol.2005.10.003.</w:t>
      </w:r>
    </w:p>
    <w:p w14:paraId="48F3B682" w14:textId="168A6756" w:rsidR="003A4C45" w:rsidRDefault="00EC7077" w:rsidP="00F26239">
      <w:pPr>
        <w:pStyle w:val="References"/>
        <w:tabs>
          <w:tab w:val="num" w:pos="426"/>
        </w:tabs>
        <w:ind w:left="426" w:hanging="426"/>
      </w:pPr>
      <w:r w:rsidRPr="00D601D3">
        <w:rPr>
          <w:noProof/>
        </w:rPr>
        <w:t xml:space="preserve">P. J. M. Van Boerdonk, H. R. Krikke, and W. Lambrechts, “New business models in circular economy: A multiple case study into touch </w:t>
      </w:r>
      <w:r w:rsidRPr="00D601D3">
        <w:rPr>
          <w:noProof/>
        </w:rPr>
        <w:t xml:space="preserve">points creating customer values in health care,” </w:t>
      </w:r>
      <w:r w:rsidRPr="00D601D3">
        <w:rPr>
          <w:i/>
          <w:iCs/>
          <w:noProof/>
        </w:rPr>
        <w:t>J. Clean. Prod.</w:t>
      </w:r>
      <w:r w:rsidRPr="00D601D3">
        <w:rPr>
          <w:noProof/>
        </w:rPr>
        <w:t>, vol. 282, p. 125375, 2021.</w:t>
      </w:r>
    </w:p>
    <w:p w14:paraId="48AD7251" w14:textId="7F5949A6" w:rsidR="003A4C45" w:rsidRDefault="00EC7077" w:rsidP="00F26239">
      <w:pPr>
        <w:pStyle w:val="References"/>
        <w:tabs>
          <w:tab w:val="num" w:pos="426"/>
        </w:tabs>
        <w:ind w:left="426" w:hanging="426"/>
      </w:pPr>
      <w:r w:rsidRPr="00EC7077">
        <w:t>T. S. H. Pham and M. F. Ahammad, “Antecedents and consequences of online customer satisfaction: A holistic process perspective,” Technol. Forecast. Soc. Change, vol. 124, pp. 332–342, 2017.</w:t>
      </w:r>
    </w:p>
    <w:p w14:paraId="41076624" w14:textId="325043FB" w:rsidR="003A4C45" w:rsidRDefault="00EC7077" w:rsidP="00F26239">
      <w:pPr>
        <w:pStyle w:val="References"/>
        <w:tabs>
          <w:tab w:val="num" w:pos="426"/>
        </w:tabs>
        <w:ind w:left="426" w:hanging="426"/>
      </w:pPr>
      <w:r w:rsidRPr="00EC7077">
        <w:t xml:space="preserve">E. Jaakkola, A. </w:t>
      </w:r>
      <w:proofErr w:type="spellStart"/>
      <w:r w:rsidRPr="00EC7077">
        <w:t>Helkkula</w:t>
      </w:r>
      <w:proofErr w:type="spellEnd"/>
      <w:r w:rsidRPr="00EC7077">
        <w:t>, and L. Aarikka-Stenroos, “Service experience co-creation: conceptualization, implications, and future research directions,” J. Serv. Manag., 2015.</w:t>
      </w:r>
    </w:p>
    <w:p w14:paraId="53E64F50" w14:textId="10DCCE8E" w:rsidR="003A4C45" w:rsidRDefault="00EC7077" w:rsidP="00F26239">
      <w:pPr>
        <w:pStyle w:val="References"/>
        <w:tabs>
          <w:tab w:val="num" w:pos="426"/>
        </w:tabs>
        <w:ind w:left="426" w:hanging="426"/>
      </w:pPr>
      <w:r w:rsidRPr="00EC7077">
        <w:t xml:space="preserve">P. Klaus, B. Edvardsson, and S. </w:t>
      </w:r>
      <w:proofErr w:type="spellStart"/>
      <w:r w:rsidRPr="00EC7077">
        <w:t>Maklan</w:t>
      </w:r>
      <w:proofErr w:type="spellEnd"/>
      <w:r w:rsidRPr="00EC7077">
        <w:t xml:space="preserve">, “Developing a typology of customer experience management practice–from preservers to vanguards,” in 12th International Research Conference in Service Management, La </w:t>
      </w:r>
      <w:proofErr w:type="spellStart"/>
      <w:r w:rsidRPr="00EC7077">
        <w:t>Londe</w:t>
      </w:r>
      <w:proofErr w:type="spellEnd"/>
      <w:r w:rsidRPr="00EC7077">
        <w:t xml:space="preserve"> les </w:t>
      </w:r>
      <w:proofErr w:type="spellStart"/>
      <w:r w:rsidRPr="00EC7077">
        <w:t>Maures</w:t>
      </w:r>
      <w:proofErr w:type="spellEnd"/>
      <w:r w:rsidRPr="00EC7077">
        <w:t>, France, 2012.</w:t>
      </w:r>
    </w:p>
    <w:p w14:paraId="457DA0E8" w14:textId="179B9F54" w:rsidR="003A4C45" w:rsidRDefault="00EC7077" w:rsidP="00F26239">
      <w:pPr>
        <w:pStyle w:val="References"/>
        <w:tabs>
          <w:tab w:val="num" w:pos="426"/>
        </w:tabs>
        <w:ind w:left="426" w:hanging="426"/>
      </w:pPr>
      <w:r w:rsidRPr="00EC7077">
        <w:t xml:space="preserve">R. L. Oliver, “Whence consumer </w:t>
      </w:r>
      <w:proofErr w:type="gramStart"/>
      <w:r w:rsidRPr="00EC7077">
        <w:t>loyalty?,</w:t>
      </w:r>
      <w:proofErr w:type="gramEnd"/>
      <w:r w:rsidRPr="00EC7077">
        <w:t xml:space="preserve">” J. Mark., vol. 63, no. SUPPL., pp. 33–44, 1999, </w:t>
      </w:r>
      <w:proofErr w:type="spellStart"/>
      <w:r w:rsidRPr="00EC7077">
        <w:t>doi</w:t>
      </w:r>
      <w:proofErr w:type="spellEnd"/>
      <w:r w:rsidRPr="00EC7077">
        <w:t>: 10.2307/1252099.</w:t>
      </w:r>
    </w:p>
    <w:p w14:paraId="7F92ACE2" w14:textId="61A3B859" w:rsidR="003A4C45" w:rsidRDefault="00EC7077" w:rsidP="00F26239">
      <w:pPr>
        <w:pStyle w:val="References"/>
        <w:tabs>
          <w:tab w:val="num" w:pos="426"/>
        </w:tabs>
        <w:ind w:left="426" w:hanging="426"/>
      </w:pPr>
      <w:r w:rsidRPr="00EC7077">
        <w:t xml:space="preserve">K. Hussain, F. Jing, M. Junaid, F. A. S. Bukhari, and H. Shi, “The dynamic outcomes of service quality: a longitudinal investigation,” J. Serv. Theory </w:t>
      </w:r>
      <w:proofErr w:type="spellStart"/>
      <w:r w:rsidRPr="00EC7077">
        <w:t>Pract</w:t>
      </w:r>
      <w:proofErr w:type="spellEnd"/>
      <w:r w:rsidRPr="00EC7077">
        <w:t>., 2019.</w:t>
      </w:r>
    </w:p>
    <w:p w14:paraId="38FF5AAE" w14:textId="23339B47" w:rsidR="003A4C45" w:rsidRDefault="00EC7077" w:rsidP="00F26239">
      <w:pPr>
        <w:pStyle w:val="References"/>
        <w:tabs>
          <w:tab w:val="num" w:pos="426"/>
        </w:tabs>
        <w:ind w:left="426" w:hanging="426"/>
      </w:pPr>
      <w:r w:rsidRPr="00EC7077">
        <w:t xml:space="preserve">M. O. </w:t>
      </w:r>
      <w:proofErr w:type="spellStart"/>
      <w:r w:rsidRPr="00EC7077">
        <w:t>Erdiaw-Kwasie</w:t>
      </w:r>
      <w:proofErr w:type="spellEnd"/>
      <w:r w:rsidRPr="00EC7077">
        <w:t xml:space="preserve">, M. </w:t>
      </w:r>
      <w:proofErr w:type="spellStart"/>
      <w:r w:rsidRPr="00EC7077">
        <w:t>Abunyewah</w:t>
      </w:r>
      <w:proofErr w:type="spellEnd"/>
      <w:r w:rsidRPr="00EC7077">
        <w:t xml:space="preserve">, S. Yusif, and A. </w:t>
      </w:r>
      <w:proofErr w:type="spellStart"/>
      <w:r w:rsidRPr="00EC7077">
        <w:t>Erdiaw-Kwasie</w:t>
      </w:r>
      <w:proofErr w:type="spellEnd"/>
      <w:r w:rsidRPr="00EC7077">
        <w:t>, “Does circular economy knowledge matter in sustainable service provision? A moderation analysis,” J. Clean. Prod., vol. 383, p. 135429, 2023.</w:t>
      </w:r>
    </w:p>
    <w:p w14:paraId="3746935D" w14:textId="41B0FC1C" w:rsidR="003A4C45" w:rsidRDefault="00EC7077" w:rsidP="00F26239">
      <w:pPr>
        <w:pStyle w:val="References"/>
        <w:tabs>
          <w:tab w:val="num" w:pos="426"/>
        </w:tabs>
        <w:ind w:left="426" w:hanging="426"/>
      </w:pPr>
      <w:r w:rsidRPr="00D601D3">
        <w:rPr>
          <w:noProof/>
        </w:rPr>
        <w:t xml:space="preserve">R. Halvorsrud, K. Kvale, and A. Følstad, “Improving service quality through customer journey analysis,” </w:t>
      </w:r>
      <w:r w:rsidRPr="00D601D3">
        <w:rPr>
          <w:i/>
          <w:iCs/>
          <w:noProof/>
        </w:rPr>
        <w:t>J. Serv. theory Pract.</w:t>
      </w:r>
      <w:r w:rsidRPr="00D601D3">
        <w:rPr>
          <w:noProof/>
        </w:rPr>
        <w:t>, 2016.</w:t>
      </w:r>
    </w:p>
    <w:p w14:paraId="29901B92" w14:textId="129A1F6B" w:rsidR="003A4C45" w:rsidRDefault="00EC7077" w:rsidP="00F26239">
      <w:pPr>
        <w:pStyle w:val="References"/>
        <w:tabs>
          <w:tab w:val="num" w:pos="426"/>
        </w:tabs>
        <w:ind w:left="426" w:hanging="426"/>
      </w:pPr>
      <w:r w:rsidRPr="00EC7077">
        <w:t xml:space="preserve">J. </w:t>
      </w:r>
      <w:proofErr w:type="spellStart"/>
      <w:r w:rsidRPr="00EC7077">
        <w:t>Kandampully</w:t>
      </w:r>
      <w:proofErr w:type="spellEnd"/>
      <w:r w:rsidRPr="00EC7077">
        <w:t xml:space="preserve">, “Innovation as the core competency of a service </w:t>
      </w:r>
      <w:proofErr w:type="spellStart"/>
      <w:r w:rsidRPr="00EC7077">
        <w:t>organisation</w:t>
      </w:r>
      <w:proofErr w:type="spellEnd"/>
      <w:r w:rsidRPr="00EC7077">
        <w:t xml:space="preserve">: The role of technology, knowledge and networks,” Eur. J. </w:t>
      </w:r>
      <w:proofErr w:type="spellStart"/>
      <w:r w:rsidRPr="00EC7077">
        <w:t>Innov</w:t>
      </w:r>
      <w:proofErr w:type="spellEnd"/>
      <w:r w:rsidRPr="00EC7077">
        <w:t xml:space="preserve">. Manag., vol. 5, no. 1, pp. 18–26, 2002, </w:t>
      </w:r>
      <w:proofErr w:type="spellStart"/>
      <w:r w:rsidRPr="00EC7077">
        <w:t>doi</w:t>
      </w:r>
      <w:proofErr w:type="spellEnd"/>
      <w:r w:rsidRPr="00EC7077">
        <w:t>: 10.1108/14601060210415144.</w:t>
      </w:r>
    </w:p>
    <w:p w14:paraId="5F76CF33" w14:textId="688061F2" w:rsidR="00EC7077" w:rsidRDefault="00EC7077" w:rsidP="00F26239">
      <w:pPr>
        <w:pStyle w:val="References"/>
        <w:tabs>
          <w:tab w:val="num" w:pos="426"/>
        </w:tabs>
        <w:ind w:left="426" w:hanging="426"/>
      </w:pPr>
      <w:r w:rsidRPr="00EC7077">
        <w:t>L. L. Berry, V. Shankar, J. T. Parish, S. Cadwallader, and T. Dotzel, “Creating new markets through service innovation,” MIT Sloan Manag. Rev., vol. 47, no. 2, pp. 56–63, 2006.</w:t>
      </w:r>
    </w:p>
    <w:p w14:paraId="7BAC9947" w14:textId="447E5DD6" w:rsidR="00EC7077" w:rsidRDefault="00EC7077" w:rsidP="00F26239">
      <w:pPr>
        <w:pStyle w:val="References"/>
        <w:tabs>
          <w:tab w:val="num" w:pos="426"/>
        </w:tabs>
        <w:ind w:left="426" w:hanging="426"/>
      </w:pPr>
      <w:r w:rsidRPr="00EC7077">
        <w:t xml:space="preserve">G. </w:t>
      </w:r>
      <w:proofErr w:type="spellStart"/>
      <w:r w:rsidRPr="00EC7077">
        <w:t>Roos</w:t>
      </w:r>
      <w:proofErr w:type="spellEnd"/>
      <w:r w:rsidRPr="00EC7077">
        <w:t xml:space="preserve"> and R. Agarwal, “Services innovation in a circular economy,” </w:t>
      </w:r>
      <w:proofErr w:type="spellStart"/>
      <w:r w:rsidRPr="00EC7077">
        <w:t>Handb</w:t>
      </w:r>
      <w:proofErr w:type="spellEnd"/>
      <w:r w:rsidRPr="00EC7077">
        <w:t xml:space="preserve">. Serv. </w:t>
      </w:r>
      <w:proofErr w:type="spellStart"/>
      <w:r w:rsidRPr="00EC7077">
        <w:t>Innov</w:t>
      </w:r>
      <w:proofErr w:type="spellEnd"/>
      <w:r w:rsidRPr="00EC7077">
        <w:t>., pp. 501–520, 2015.</w:t>
      </w:r>
    </w:p>
    <w:p w14:paraId="194AD468" w14:textId="759A24C4" w:rsidR="00EC7077" w:rsidRDefault="00EC7077" w:rsidP="00F26239">
      <w:pPr>
        <w:pStyle w:val="References"/>
        <w:tabs>
          <w:tab w:val="num" w:pos="426"/>
        </w:tabs>
        <w:ind w:left="426" w:hanging="426"/>
      </w:pPr>
      <w:r w:rsidRPr="00EC7077">
        <w:t xml:space="preserve">P. P. Maglio, S. Srinivasan, J. T. </w:t>
      </w:r>
      <w:proofErr w:type="spellStart"/>
      <w:r w:rsidRPr="00EC7077">
        <w:t>Kreulen</w:t>
      </w:r>
      <w:proofErr w:type="spellEnd"/>
      <w:r w:rsidRPr="00EC7077">
        <w:t xml:space="preserve">, and J. Spohrer, “Service systems, service scientists, SSME, and innovation,” </w:t>
      </w:r>
      <w:proofErr w:type="spellStart"/>
      <w:r w:rsidRPr="00EC7077">
        <w:t>Commun</w:t>
      </w:r>
      <w:proofErr w:type="spellEnd"/>
      <w:r w:rsidRPr="00EC7077">
        <w:t>. ACM, vol. 49, no. 7, pp. 81–85, 2006.</w:t>
      </w:r>
    </w:p>
    <w:p w14:paraId="41EA71E4" w14:textId="16483FDC" w:rsidR="00EC7077" w:rsidRDefault="00EC7077" w:rsidP="00F26239">
      <w:pPr>
        <w:pStyle w:val="References"/>
        <w:tabs>
          <w:tab w:val="num" w:pos="426"/>
        </w:tabs>
        <w:ind w:left="426" w:hanging="426"/>
      </w:pPr>
      <w:r w:rsidRPr="00EC7077">
        <w:t>L. Patrício, R. P. Fisk, J. Falcão e Cunha, and L. Constantine, “Multilevel service design: from customer value constellation to service experience blueprinting,” J. Serv. Res., vol. 14, no. 2, pp. 180–200, 2011.</w:t>
      </w:r>
    </w:p>
    <w:p w14:paraId="187E8024" w14:textId="14E3550E" w:rsidR="003A4C45" w:rsidRDefault="003A4C45" w:rsidP="00F26239">
      <w:pPr>
        <w:pStyle w:val="References"/>
        <w:tabs>
          <w:tab w:val="num" w:pos="426"/>
        </w:tabs>
        <w:ind w:left="426" w:hanging="426"/>
      </w:pPr>
      <w:r>
        <w:t>R. J. Glushko, “Seven contexts for service system design,” in Handbook of service science, Springer, 2010, pp. 219–249.</w:t>
      </w:r>
    </w:p>
    <w:p w14:paraId="48069F39" w14:textId="65756BE4" w:rsidR="003A4C45" w:rsidRDefault="003A4C45" w:rsidP="00F26239">
      <w:pPr>
        <w:pStyle w:val="References"/>
        <w:tabs>
          <w:tab w:val="num" w:pos="426"/>
        </w:tabs>
        <w:ind w:left="426" w:hanging="426"/>
      </w:pPr>
      <w:r>
        <w:t xml:space="preserve">A. </w:t>
      </w:r>
      <w:proofErr w:type="spellStart"/>
      <w:r>
        <w:t>Helkkula</w:t>
      </w:r>
      <w:proofErr w:type="spellEnd"/>
      <w:r>
        <w:t>, “</w:t>
      </w:r>
      <w:proofErr w:type="spellStart"/>
      <w:r>
        <w:t>Characterising</w:t>
      </w:r>
      <w:proofErr w:type="spellEnd"/>
      <w:r>
        <w:t xml:space="preserve"> the concept of service experience,” J. Serv. Manag., 2011.</w:t>
      </w:r>
    </w:p>
    <w:p w14:paraId="411725BF" w14:textId="549D246A" w:rsidR="003A4C45" w:rsidRDefault="003A4C45" w:rsidP="00F26239">
      <w:pPr>
        <w:pStyle w:val="References"/>
        <w:tabs>
          <w:tab w:val="num" w:pos="426"/>
        </w:tabs>
        <w:ind w:left="426" w:hanging="426"/>
      </w:pPr>
      <w:r>
        <w:t xml:space="preserve">B. Edvardsson, P. Kristensson, P. Magnusson, and E. Sundström, “Customer integration within service development—A review of methods and an analysis of </w:t>
      </w:r>
      <w:proofErr w:type="spellStart"/>
      <w:r>
        <w:t>insitu</w:t>
      </w:r>
      <w:proofErr w:type="spellEnd"/>
      <w:r>
        <w:t xml:space="preserve"> and </w:t>
      </w:r>
      <w:proofErr w:type="spellStart"/>
      <w:r>
        <w:t>exsitu</w:t>
      </w:r>
      <w:proofErr w:type="spellEnd"/>
      <w:r>
        <w:t xml:space="preserve"> contributions,” </w:t>
      </w:r>
      <w:proofErr w:type="spellStart"/>
      <w:r>
        <w:t>Technovation</w:t>
      </w:r>
      <w:proofErr w:type="spellEnd"/>
      <w:r>
        <w:t>, vol. 32, no. 7–8, pp. 419–429, 2012.</w:t>
      </w:r>
    </w:p>
    <w:p w14:paraId="300FFAA3" w14:textId="0DDC2668" w:rsidR="003A4C45" w:rsidRDefault="003A4C45" w:rsidP="00F26239">
      <w:pPr>
        <w:pStyle w:val="References"/>
        <w:tabs>
          <w:tab w:val="num" w:pos="426"/>
        </w:tabs>
        <w:ind w:left="426" w:hanging="426"/>
      </w:pPr>
      <w:r>
        <w:t>J. Teixeira, L. Patrício, N. J. Nunes, L. Nóbrega, R. P. Fisk, and L. Constantine, “Customer experience modeling: from customer experience to service design,” J. Serv. Manag., 2012.</w:t>
      </w:r>
    </w:p>
    <w:p w14:paraId="19E9DE5D" w14:textId="0422AAA1" w:rsidR="00EC7077" w:rsidRDefault="00EC7077" w:rsidP="00F26239">
      <w:pPr>
        <w:pStyle w:val="References"/>
        <w:tabs>
          <w:tab w:val="num" w:pos="426"/>
        </w:tabs>
        <w:ind w:left="426" w:hanging="426"/>
      </w:pPr>
      <w:r w:rsidRPr="00EC7077">
        <w:t xml:space="preserve">P. Den Hertog, “Knowledge-intensive business services as co-producers of innovation,” Int. J. </w:t>
      </w:r>
      <w:proofErr w:type="spellStart"/>
      <w:r w:rsidRPr="00EC7077">
        <w:t>Innov</w:t>
      </w:r>
      <w:proofErr w:type="spellEnd"/>
      <w:r w:rsidRPr="00EC7077">
        <w:t>. Manag., vol. 4, no. 04, pp. 491–528, 2000.</w:t>
      </w:r>
    </w:p>
    <w:p w14:paraId="1D784111" w14:textId="24B0402A" w:rsidR="00EC7077" w:rsidRDefault="00EC7077" w:rsidP="00F26239">
      <w:pPr>
        <w:pStyle w:val="References"/>
        <w:tabs>
          <w:tab w:val="num" w:pos="426"/>
        </w:tabs>
        <w:ind w:left="426" w:hanging="426"/>
      </w:pPr>
      <w:r w:rsidRPr="00EC7077">
        <w:t xml:space="preserve">C. Voss and L. </w:t>
      </w:r>
      <w:proofErr w:type="spellStart"/>
      <w:r w:rsidRPr="00EC7077">
        <w:t>Zomerdijk</w:t>
      </w:r>
      <w:proofErr w:type="spellEnd"/>
      <w:r w:rsidRPr="00EC7077">
        <w:t>, Innovation in experiential services: an empirical view. AIM Research Hockessin, 2007.</w:t>
      </w:r>
    </w:p>
    <w:p w14:paraId="72BB6911" w14:textId="75E8CB56" w:rsidR="00EC7077" w:rsidRDefault="00EC7077" w:rsidP="00F26239">
      <w:pPr>
        <w:pStyle w:val="References"/>
        <w:tabs>
          <w:tab w:val="num" w:pos="426"/>
        </w:tabs>
        <w:ind w:left="426" w:hanging="426"/>
      </w:pPr>
      <w:r w:rsidRPr="00EC7077">
        <w:t>R. Agarwal and W. Selen, “An integrated view of service innovation in service networks,” Serv. Syst. Implement., pp. 253–273, 2011.</w:t>
      </w:r>
    </w:p>
    <w:p w14:paraId="316226A6" w14:textId="25AFFAB1" w:rsidR="00EC7077" w:rsidRDefault="00EC7077" w:rsidP="00F26239">
      <w:pPr>
        <w:pStyle w:val="References"/>
        <w:tabs>
          <w:tab w:val="num" w:pos="426"/>
        </w:tabs>
        <w:ind w:left="426" w:hanging="426"/>
      </w:pPr>
      <w:r w:rsidRPr="00EC7077">
        <w:t xml:space="preserve">R. Verma and K. R. Jayasimha, “Service delivery innovation architecture: An empirical study of antecedents and outcomes,” IIMB Manag. Rev., vol. 26, no. 2, pp. 105–121, 2014, </w:t>
      </w:r>
      <w:proofErr w:type="spellStart"/>
      <w:r w:rsidRPr="00EC7077">
        <w:t>doi</w:t>
      </w:r>
      <w:proofErr w:type="spellEnd"/>
      <w:r w:rsidRPr="00EC7077">
        <w:t>: 10.1016/j.iimb.2014.03.002.</w:t>
      </w:r>
    </w:p>
    <w:p w14:paraId="57E7B190" w14:textId="75F28647" w:rsidR="00EC7077" w:rsidRDefault="00EC7077" w:rsidP="00F26239">
      <w:pPr>
        <w:pStyle w:val="References"/>
        <w:tabs>
          <w:tab w:val="num" w:pos="426"/>
        </w:tabs>
        <w:ind w:left="426" w:hanging="426"/>
      </w:pPr>
      <w:r w:rsidRPr="00EC7077">
        <w:t xml:space="preserve">C. </w:t>
      </w:r>
      <w:proofErr w:type="spellStart"/>
      <w:r w:rsidRPr="00EC7077">
        <w:t>Storey</w:t>
      </w:r>
      <w:proofErr w:type="spellEnd"/>
      <w:r w:rsidRPr="00EC7077">
        <w:t xml:space="preserve">, P. </w:t>
      </w:r>
      <w:proofErr w:type="spellStart"/>
      <w:r w:rsidRPr="00EC7077">
        <w:t>Cankurtaran</w:t>
      </w:r>
      <w:proofErr w:type="spellEnd"/>
      <w:r w:rsidRPr="00EC7077">
        <w:t xml:space="preserve">, P. </w:t>
      </w:r>
      <w:proofErr w:type="spellStart"/>
      <w:r w:rsidRPr="00EC7077">
        <w:t>Papastathopoulou</w:t>
      </w:r>
      <w:proofErr w:type="spellEnd"/>
      <w:r w:rsidRPr="00EC7077">
        <w:t xml:space="preserve">, and E. J. </w:t>
      </w:r>
      <w:proofErr w:type="spellStart"/>
      <w:r w:rsidRPr="00EC7077">
        <w:t>Hultink</w:t>
      </w:r>
      <w:proofErr w:type="spellEnd"/>
      <w:r w:rsidRPr="00EC7077">
        <w:t xml:space="preserve">, “Success Factors for Service Innovation: A Meta-Analysis,” J. Prod. </w:t>
      </w:r>
      <w:proofErr w:type="spellStart"/>
      <w:r w:rsidRPr="00EC7077">
        <w:t>Innov</w:t>
      </w:r>
      <w:proofErr w:type="spellEnd"/>
      <w:r w:rsidRPr="00EC7077">
        <w:t xml:space="preserve">. Manag., vol. 33, no. 5, pp. 527–548, 2016, </w:t>
      </w:r>
      <w:proofErr w:type="spellStart"/>
      <w:r w:rsidRPr="00EC7077">
        <w:t>doi</w:t>
      </w:r>
      <w:proofErr w:type="spellEnd"/>
      <w:r w:rsidRPr="00EC7077">
        <w:t>: 10.1111/jpim.12307.</w:t>
      </w:r>
    </w:p>
    <w:p w14:paraId="16C79BCC" w14:textId="74FC92EE" w:rsidR="00EC7077" w:rsidRDefault="00EC7077" w:rsidP="00F26239">
      <w:pPr>
        <w:pStyle w:val="References"/>
        <w:tabs>
          <w:tab w:val="num" w:pos="426"/>
        </w:tabs>
        <w:ind w:left="426" w:hanging="426"/>
      </w:pPr>
      <w:r w:rsidRPr="00EC7077">
        <w:t xml:space="preserve">K. </w:t>
      </w:r>
      <w:proofErr w:type="spellStart"/>
      <w:r w:rsidRPr="00EC7077">
        <w:t>YuSheng</w:t>
      </w:r>
      <w:proofErr w:type="spellEnd"/>
      <w:r w:rsidRPr="00EC7077">
        <w:t xml:space="preserve"> and M. Ibrahim, “Service innovation, service delivery and customer satisfaction and loyalty in the banking sector of Ghana,” Int. J. Bank Mark., vol. 37, no. 5, pp. 1215–1233, 2019, </w:t>
      </w:r>
      <w:proofErr w:type="spellStart"/>
      <w:r w:rsidRPr="00EC7077">
        <w:t>doi</w:t>
      </w:r>
      <w:proofErr w:type="spellEnd"/>
      <w:r w:rsidRPr="00EC7077">
        <w:t>: 10.1108/IJBM-06-2018-0142.</w:t>
      </w:r>
    </w:p>
    <w:p w14:paraId="700F086B" w14:textId="7DF2CAA9" w:rsidR="003A4C45" w:rsidRDefault="003A4C45" w:rsidP="00F26239">
      <w:pPr>
        <w:pStyle w:val="References"/>
        <w:tabs>
          <w:tab w:val="num" w:pos="426"/>
        </w:tabs>
        <w:ind w:left="426" w:hanging="426"/>
      </w:pPr>
      <w:r>
        <w:t xml:space="preserve">A. Gustafsson, H. Snyder, and L. </w:t>
      </w:r>
      <w:proofErr w:type="spellStart"/>
      <w:r>
        <w:t>Witell</w:t>
      </w:r>
      <w:proofErr w:type="spellEnd"/>
      <w:r>
        <w:t>, “Service innovation: a new conceptualization and path forward.” Sage Publications Sage CA: Los Angeles, CA, 2020.</w:t>
      </w:r>
    </w:p>
    <w:p w14:paraId="0BC2DC79" w14:textId="7F1A1194" w:rsidR="003A4C45" w:rsidRDefault="003A4C45" w:rsidP="00F26239">
      <w:pPr>
        <w:pStyle w:val="References"/>
        <w:tabs>
          <w:tab w:val="num" w:pos="426"/>
        </w:tabs>
        <w:ind w:left="426" w:hanging="426"/>
      </w:pPr>
      <w:r>
        <w:t>M. J. Bitner, A. L. Ostrom, and F. N. Morgan, “Service blueprinting: a practical technique for service innovation,” Calif. Manage. Rev., vol. 50, no. 3, pp. 66–94, 2008.</w:t>
      </w:r>
    </w:p>
    <w:p w14:paraId="4D90BB23" w14:textId="6F1AAF9A" w:rsidR="003A4C45" w:rsidRDefault="003A4C45" w:rsidP="00F26239">
      <w:pPr>
        <w:pStyle w:val="References"/>
        <w:tabs>
          <w:tab w:val="num" w:pos="426"/>
        </w:tabs>
        <w:ind w:left="426" w:hanging="426"/>
      </w:pPr>
      <w:r>
        <w:lastRenderedPageBreak/>
        <w:t>A. F. Hayes, “PROCESS: A versatile computational tool for observed variable mediation, moderation, and conditional process modeling.” University of Kansas, KS, 2012.</w:t>
      </w:r>
    </w:p>
    <w:p w14:paraId="44681BDC" w14:textId="28C9C495" w:rsidR="003A4C45" w:rsidRDefault="003A4C45" w:rsidP="00F26239">
      <w:pPr>
        <w:pStyle w:val="References"/>
        <w:tabs>
          <w:tab w:val="num" w:pos="426"/>
        </w:tabs>
        <w:ind w:left="426" w:hanging="426"/>
      </w:pPr>
      <w:r>
        <w:t>BCG, “Telco Sector Can Be Game-Changer on Sustainability, Shrinking Its Own, Other Industries’ Carbon Footprints,” 2021. https://www.bcg.com/press/24june2021-telco-sector-game-changer-sustainability-shrinking-carbon-footprints (accessed Mar. 21, 2024).</w:t>
      </w:r>
    </w:p>
    <w:p w14:paraId="6901A135" w14:textId="5288F01C" w:rsidR="003A4C45" w:rsidRDefault="003A4C45" w:rsidP="00C80366">
      <w:pPr>
        <w:pStyle w:val="References"/>
        <w:tabs>
          <w:tab w:val="num" w:pos="426"/>
        </w:tabs>
        <w:ind w:left="426" w:hanging="426"/>
        <w:jc w:val="left"/>
      </w:pPr>
      <w:r>
        <w:t>GSMA, “No Title,” 2022. [Online]. Available: https://www.gsma.com/betterfuture/wp-content/uploads/2022/05/Moble-Net-Zero-State-of-the-Industry-on-Climate-Action-2022.pdf?</w:t>
      </w:r>
    </w:p>
    <w:p w14:paraId="7E9269BB" w14:textId="4AC5EBB2" w:rsidR="003A4C45" w:rsidRDefault="003A4C45" w:rsidP="00C80366">
      <w:pPr>
        <w:pStyle w:val="References"/>
        <w:tabs>
          <w:tab w:val="num" w:pos="426"/>
        </w:tabs>
        <w:ind w:left="426" w:hanging="426"/>
        <w:jc w:val="left"/>
      </w:pPr>
      <w:r>
        <w:t xml:space="preserve">A. </w:t>
      </w:r>
      <w:proofErr w:type="spellStart"/>
      <w:r>
        <w:t>Fitri</w:t>
      </w:r>
      <w:proofErr w:type="spellEnd"/>
      <w:r>
        <w:t>, “How telcos are applying circular economy principles to tackle e-waste,” TechMonitor.ai, 2022. https://techmonitor.ai/leadership/sustainability/telcos-circular-economy-principles-tackle-e-waste (accessed Dec. 09, 2023).</w:t>
      </w:r>
    </w:p>
    <w:p w14:paraId="51EF3853" w14:textId="6B7E01B1" w:rsidR="003A4C45" w:rsidRDefault="003A4C45" w:rsidP="00C80366">
      <w:pPr>
        <w:pStyle w:val="References"/>
        <w:tabs>
          <w:tab w:val="num" w:pos="426"/>
        </w:tabs>
        <w:ind w:left="426" w:hanging="426"/>
        <w:jc w:val="left"/>
      </w:pPr>
      <w:r>
        <w:t xml:space="preserve">G. Stone, “Shields </w:t>
      </w:r>
      <w:proofErr w:type="spellStart"/>
      <w:r>
        <w:t>MarketPlace</w:t>
      </w:r>
      <w:proofErr w:type="spellEnd"/>
      <w:r>
        <w:t>: OEM vs Re-used Case Study | Shields,” 2021. Accessed: Dec. 09, 2023. [Online]. Available: https://www.shields-e.com/case-studies/2021/shields-marketplace-oem-vs-re-used-case-study.</w:t>
      </w:r>
    </w:p>
    <w:p w14:paraId="615098B3" w14:textId="1B631C97" w:rsidR="003A4C45" w:rsidRDefault="003A4C45" w:rsidP="00F26239">
      <w:pPr>
        <w:pStyle w:val="References"/>
        <w:tabs>
          <w:tab w:val="num" w:pos="426"/>
        </w:tabs>
        <w:ind w:left="426" w:hanging="426"/>
      </w:pPr>
      <w:r>
        <w:t>R. Zah, “If circularity is the future, how will it shape telecoms? | EY – Switzerland,” 2023. Accessed: Dec. 09, 2023. [Online]. Available: https://www.ey.com/en_ch/sustainability/if-circularity-is-the-future-how-will-it-shape-telecoms.</w:t>
      </w:r>
    </w:p>
    <w:p w14:paraId="6BFEEEFB" w14:textId="59BF401A" w:rsidR="003A4C45" w:rsidRDefault="003A4C45" w:rsidP="00C80366">
      <w:pPr>
        <w:pStyle w:val="References"/>
        <w:tabs>
          <w:tab w:val="num" w:pos="426"/>
        </w:tabs>
        <w:ind w:left="426" w:hanging="426"/>
        <w:jc w:val="left"/>
      </w:pPr>
      <w:r>
        <w:t xml:space="preserve">A. </w:t>
      </w:r>
      <w:proofErr w:type="spellStart"/>
      <w:r>
        <w:t>Loozen</w:t>
      </w:r>
      <w:proofErr w:type="spellEnd"/>
      <w:r>
        <w:t xml:space="preserve">, Tom; </w:t>
      </w:r>
      <w:proofErr w:type="spellStart"/>
      <w:r>
        <w:t>Baschnonga</w:t>
      </w:r>
      <w:proofErr w:type="spellEnd"/>
      <w:r>
        <w:t>, “Top ten risks for telecommunications in 2023 | EY - Global,” 2022. https://www.ey.com/en_gl/telecommunications/top-ten-risks-for-telecommunications-in-2023 (accessed Dec. 09, 2023).</w:t>
      </w:r>
    </w:p>
    <w:p w14:paraId="2E22F8DD" w14:textId="49B0EF6B" w:rsidR="003A4C45" w:rsidRDefault="003A4C45" w:rsidP="00F26239">
      <w:pPr>
        <w:pStyle w:val="References"/>
        <w:tabs>
          <w:tab w:val="num" w:pos="426"/>
        </w:tabs>
        <w:ind w:left="426" w:hanging="426"/>
      </w:pPr>
      <w:r>
        <w:t>A. Agarwal, “Circular Economy in Indian Telecom Sector: Vision, Strategy and Action Plan,” 2023. [Online]. Available: https://iecset2023.bharatexhibitions.com/presentations/Circular-Economy/Arun Agarwal_DoT.pdf.</w:t>
      </w:r>
    </w:p>
    <w:p w14:paraId="0EB1FC7F" w14:textId="1B77606B" w:rsidR="003A4C45" w:rsidRDefault="003A4C45" w:rsidP="00F26239">
      <w:pPr>
        <w:pStyle w:val="References"/>
        <w:tabs>
          <w:tab w:val="num" w:pos="426"/>
        </w:tabs>
        <w:ind w:left="426" w:hanging="426"/>
      </w:pPr>
      <w:r>
        <w:t xml:space="preserve">M. A. Mahmoud, R. E. Hinson, and P. A. Anim, “Service innovation and customer satisfaction: the role of customer value creation,” Eur. J. </w:t>
      </w:r>
      <w:proofErr w:type="spellStart"/>
      <w:r>
        <w:t>Innov</w:t>
      </w:r>
      <w:proofErr w:type="spellEnd"/>
      <w:r>
        <w:t xml:space="preserve">. Manag., vol. 21, no. 3, pp. 402–422, 2018, </w:t>
      </w:r>
      <w:proofErr w:type="spellStart"/>
      <w:r>
        <w:t>doi</w:t>
      </w:r>
      <w:proofErr w:type="spellEnd"/>
      <w:r>
        <w:t>: 10.1108/EJIM-09-2017-0117.</w:t>
      </w:r>
    </w:p>
    <w:p w14:paraId="5D304F2E" w14:textId="09BFDACA" w:rsidR="003A4C45" w:rsidRDefault="003A4C45" w:rsidP="00F26239">
      <w:pPr>
        <w:pStyle w:val="References"/>
        <w:tabs>
          <w:tab w:val="num" w:pos="426"/>
        </w:tabs>
        <w:ind w:left="426" w:hanging="426"/>
      </w:pPr>
      <w:r>
        <w:t>L. Oliver Richard, “Satisfaction: A behavioral perspective on the consumer,” New York ˈ NY Irwin-McGraw-Hill, 1997.</w:t>
      </w:r>
    </w:p>
    <w:p w14:paraId="215A76A6" w14:textId="723F3F5A" w:rsidR="003A4C45" w:rsidRDefault="003A4C45" w:rsidP="00F26239">
      <w:pPr>
        <w:pStyle w:val="References"/>
        <w:tabs>
          <w:tab w:val="num" w:pos="426"/>
        </w:tabs>
        <w:ind w:left="426" w:hanging="426"/>
      </w:pPr>
      <w:r>
        <w:t xml:space="preserve">N. </w:t>
      </w:r>
      <w:proofErr w:type="spellStart"/>
      <w:r>
        <w:t>Narayandas</w:t>
      </w:r>
      <w:proofErr w:type="spellEnd"/>
      <w:r>
        <w:t>, The link between customer satisfaction and customer loyalty: an empirical investigation. Division of Research, Harvard Business School, 1996.</w:t>
      </w:r>
    </w:p>
    <w:p w14:paraId="2686771A" w14:textId="6C84BCAA" w:rsidR="003A4C45" w:rsidRDefault="003A4C45" w:rsidP="00F26239">
      <w:pPr>
        <w:pStyle w:val="References"/>
        <w:tabs>
          <w:tab w:val="num" w:pos="426"/>
        </w:tabs>
        <w:ind w:left="426" w:hanging="426"/>
      </w:pPr>
      <w:r>
        <w:t>A. G. Yong and S. Pearce, “A beginner’s guide to factor analysis: Focusing on exploratory factor analysis,” Tutor. Quant. Methods Psychol., vol. 9, no. 2, pp. 79–94, 2013.</w:t>
      </w:r>
    </w:p>
    <w:p w14:paraId="0F93EE26" w14:textId="12E66B2A" w:rsidR="003A4C45" w:rsidRDefault="003A4C45" w:rsidP="00F26239">
      <w:pPr>
        <w:pStyle w:val="References"/>
        <w:tabs>
          <w:tab w:val="num" w:pos="426"/>
        </w:tabs>
        <w:ind w:left="426" w:hanging="426"/>
      </w:pPr>
      <w:r>
        <w:t>C. Fornell and D. F. Larcker, “Evaluating structural equation models with unobservable variables and measurement error,” J. Mark. Res., vol. 18, no. 1, pp. 39–50, 1981.</w:t>
      </w:r>
    </w:p>
    <w:p w14:paraId="3923E925" w14:textId="5E508783" w:rsidR="003A4C45" w:rsidRDefault="003A4C45" w:rsidP="00F26239">
      <w:pPr>
        <w:pStyle w:val="References"/>
        <w:tabs>
          <w:tab w:val="num" w:pos="426"/>
        </w:tabs>
        <w:ind w:left="426" w:hanging="426"/>
      </w:pPr>
      <w:r>
        <w:t>C. Fornell and D. F. Larcker, “Structural equation models with unobservable variables and measurement error: Algebra and statistics.” Sage Publications Sage CA: Los Angeles, CA, 1981.</w:t>
      </w:r>
    </w:p>
    <w:p w14:paraId="31B3F2E7" w14:textId="74D596C8" w:rsidR="003A4C45" w:rsidRDefault="003A4C45" w:rsidP="00F26239">
      <w:pPr>
        <w:pStyle w:val="References"/>
        <w:tabs>
          <w:tab w:val="num" w:pos="426"/>
        </w:tabs>
        <w:ind w:left="426" w:hanging="426"/>
      </w:pPr>
      <w:r>
        <w:t xml:space="preserve">B. Wheaton, B. </w:t>
      </w:r>
      <w:proofErr w:type="spellStart"/>
      <w:r>
        <w:t>Muthen</w:t>
      </w:r>
      <w:proofErr w:type="spellEnd"/>
      <w:r>
        <w:t xml:space="preserve">, D. F. Alwin, and G. F. Summers, “Assessing reliability and stability in panel models,” </w:t>
      </w:r>
      <w:proofErr w:type="spellStart"/>
      <w:r>
        <w:t>Sociol</w:t>
      </w:r>
      <w:proofErr w:type="spellEnd"/>
      <w:r>
        <w:t xml:space="preserve">. </w:t>
      </w:r>
      <w:proofErr w:type="spellStart"/>
      <w:r>
        <w:t>Methodol</w:t>
      </w:r>
      <w:proofErr w:type="spellEnd"/>
      <w:r>
        <w:t>., vol. 8, pp. 84–136, 1977.</w:t>
      </w:r>
    </w:p>
    <w:p w14:paraId="5F7A662D" w14:textId="5F8CCE8A" w:rsidR="003A4C45" w:rsidRDefault="003A4C45" w:rsidP="00F26239">
      <w:pPr>
        <w:pStyle w:val="References"/>
        <w:tabs>
          <w:tab w:val="num" w:pos="426"/>
        </w:tabs>
        <w:ind w:left="426" w:hanging="426"/>
      </w:pPr>
      <w:r>
        <w:t>P. M. Bentler, “Comparative fit indexes in structural models.,” Psychol. Bull., vol. 107, no. 2, p. 238, 1990.</w:t>
      </w:r>
    </w:p>
    <w:p w14:paraId="75AEB984" w14:textId="640C0E17" w:rsidR="003A4C45" w:rsidRDefault="003A4C45" w:rsidP="00F26239">
      <w:pPr>
        <w:pStyle w:val="References"/>
        <w:tabs>
          <w:tab w:val="num" w:pos="426"/>
        </w:tabs>
        <w:ind w:left="426" w:hanging="426"/>
      </w:pPr>
      <w:r>
        <w:t xml:space="preserve">P. Barrett, “Structural equation modelling: Adjudging model fit,” Pers. </w:t>
      </w:r>
      <w:proofErr w:type="spellStart"/>
      <w:r>
        <w:t>Individ</w:t>
      </w:r>
      <w:proofErr w:type="spellEnd"/>
      <w:r>
        <w:t>. Dif., vol. 42, no. 5, pp. 815–824, 2007.</w:t>
      </w:r>
    </w:p>
    <w:p w14:paraId="4B0FEFBE" w14:textId="5F18D196" w:rsidR="003A4C45" w:rsidRDefault="003A4C45" w:rsidP="00F26239">
      <w:pPr>
        <w:pStyle w:val="References"/>
        <w:tabs>
          <w:tab w:val="num" w:pos="426"/>
        </w:tabs>
        <w:ind w:left="426" w:hanging="426"/>
      </w:pPr>
      <w:r>
        <w:t>B. M. Byrne, “Structural equation modeling with AMOS: basic concepts, applications, and programming (multivariate applications series),” New York Taylor Fr. Gr., vol. 396, p. 7384, 2010.</w:t>
      </w:r>
    </w:p>
    <w:p w14:paraId="3D6D305A" w14:textId="0684A879" w:rsidR="003A4C45" w:rsidRDefault="003A4C45" w:rsidP="00F26239">
      <w:pPr>
        <w:pStyle w:val="References"/>
        <w:tabs>
          <w:tab w:val="num" w:pos="426"/>
        </w:tabs>
        <w:ind w:left="426" w:hanging="426"/>
      </w:pPr>
      <w:r>
        <w:t>J. M. Conway and C. E. Lance, “What reviewers should expect from authors regarding common method bias in organizational research,” J. Bus. Psychol., vol. 25, no. 3, pp. 325–334, 2010.</w:t>
      </w:r>
    </w:p>
    <w:p w14:paraId="20E4CEDB" w14:textId="2C86B022" w:rsidR="003A4C45" w:rsidRDefault="003A4C45" w:rsidP="00F26239">
      <w:pPr>
        <w:pStyle w:val="References"/>
        <w:tabs>
          <w:tab w:val="num" w:pos="426"/>
        </w:tabs>
        <w:ind w:left="426" w:hanging="426"/>
      </w:pPr>
      <w:r>
        <w:t xml:space="preserve">S.-J. Chang, A. Van </w:t>
      </w:r>
      <w:proofErr w:type="spellStart"/>
      <w:r>
        <w:t>Witteloostuijn</w:t>
      </w:r>
      <w:proofErr w:type="spellEnd"/>
      <w:r>
        <w:t>, and L. Eden, “From the editors: Common method variance in international business research.” Springer, 2010.</w:t>
      </w:r>
    </w:p>
    <w:p w14:paraId="04E05917" w14:textId="2AFDAFB4" w:rsidR="003A4C45" w:rsidRDefault="003A4C45" w:rsidP="00F26239">
      <w:pPr>
        <w:pStyle w:val="References"/>
        <w:tabs>
          <w:tab w:val="num" w:pos="426"/>
        </w:tabs>
        <w:ind w:left="426" w:hanging="426"/>
      </w:pPr>
      <w:r>
        <w:t xml:space="preserve">P. M. Podsakoff, S. B. </w:t>
      </w:r>
      <w:proofErr w:type="spellStart"/>
      <w:r>
        <w:t>MacKenzie</w:t>
      </w:r>
      <w:proofErr w:type="spellEnd"/>
      <w:r>
        <w:t>, J.-Y. Lee, and N. P. Podsakoff, “Common method biases in behavioral research: a critical review of the literature and recommended remedies.,” J. Appl. Psychol., vol. 88, no. 5, p. 879, 2003.</w:t>
      </w:r>
    </w:p>
    <w:p w14:paraId="2DC67D4E" w14:textId="1FD7DE9B" w:rsidR="003A4C45" w:rsidRDefault="003A4C45" w:rsidP="00F26239">
      <w:pPr>
        <w:pStyle w:val="References"/>
        <w:tabs>
          <w:tab w:val="num" w:pos="426"/>
        </w:tabs>
        <w:ind w:left="426" w:hanging="426"/>
      </w:pPr>
      <w:r>
        <w:t>H. H. Harman, Modern factor analysis. University of Chicago press, 1976.</w:t>
      </w:r>
    </w:p>
    <w:p w14:paraId="32C1EAC9" w14:textId="293665B7" w:rsidR="003A4C45" w:rsidRDefault="003A4C45" w:rsidP="00F26239">
      <w:pPr>
        <w:pStyle w:val="References"/>
        <w:tabs>
          <w:tab w:val="num" w:pos="426"/>
        </w:tabs>
        <w:ind w:left="426" w:hanging="426"/>
      </w:pPr>
      <w:r>
        <w:t>R. E. Johnson, C. C. Rosen, and E. Djurdjevic, “Assessing the impact of common method variance on higher order multidimensional constructs.,” J. Appl. Psychol., vol. 96, no. 4, p. 744, 2011.</w:t>
      </w:r>
    </w:p>
    <w:p w14:paraId="5458E581" w14:textId="58636246" w:rsidR="003A4C45" w:rsidRDefault="003A4C45" w:rsidP="00F26239">
      <w:pPr>
        <w:pStyle w:val="References"/>
        <w:tabs>
          <w:tab w:val="num" w:pos="426"/>
        </w:tabs>
        <w:ind w:left="426" w:hanging="426"/>
      </w:pPr>
      <w:r>
        <w:t xml:space="preserve">J. H. Bolin, “Hayes, Andrew F. (2013). Introduction to Mediation, Moderation, and Conditional Process Analysis: A Regression-Based Approach. New York, NY: The Guilford Press,” J. Educ. Meas., vol. 51, no. 3, pp. 335–337, 2014, </w:t>
      </w:r>
      <w:proofErr w:type="spellStart"/>
      <w:r>
        <w:t>doi</w:t>
      </w:r>
      <w:proofErr w:type="spellEnd"/>
      <w:r>
        <w:t>: 10.1111/jedm.12050.</w:t>
      </w:r>
    </w:p>
    <w:p w14:paraId="71696073" w14:textId="357AF04B" w:rsidR="003A4C45" w:rsidRDefault="003A4C45" w:rsidP="00F26239">
      <w:pPr>
        <w:pStyle w:val="References"/>
        <w:tabs>
          <w:tab w:val="num" w:pos="426"/>
        </w:tabs>
        <w:ind w:left="426" w:hanging="426"/>
      </w:pPr>
      <w:r>
        <w:t xml:space="preserve">A. F. Hayes and K. J. Preacher, “Statistical mediation analysis with a </w:t>
      </w:r>
      <w:proofErr w:type="spellStart"/>
      <w:r>
        <w:t>multicategorical</w:t>
      </w:r>
      <w:proofErr w:type="spellEnd"/>
      <w:r>
        <w:t xml:space="preserve"> independent variable,” Br. J. Math. Stat. Psychol., vol. 67, no. 3, pp. 451–470, 2014, </w:t>
      </w:r>
      <w:proofErr w:type="spellStart"/>
      <w:r>
        <w:t>doi</w:t>
      </w:r>
      <w:proofErr w:type="spellEnd"/>
      <w:r>
        <w:t>: 10.1111/bmsp.12028.</w:t>
      </w:r>
    </w:p>
    <w:p w14:paraId="72A60CC4" w14:textId="6F3CEC13" w:rsidR="003A4C45" w:rsidRDefault="00745FA8" w:rsidP="00F26239">
      <w:pPr>
        <w:pStyle w:val="References"/>
        <w:tabs>
          <w:tab w:val="num" w:pos="426"/>
        </w:tabs>
        <w:ind w:left="426" w:hanging="426"/>
      </w:pPr>
      <w:r>
        <w:t xml:space="preserve"> </w:t>
      </w:r>
      <w:r w:rsidR="003A4C45">
        <w:t xml:space="preserve">M. Ibrahim and S. </w:t>
      </w:r>
      <w:proofErr w:type="spellStart"/>
      <w:r w:rsidR="003A4C45">
        <w:t>Abdallahamed</w:t>
      </w:r>
      <w:proofErr w:type="spellEnd"/>
      <w:r w:rsidR="003A4C45">
        <w:t xml:space="preserve">, “Service Recovery and Customer </w:t>
      </w:r>
      <w:proofErr w:type="gramStart"/>
      <w:r w:rsidR="003A4C45">
        <w:t>Satisfaction :</w:t>
      </w:r>
      <w:proofErr w:type="gramEnd"/>
      <w:r w:rsidR="003A4C45">
        <w:t xml:space="preserve"> A Case of Uganda Telecom,” Eur. J. Bus. Manag., vol. 6, no. 4, pp. 197–209, 2014.</w:t>
      </w:r>
    </w:p>
    <w:p w14:paraId="6744B81B" w14:textId="540D4622" w:rsidR="003A4C45" w:rsidRDefault="003A4C45" w:rsidP="00F26239">
      <w:pPr>
        <w:pStyle w:val="References"/>
        <w:tabs>
          <w:tab w:val="num" w:pos="426"/>
        </w:tabs>
        <w:ind w:left="426" w:hanging="426"/>
      </w:pPr>
      <w:r>
        <w:t xml:space="preserve">S. Mousavi, B. </w:t>
      </w:r>
      <w:proofErr w:type="spellStart"/>
      <w:r>
        <w:t>Bossink</w:t>
      </w:r>
      <w:proofErr w:type="spellEnd"/>
      <w:r>
        <w:t>, and M. van Vliet, “Dynamic capabilities and organizational routines for managing innovation towards sustainability,” J. Clean. Prod., vol. 203, pp. 224–239, 2018.</w:t>
      </w:r>
    </w:p>
    <w:p w14:paraId="5257DC38" w14:textId="1C486AE8" w:rsidR="003A4C45" w:rsidRDefault="003A4C45" w:rsidP="00F26239">
      <w:pPr>
        <w:pStyle w:val="References"/>
        <w:tabs>
          <w:tab w:val="num" w:pos="426"/>
        </w:tabs>
        <w:ind w:left="426" w:hanging="426"/>
      </w:pPr>
      <w:r>
        <w:t xml:space="preserve">O. Khan, T. Daddi, and F. </w:t>
      </w:r>
      <w:proofErr w:type="spellStart"/>
      <w:r>
        <w:t>Iraldo</w:t>
      </w:r>
      <w:proofErr w:type="spellEnd"/>
      <w:r>
        <w:t xml:space="preserve">, “The role of dynamic capabilities in circular economy implementation and performance of companies,” Corp. Soc. </w:t>
      </w:r>
      <w:proofErr w:type="spellStart"/>
      <w:r>
        <w:t>Responsib</w:t>
      </w:r>
      <w:proofErr w:type="spellEnd"/>
      <w:r>
        <w:t>. Environ. Manag., vol. 27, no. 6, pp. 3018–3033, 2020.</w:t>
      </w:r>
    </w:p>
    <w:p w14:paraId="0FA82637" w14:textId="213A16FB" w:rsidR="003A4C45" w:rsidRDefault="003A4C45" w:rsidP="00F26239">
      <w:pPr>
        <w:pStyle w:val="References"/>
        <w:tabs>
          <w:tab w:val="num" w:pos="426"/>
        </w:tabs>
        <w:ind w:left="426" w:hanging="426"/>
      </w:pPr>
      <w:r>
        <w:t>B. Kogut and U. Zander, “Knowledge of the firm, combinative capabilities, and the replication of technology,” Organ. Sci., vol. 3, no. 3, pp. 383–397, 1992.</w:t>
      </w:r>
    </w:p>
    <w:p w14:paraId="40CEC59A" w14:textId="6CF886D9" w:rsidR="003A4C45" w:rsidRDefault="00745FA8" w:rsidP="00F26239">
      <w:pPr>
        <w:pStyle w:val="References"/>
        <w:tabs>
          <w:tab w:val="num" w:pos="426"/>
        </w:tabs>
        <w:ind w:left="426" w:hanging="426"/>
      </w:pPr>
      <w:r>
        <w:t xml:space="preserve"> </w:t>
      </w:r>
      <w:r w:rsidR="003A4C45">
        <w:t xml:space="preserve">K. M. Eisenhardt and J. A. Martin, “Dynamic capabilities: What are </w:t>
      </w:r>
      <w:proofErr w:type="gramStart"/>
      <w:r w:rsidR="003A4C45">
        <w:t>they?,</w:t>
      </w:r>
      <w:proofErr w:type="gramEnd"/>
      <w:r w:rsidR="003A4C45">
        <w:t xml:space="preserve">” </w:t>
      </w:r>
      <w:proofErr w:type="spellStart"/>
      <w:r w:rsidR="003A4C45">
        <w:t>Strateg</w:t>
      </w:r>
      <w:proofErr w:type="spellEnd"/>
      <w:r w:rsidR="003A4C45">
        <w:t xml:space="preserve">. Manag. J., vol. 21, no. 10–11, pp. 1105–1121, 2000, </w:t>
      </w:r>
      <w:proofErr w:type="spellStart"/>
      <w:r w:rsidR="003A4C45">
        <w:t>doi</w:t>
      </w:r>
      <w:proofErr w:type="spellEnd"/>
      <w:r w:rsidR="003A4C45">
        <w:t>: 10.1002/1097-0266(200010/11)21:10/11&lt;</w:t>
      </w:r>
      <w:proofErr w:type="gramStart"/>
      <w:r w:rsidR="003A4C45">
        <w:t>1105::</w:t>
      </w:r>
      <w:proofErr w:type="gramEnd"/>
      <w:r w:rsidR="003A4C45">
        <w:t>AID-SMJ133&gt;3.0.CO;2-E.</w:t>
      </w:r>
    </w:p>
    <w:p w14:paraId="577F7292" w14:textId="718D4705" w:rsidR="003A4C45" w:rsidRDefault="00745FA8" w:rsidP="00F26239">
      <w:pPr>
        <w:pStyle w:val="References"/>
        <w:tabs>
          <w:tab w:val="num" w:pos="426"/>
        </w:tabs>
        <w:ind w:left="426" w:hanging="426"/>
      </w:pPr>
      <w:r>
        <w:t xml:space="preserve"> </w:t>
      </w:r>
      <w:r w:rsidR="003A4C45">
        <w:t>A. Holmes, Commoditization and the strategic response. CRC Press, 2016.</w:t>
      </w:r>
    </w:p>
    <w:p w14:paraId="4F5B2BC5" w14:textId="1CAFC0EC" w:rsidR="003A4C45" w:rsidRDefault="00745FA8" w:rsidP="00F26239">
      <w:pPr>
        <w:pStyle w:val="References"/>
        <w:tabs>
          <w:tab w:val="num" w:pos="426"/>
        </w:tabs>
        <w:ind w:left="426" w:hanging="426"/>
      </w:pPr>
      <w:r>
        <w:t xml:space="preserve"> </w:t>
      </w:r>
      <w:r w:rsidR="003A4C45">
        <w:t xml:space="preserve">S. Carnahan, R. Agarwal, and B. Campbell, “The Effect of Firm Compensation Structures on the Mobility and Entrepreneurship of Extreme Performers,” Business, vol. 1239, no. March 2015, pp. 1–43, 2010, </w:t>
      </w:r>
      <w:proofErr w:type="spellStart"/>
      <w:r w:rsidR="003A4C45">
        <w:t>doi</w:t>
      </w:r>
      <w:proofErr w:type="spellEnd"/>
      <w:r w:rsidR="003A4C45">
        <w:t>: 10.1002/</w:t>
      </w:r>
      <w:proofErr w:type="spellStart"/>
      <w:r w:rsidR="003A4C45">
        <w:t>smj</w:t>
      </w:r>
      <w:proofErr w:type="spellEnd"/>
      <w:r w:rsidR="003A4C45">
        <w:t>.</w:t>
      </w:r>
    </w:p>
    <w:p w14:paraId="77AB1182" w14:textId="155840DB" w:rsidR="003A4C45" w:rsidRDefault="003A4C45" w:rsidP="00F26239">
      <w:pPr>
        <w:pStyle w:val="References"/>
        <w:tabs>
          <w:tab w:val="num" w:pos="426"/>
        </w:tabs>
        <w:ind w:left="426" w:hanging="426"/>
      </w:pPr>
      <w:r>
        <w:t>E. Ingvarson and B. Evelina, “Debunking-telcos-circular-economy-myths,” 2022. [Online]. Available: https://media.txo.com/wp-content/uploads/2023/04/25231941/Debunking-telcos-circular-economy-myths.pdf.</w:t>
      </w:r>
    </w:p>
    <w:p w14:paraId="014AB52C" w14:textId="3D5193B3" w:rsidR="00E97402" w:rsidRDefault="00F932B6" w:rsidP="00745FA8">
      <w:pPr>
        <w:pStyle w:val="References"/>
        <w:numPr>
          <w:ilvl w:val="0"/>
          <w:numId w:val="0"/>
        </w:numPr>
      </w:pPr>
      <w:r w:rsidRPr="00F932B6">
        <w:t> </w:t>
      </w:r>
    </w:p>
    <w:p w14:paraId="34073848" w14:textId="5F62BB51" w:rsidR="00EC7077" w:rsidRPr="00EC7077" w:rsidRDefault="00EC7077" w:rsidP="00745FA8">
      <w:pPr>
        <w:pStyle w:val="References"/>
        <w:numPr>
          <w:ilvl w:val="0"/>
          <w:numId w:val="0"/>
        </w:numPr>
        <w:rPr>
          <w:b/>
          <w:bCs/>
        </w:rPr>
      </w:pPr>
      <w:r w:rsidRPr="00EC7077">
        <w:rPr>
          <w:b/>
          <w:bCs/>
        </w:rPr>
        <w:t>Appendix: Tables</w:t>
      </w:r>
    </w:p>
    <w:p w14:paraId="512E07F6" w14:textId="77777777" w:rsidR="00C80366" w:rsidRDefault="00C80366" w:rsidP="00EC7077">
      <w:pPr>
        <w:jc w:val="center"/>
        <w:rPr>
          <w:b/>
          <w:bCs/>
          <w:sz w:val="18"/>
          <w:szCs w:val="18"/>
        </w:rPr>
      </w:pPr>
    </w:p>
    <w:p w14:paraId="7FE05980" w14:textId="77777777" w:rsidR="008A3740" w:rsidRDefault="00C80366" w:rsidP="008A3740">
      <w:pPr>
        <w:jc w:val="center"/>
        <w:rPr>
          <w:sz w:val="16"/>
          <w:szCs w:val="16"/>
        </w:rPr>
      </w:pPr>
      <w:r w:rsidRPr="008A3740">
        <w:t>TABLE A.1: SAMPLE COMPOSITION FOR STUDY</w:t>
      </w:r>
      <w:r w:rsidRPr="00C80366">
        <w:rPr>
          <w:sz w:val="16"/>
          <w:szCs w:val="16"/>
        </w:rPr>
        <w:t xml:space="preserve"> </w:t>
      </w:r>
    </w:p>
    <w:p w14:paraId="7D1D4FB4" w14:textId="550A1BFB" w:rsidR="00EC7077" w:rsidRPr="00C80366" w:rsidRDefault="00C80366" w:rsidP="008A3740">
      <w:pPr>
        <w:ind w:left="3030" w:firstLine="202"/>
        <w:jc w:val="center"/>
        <w:rPr>
          <w:sz w:val="16"/>
          <w:szCs w:val="16"/>
        </w:rPr>
      </w:pPr>
      <w:r w:rsidRPr="00C80366">
        <w:rPr>
          <w:sz w:val="16"/>
          <w:szCs w:val="16"/>
        </w:rPr>
        <w:t>(N=435)</w:t>
      </w:r>
    </w:p>
    <w:tbl>
      <w:tblPr>
        <w:tblW w:w="3676" w:type="dxa"/>
        <w:jc w:val="center"/>
        <w:tblLook w:val="04A0" w:firstRow="1" w:lastRow="0" w:firstColumn="1" w:lastColumn="0" w:noHBand="0" w:noVBand="1"/>
      </w:tblPr>
      <w:tblGrid>
        <w:gridCol w:w="1008"/>
        <w:gridCol w:w="1959"/>
        <w:gridCol w:w="830"/>
      </w:tblGrid>
      <w:tr w:rsidR="00C80366" w:rsidRPr="00C80366" w14:paraId="20977074" w14:textId="77777777" w:rsidTr="00C80366">
        <w:trPr>
          <w:trHeight w:val="128"/>
          <w:jc w:val="center"/>
        </w:trPr>
        <w:tc>
          <w:tcPr>
            <w:tcW w:w="1008" w:type="dxa"/>
            <w:vMerge w:val="restart"/>
            <w:tcBorders>
              <w:top w:val="single" w:sz="8" w:space="0" w:color="auto"/>
              <w:left w:val="single" w:sz="8" w:space="0" w:color="auto"/>
              <w:bottom w:val="single" w:sz="8" w:space="0" w:color="000000"/>
              <w:right w:val="nil"/>
            </w:tcBorders>
            <w:noWrap/>
            <w:vAlign w:val="center"/>
            <w:hideMark/>
          </w:tcPr>
          <w:p w14:paraId="6887AEC4" w14:textId="77777777" w:rsidR="00EC7077" w:rsidRPr="00C80366" w:rsidRDefault="00EC7077" w:rsidP="007674BE">
            <w:pPr>
              <w:jc w:val="center"/>
              <w:rPr>
                <w:b/>
                <w:bCs/>
                <w:sz w:val="16"/>
                <w:szCs w:val="16"/>
              </w:rPr>
            </w:pPr>
            <w:r w:rsidRPr="00C80366">
              <w:rPr>
                <w:b/>
                <w:bCs/>
                <w:sz w:val="16"/>
                <w:szCs w:val="16"/>
              </w:rPr>
              <w:t>Age</w:t>
            </w:r>
          </w:p>
        </w:tc>
        <w:tc>
          <w:tcPr>
            <w:tcW w:w="1959" w:type="dxa"/>
            <w:tcBorders>
              <w:top w:val="single" w:sz="8" w:space="0" w:color="auto"/>
              <w:left w:val="nil"/>
              <w:bottom w:val="nil"/>
              <w:right w:val="nil"/>
            </w:tcBorders>
            <w:noWrap/>
            <w:vAlign w:val="bottom"/>
            <w:hideMark/>
          </w:tcPr>
          <w:p w14:paraId="38487124" w14:textId="77777777" w:rsidR="00EC7077" w:rsidRPr="00C80366" w:rsidRDefault="00EC7077" w:rsidP="007674BE">
            <w:pPr>
              <w:ind w:firstLineChars="200" w:firstLine="320"/>
              <w:rPr>
                <w:sz w:val="16"/>
                <w:szCs w:val="16"/>
              </w:rPr>
            </w:pPr>
            <w:r w:rsidRPr="00C80366">
              <w:rPr>
                <w:sz w:val="16"/>
                <w:szCs w:val="16"/>
              </w:rPr>
              <w:t>18-24</w:t>
            </w:r>
          </w:p>
        </w:tc>
        <w:tc>
          <w:tcPr>
            <w:tcW w:w="709" w:type="dxa"/>
            <w:tcBorders>
              <w:top w:val="single" w:sz="8" w:space="0" w:color="auto"/>
              <w:left w:val="nil"/>
              <w:bottom w:val="nil"/>
              <w:right w:val="single" w:sz="8" w:space="0" w:color="auto"/>
            </w:tcBorders>
            <w:noWrap/>
            <w:vAlign w:val="bottom"/>
            <w:hideMark/>
          </w:tcPr>
          <w:p w14:paraId="4E29470C" w14:textId="77777777" w:rsidR="00EC7077" w:rsidRPr="00C80366" w:rsidRDefault="00EC7077" w:rsidP="007674BE">
            <w:pPr>
              <w:ind w:firstLineChars="200" w:firstLine="320"/>
              <w:jc w:val="right"/>
              <w:rPr>
                <w:sz w:val="16"/>
                <w:szCs w:val="16"/>
              </w:rPr>
            </w:pPr>
            <w:r w:rsidRPr="00C80366">
              <w:rPr>
                <w:sz w:val="16"/>
                <w:szCs w:val="16"/>
              </w:rPr>
              <w:t>50%</w:t>
            </w:r>
          </w:p>
        </w:tc>
      </w:tr>
      <w:tr w:rsidR="00C80366" w:rsidRPr="00C80366" w14:paraId="701DB483" w14:textId="77777777" w:rsidTr="00C80366">
        <w:trPr>
          <w:trHeight w:val="128"/>
          <w:jc w:val="center"/>
        </w:trPr>
        <w:tc>
          <w:tcPr>
            <w:tcW w:w="1008" w:type="dxa"/>
            <w:vMerge/>
            <w:tcBorders>
              <w:top w:val="single" w:sz="8" w:space="0" w:color="auto"/>
              <w:left w:val="single" w:sz="8" w:space="0" w:color="auto"/>
              <w:bottom w:val="single" w:sz="8" w:space="0" w:color="000000"/>
              <w:right w:val="nil"/>
            </w:tcBorders>
            <w:vAlign w:val="center"/>
            <w:hideMark/>
          </w:tcPr>
          <w:p w14:paraId="6CC1C47D" w14:textId="77777777" w:rsidR="00EC7077" w:rsidRPr="00C80366" w:rsidRDefault="00EC7077" w:rsidP="007674BE">
            <w:pPr>
              <w:rPr>
                <w:b/>
                <w:bCs/>
                <w:sz w:val="16"/>
                <w:szCs w:val="16"/>
              </w:rPr>
            </w:pPr>
          </w:p>
        </w:tc>
        <w:tc>
          <w:tcPr>
            <w:tcW w:w="1959" w:type="dxa"/>
            <w:noWrap/>
            <w:vAlign w:val="bottom"/>
            <w:hideMark/>
          </w:tcPr>
          <w:p w14:paraId="609BF202" w14:textId="77777777" w:rsidR="00EC7077" w:rsidRPr="00C80366" w:rsidRDefault="00EC7077" w:rsidP="007674BE">
            <w:pPr>
              <w:ind w:firstLineChars="200" w:firstLine="320"/>
              <w:rPr>
                <w:sz w:val="16"/>
                <w:szCs w:val="16"/>
              </w:rPr>
            </w:pPr>
            <w:r w:rsidRPr="00C80366">
              <w:rPr>
                <w:sz w:val="16"/>
                <w:szCs w:val="16"/>
              </w:rPr>
              <w:t>25-34</w:t>
            </w:r>
          </w:p>
        </w:tc>
        <w:tc>
          <w:tcPr>
            <w:tcW w:w="709" w:type="dxa"/>
            <w:tcBorders>
              <w:top w:val="nil"/>
              <w:left w:val="nil"/>
              <w:bottom w:val="nil"/>
              <w:right w:val="single" w:sz="8" w:space="0" w:color="auto"/>
            </w:tcBorders>
            <w:noWrap/>
            <w:vAlign w:val="bottom"/>
            <w:hideMark/>
          </w:tcPr>
          <w:p w14:paraId="59A027A4" w14:textId="77777777" w:rsidR="00EC7077" w:rsidRPr="00C80366" w:rsidRDefault="00EC7077" w:rsidP="007674BE">
            <w:pPr>
              <w:ind w:firstLineChars="200" w:firstLine="320"/>
              <w:jc w:val="right"/>
              <w:rPr>
                <w:sz w:val="16"/>
                <w:szCs w:val="16"/>
              </w:rPr>
            </w:pPr>
            <w:r w:rsidRPr="00C80366">
              <w:rPr>
                <w:sz w:val="16"/>
                <w:szCs w:val="16"/>
              </w:rPr>
              <w:t>13%</w:t>
            </w:r>
          </w:p>
        </w:tc>
      </w:tr>
      <w:tr w:rsidR="00C80366" w:rsidRPr="00C80366" w14:paraId="7F92B050" w14:textId="77777777" w:rsidTr="00C80366">
        <w:trPr>
          <w:trHeight w:val="128"/>
          <w:jc w:val="center"/>
        </w:trPr>
        <w:tc>
          <w:tcPr>
            <w:tcW w:w="1008" w:type="dxa"/>
            <w:vMerge/>
            <w:tcBorders>
              <w:top w:val="single" w:sz="8" w:space="0" w:color="auto"/>
              <w:left w:val="single" w:sz="8" w:space="0" w:color="auto"/>
              <w:bottom w:val="single" w:sz="8" w:space="0" w:color="000000"/>
              <w:right w:val="nil"/>
            </w:tcBorders>
            <w:vAlign w:val="center"/>
            <w:hideMark/>
          </w:tcPr>
          <w:p w14:paraId="3EA3020C" w14:textId="77777777" w:rsidR="00EC7077" w:rsidRPr="00C80366" w:rsidRDefault="00EC7077" w:rsidP="007674BE">
            <w:pPr>
              <w:rPr>
                <w:b/>
                <w:bCs/>
                <w:sz w:val="16"/>
                <w:szCs w:val="16"/>
              </w:rPr>
            </w:pPr>
          </w:p>
        </w:tc>
        <w:tc>
          <w:tcPr>
            <w:tcW w:w="1959" w:type="dxa"/>
            <w:noWrap/>
            <w:vAlign w:val="bottom"/>
            <w:hideMark/>
          </w:tcPr>
          <w:p w14:paraId="0E9254F6" w14:textId="77777777" w:rsidR="00EC7077" w:rsidRPr="00C80366" w:rsidRDefault="00EC7077" w:rsidP="007674BE">
            <w:pPr>
              <w:ind w:firstLineChars="200" w:firstLine="320"/>
              <w:rPr>
                <w:sz w:val="16"/>
                <w:szCs w:val="16"/>
              </w:rPr>
            </w:pPr>
            <w:r w:rsidRPr="00C80366">
              <w:rPr>
                <w:sz w:val="16"/>
                <w:szCs w:val="16"/>
              </w:rPr>
              <w:t>35-44</w:t>
            </w:r>
          </w:p>
        </w:tc>
        <w:tc>
          <w:tcPr>
            <w:tcW w:w="709" w:type="dxa"/>
            <w:tcBorders>
              <w:top w:val="nil"/>
              <w:left w:val="nil"/>
              <w:bottom w:val="nil"/>
              <w:right w:val="single" w:sz="8" w:space="0" w:color="auto"/>
            </w:tcBorders>
            <w:noWrap/>
            <w:vAlign w:val="bottom"/>
            <w:hideMark/>
          </w:tcPr>
          <w:p w14:paraId="1ED2299A" w14:textId="77777777" w:rsidR="00EC7077" w:rsidRPr="00C80366" w:rsidRDefault="00EC7077" w:rsidP="007674BE">
            <w:pPr>
              <w:ind w:firstLineChars="200" w:firstLine="320"/>
              <w:jc w:val="right"/>
              <w:rPr>
                <w:sz w:val="16"/>
                <w:szCs w:val="16"/>
              </w:rPr>
            </w:pPr>
            <w:r w:rsidRPr="00C80366">
              <w:rPr>
                <w:sz w:val="16"/>
                <w:szCs w:val="16"/>
              </w:rPr>
              <w:t>9%</w:t>
            </w:r>
          </w:p>
        </w:tc>
      </w:tr>
      <w:tr w:rsidR="00C80366" w:rsidRPr="00C80366" w14:paraId="632B19FD" w14:textId="77777777" w:rsidTr="00C80366">
        <w:trPr>
          <w:trHeight w:val="128"/>
          <w:jc w:val="center"/>
        </w:trPr>
        <w:tc>
          <w:tcPr>
            <w:tcW w:w="1008" w:type="dxa"/>
            <w:vMerge/>
            <w:tcBorders>
              <w:top w:val="single" w:sz="8" w:space="0" w:color="auto"/>
              <w:left w:val="single" w:sz="8" w:space="0" w:color="auto"/>
              <w:bottom w:val="single" w:sz="8" w:space="0" w:color="000000"/>
              <w:right w:val="nil"/>
            </w:tcBorders>
            <w:vAlign w:val="center"/>
            <w:hideMark/>
          </w:tcPr>
          <w:p w14:paraId="3982F62F" w14:textId="77777777" w:rsidR="00EC7077" w:rsidRPr="00C80366" w:rsidRDefault="00EC7077" w:rsidP="007674BE">
            <w:pPr>
              <w:rPr>
                <w:b/>
                <w:bCs/>
                <w:sz w:val="16"/>
                <w:szCs w:val="16"/>
              </w:rPr>
            </w:pPr>
          </w:p>
        </w:tc>
        <w:tc>
          <w:tcPr>
            <w:tcW w:w="1959" w:type="dxa"/>
            <w:noWrap/>
            <w:vAlign w:val="bottom"/>
            <w:hideMark/>
          </w:tcPr>
          <w:p w14:paraId="702B2C22" w14:textId="77777777" w:rsidR="00EC7077" w:rsidRPr="00C80366" w:rsidRDefault="00EC7077" w:rsidP="007674BE">
            <w:pPr>
              <w:ind w:firstLineChars="200" w:firstLine="320"/>
              <w:rPr>
                <w:sz w:val="16"/>
                <w:szCs w:val="16"/>
              </w:rPr>
            </w:pPr>
            <w:r w:rsidRPr="00C80366">
              <w:rPr>
                <w:sz w:val="16"/>
                <w:szCs w:val="16"/>
              </w:rPr>
              <w:t>45-54</w:t>
            </w:r>
          </w:p>
        </w:tc>
        <w:tc>
          <w:tcPr>
            <w:tcW w:w="709" w:type="dxa"/>
            <w:tcBorders>
              <w:top w:val="nil"/>
              <w:left w:val="nil"/>
              <w:bottom w:val="nil"/>
              <w:right w:val="single" w:sz="8" w:space="0" w:color="auto"/>
            </w:tcBorders>
            <w:noWrap/>
            <w:vAlign w:val="bottom"/>
            <w:hideMark/>
          </w:tcPr>
          <w:p w14:paraId="434903FF" w14:textId="77777777" w:rsidR="00EC7077" w:rsidRPr="00C80366" w:rsidRDefault="00EC7077" w:rsidP="007674BE">
            <w:pPr>
              <w:ind w:firstLineChars="200" w:firstLine="320"/>
              <w:jc w:val="right"/>
              <w:rPr>
                <w:sz w:val="16"/>
                <w:szCs w:val="16"/>
              </w:rPr>
            </w:pPr>
            <w:r w:rsidRPr="00C80366">
              <w:rPr>
                <w:sz w:val="16"/>
                <w:szCs w:val="16"/>
              </w:rPr>
              <w:t>22%</w:t>
            </w:r>
          </w:p>
        </w:tc>
      </w:tr>
      <w:tr w:rsidR="00C80366" w:rsidRPr="00C80366" w14:paraId="669A30E1" w14:textId="77777777" w:rsidTr="00C80366">
        <w:trPr>
          <w:trHeight w:val="128"/>
          <w:jc w:val="center"/>
        </w:trPr>
        <w:tc>
          <w:tcPr>
            <w:tcW w:w="1008" w:type="dxa"/>
            <w:vMerge/>
            <w:tcBorders>
              <w:top w:val="single" w:sz="8" w:space="0" w:color="auto"/>
              <w:left w:val="single" w:sz="8" w:space="0" w:color="auto"/>
              <w:bottom w:val="single" w:sz="8" w:space="0" w:color="000000"/>
              <w:right w:val="nil"/>
            </w:tcBorders>
            <w:vAlign w:val="center"/>
            <w:hideMark/>
          </w:tcPr>
          <w:p w14:paraId="0790DC46" w14:textId="77777777" w:rsidR="00EC7077" w:rsidRPr="00C80366" w:rsidRDefault="00EC7077" w:rsidP="007674BE">
            <w:pPr>
              <w:rPr>
                <w:b/>
                <w:bCs/>
                <w:sz w:val="16"/>
                <w:szCs w:val="16"/>
              </w:rPr>
            </w:pPr>
          </w:p>
        </w:tc>
        <w:tc>
          <w:tcPr>
            <w:tcW w:w="1959" w:type="dxa"/>
            <w:noWrap/>
            <w:vAlign w:val="bottom"/>
            <w:hideMark/>
          </w:tcPr>
          <w:p w14:paraId="5B5F2958" w14:textId="77777777" w:rsidR="00EC7077" w:rsidRPr="00C80366" w:rsidRDefault="00EC7077" w:rsidP="007674BE">
            <w:pPr>
              <w:ind w:firstLineChars="200" w:firstLine="320"/>
              <w:rPr>
                <w:sz w:val="16"/>
                <w:szCs w:val="16"/>
              </w:rPr>
            </w:pPr>
            <w:r w:rsidRPr="00C80366">
              <w:rPr>
                <w:sz w:val="16"/>
                <w:szCs w:val="16"/>
              </w:rPr>
              <w:t>55-64</w:t>
            </w:r>
          </w:p>
        </w:tc>
        <w:tc>
          <w:tcPr>
            <w:tcW w:w="709" w:type="dxa"/>
            <w:tcBorders>
              <w:top w:val="nil"/>
              <w:left w:val="nil"/>
              <w:bottom w:val="nil"/>
              <w:right w:val="single" w:sz="8" w:space="0" w:color="auto"/>
            </w:tcBorders>
            <w:noWrap/>
            <w:vAlign w:val="bottom"/>
            <w:hideMark/>
          </w:tcPr>
          <w:p w14:paraId="6CC1EC7C" w14:textId="77777777" w:rsidR="00EC7077" w:rsidRPr="00C80366" w:rsidRDefault="00EC7077" w:rsidP="007674BE">
            <w:pPr>
              <w:ind w:firstLineChars="200" w:firstLine="320"/>
              <w:jc w:val="right"/>
              <w:rPr>
                <w:sz w:val="16"/>
                <w:szCs w:val="16"/>
              </w:rPr>
            </w:pPr>
            <w:r w:rsidRPr="00C80366">
              <w:rPr>
                <w:sz w:val="16"/>
                <w:szCs w:val="16"/>
              </w:rPr>
              <w:t>4%</w:t>
            </w:r>
          </w:p>
        </w:tc>
      </w:tr>
      <w:tr w:rsidR="00C80366" w:rsidRPr="00C80366" w14:paraId="16E244BF" w14:textId="77777777" w:rsidTr="00C80366">
        <w:trPr>
          <w:trHeight w:val="135"/>
          <w:jc w:val="center"/>
        </w:trPr>
        <w:tc>
          <w:tcPr>
            <w:tcW w:w="1008" w:type="dxa"/>
            <w:vMerge/>
            <w:tcBorders>
              <w:top w:val="single" w:sz="8" w:space="0" w:color="auto"/>
              <w:left w:val="single" w:sz="8" w:space="0" w:color="auto"/>
              <w:bottom w:val="single" w:sz="8" w:space="0" w:color="000000"/>
              <w:right w:val="nil"/>
            </w:tcBorders>
            <w:vAlign w:val="center"/>
            <w:hideMark/>
          </w:tcPr>
          <w:p w14:paraId="44520DDE" w14:textId="77777777" w:rsidR="00EC7077" w:rsidRPr="00C80366" w:rsidRDefault="00EC7077" w:rsidP="007674BE">
            <w:pPr>
              <w:rPr>
                <w:b/>
                <w:bCs/>
                <w:sz w:val="16"/>
                <w:szCs w:val="16"/>
              </w:rPr>
            </w:pPr>
          </w:p>
        </w:tc>
        <w:tc>
          <w:tcPr>
            <w:tcW w:w="1959" w:type="dxa"/>
            <w:tcBorders>
              <w:top w:val="nil"/>
              <w:left w:val="nil"/>
              <w:bottom w:val="single" w:sz="8" w:space="0" w:color="auto"/>
              <w:right w:val="nil"/>
            </w:tcBorders>
            <w:noWrap/>
            <w:vAlign w:val="bottom"/>
            <w:hideMark/>
          </w:tcPr>
          <w:p w14:paraId="1AEAC73B" w14:textId="77777777" w:rsidR="00EC7077" w:rsidRPr="00C80366" w:rsidRDefault="00EC7077" w:rsidP="007674BE">
            <w:pPr>
              <w:ind w:firstLineChars="200" w:firstLine="320"/>
              <w:rPr>
                <w:sz w:val="16"/>
                <w:szCs w:val="16"/>
              </w:rPr>
            </w:pPr>
            <w:r w:rsidRPr="00C80366">
              <w:rPr>
                <w:sz w:val="16"/>
                <w:szCs w:val="16"/>
              </w:rPr>
              <w:t>Above 64</w:t>
            </w:r>
          </w:p>
        </w:tc>
        <w:tc>
          <w:tcPr>
            <w:tcW w:w="709" w:type="dxa"/>
            <w:tcBorders>
              <w:top w:val="nil"/>
              <w:left w:val="nil"/>
              <w:bottom w:val="single" w:sz="8" w:space="0" w:color="auto"/>
              <w:right w:val="single" w:sz="8" w:space="0" w:color="auto"/>
            </w:tcBorders>
            <w:noWrap/>
            <w:vAlign w:val="bottom"/>
            <w:hideMark/>
          </w:tcPr>
          <w:p w14:paraId="3BE9E425" w14:textId="77777777" w:rsidR="00EC7077" w:rsidRPr="00C80366" w:rsidRDefault="00EC7077" w:rsidP="007674BE">
            <w:pPr>
              <w:ind w:firstLineChars="200" w:firstLine="320"/>
              <w:jc w:val="right"/>
              <w:rPr>
                <w:sz w:val="16"/>
                <w:szCs w:val="16"/>
              </w:rPr>
            </w:pPr>
            <w:r w:rsidRPr="00C80366">
              <w:rPr>
                <w:sz w:val="16"/>
                <w:szCs w:val="16"/>
              </w:rPr>
              <w:t>1%</w:t>
            </w:r>
          </w:p>
        </w:tc>
      </w:tr>
      <w:tr w:rsidR="00C80366" w:rsidRPr="00C80366" w14:paraId="5731CD66" w14:textId="77777777" w:rsidTr="00C80366">
        <w:trPr>
          <w:trHeight w:val="128"/>
          <w:jc w:val="center"/>
        </w:trPr>
        <w:tc>
          <w:tcPr>
            <w:tcW w:w="1008" w:type="dxa"/>
            <w:vMerge w:val="restart"/>
            <w:tcBorders>
              <w:top w:val="nil"/>
              <w:left w:val="single" w:sz="8" w:space="0" w:color="auto"/>
              <w:bottom w:val="single" w:sz="8" w:space="0" w:color="000000"/>
              <w:right w:val="nil"/>
            </w:tcBorders>
            <w:noWrap/>
            <w:vAlign w:val="center"/>
            <w:hideMark/>
          </w:tcPr>
          <w:p w14:paraId="01741D0C" w14:textId="77777777" w:rsidR="00EC7077" w:rsidRPr="00C80366" w:rsidRDefault="00EC7077" w:rsidP="007674BE">
            <w:pPr>
              <w:jc w:val="center"/>
              <w:rPr>
                <w:b/>
                <w:bCs/>
                <w:sz w:val="16"/>
                <w:szCs w:val="16"/>
              </w:rPr>
            </w:pPr>
            <w:r w:rsidRPr="00C80366">
              <w:rPr>
                <w:b/>
                <w:bCs/>
                <w:sz w:val="16"/>
                <w:szCs w:val="16"/>
              </w:rPr>
              <w:t>Gender</w:t>
            </w:r>
          </w:p>
        </w:tc>
        <w:tc>
          <w:tcPr>
            <w:tcW w:w="1959" w:type="dxa"/>
            <w:noWrap/>
            <w:vAlign w:val="bottom"/>
            <w:hideMark/>
          </w:tcPr>
          <w:p w14:paraId="5E8AF7AD" w14:textId="77777777" w:rsidR="00EC7077" w:rsidRPr="00C80366" w:rsidRDefault="00EC7077" w:rsidP="007674BE">
            <w:pPr>
              <w:ind w:firstLineChars="200" w:firstLine="320"/>
              <w:rPr>
                <w:sz w:val="16"/>
                <w:szCs w:val="16"/>
              </w:rPr>
            </w:pPr>
            <w:r w:rsidRPr="00C80366">
              <w:rPr>
                <w:sz w:val="16"/>
                <w:szCs w:val="16"/>
              </w:rPr>
              <w:t>Male</w:t>
            </w:r>
          </w:p>
        </w:tc>
        <w:tc>
          <w:tcPr>
            <w:tcW w:w="709" w:type="dxa"/>
            <w:tcBorders>
              <w:top w:val="nil"/>
              <w:left w:val="nil"/>
              <w:bottom w:val="nil"/>
              <w:right w:val="single" w:sz="8" w:space="0" w:color="auto"/>
            </w:tcBorders>
            <w:noWrap/>
            <w:vAlign w:val="bottom"/>
            <w:hideMark/>
          </w:tcPr>
          <w:p w14:paraId="144C8909" w14:textId="77777777" w:rsidR="00EC7077" w:rsidRPr="00C80366" w:rsidRDefault="00EC7077" w:rsidP="007674BE">
            <w:pPr>
              <w:ind w:firstLineChars="200" w:firstLine="320"/>
              <w:jc w:val="right"/>
              <w:rPr>
                <w:sz w:val="16"/>
                <w:szCs w:val="16"/>
              </w:rPr>
            </w:pPr>
            <w:r w:rsidRPr="00C80366">
              <w:rPr>
                <w:sz w:val="16"/>
                <w:szCs w:val="16"/>
              </w:rPr>
              <w:t>62%</w:t>
            </w:r>
          </w:p>
        </w:tc>
      </w:tr>
      <w:tr w:rsidR="00C80366" w:rsidRPr="00C80366" w14:paraId="5A53993A" w14:textId="77777777" w:rsidTr="00C80366">
        <w:trPr>
          <w:trHeight w:val="135"/>
          <w:jc w:val="center"/>
        </w:trPr>
        <w:tc>
          <w:tcPr>
            <w:tcW w:w="1008" w:type="dxa"/>
            <w:vMerge/>
            <w:tcBorders>
              <w:top w:val="nil"/>
              <w:left w:val="single" w:sz="8" w:space="0" w:color="auto"/>
              <w:bottom w:val="single" w:sz="8" w:space="0" w:color="000000"/>
              <w:right w:val="nil"/>
            </w:tcBorders>
            <w:vAlign w:val="center"/>
            <w:hideMark/>
          </w:tcPr>
          <w:p w14:paraId="2CA1A590" w14:textId="77777777" w:rsidR="00EC7077" w:rsidRPr="00C80366" w:rsidRDefault="00EC7077" w:rsidP="007674BE">
            <w:pPr>
              <w:rPr>
                <w:b/>
                <w:bCs/>
                <w:sz w:val="16"/>
                <w:szCs w:val="16"/>
              </w:rPr>
            </w:pPr>
          </w:p>
        </w:tc>
        <w:tc>
          <w:tcPr>
            <w:tcW w:w="1959" w:type="dxa"/>
            <w:tcBorders>
              <w:top w:val="nil"/>
              <w:left w:val="nil"/>
              <w:bottom w:val="single" w:sz="8" w:space="0" w:color="auto"/>
              <w:right w:val="nil"/>
            </w:tcBorders>
            <w:noWrap/>
            <w:vAlign w:val="bottom"/>
            <w:hideMark/>
          </w:tcPr>
          <w:p w14:paraId="5059412E" w14:textId="77777777" w:rsidR="00EC7077" w:rsidRPr="00C80366" w:rsidRDefault="00EC7077" w:rsidP="007674BE">
            <w:pPr>
              <w:ind w:firstLineChars="200" w:firstLine="320"/>
              <w:rPr>
                <w:sz w:val="16"/>
                <w:szCs w:val="16"/>
              </w:rPr>
            </w:pPr>
            <w:r w:rsidRPr="00C80366">
              <w:rPr>
                <w:sz w:val="16"/>
                <w:szCs w:val="16"/>
              </w:rPr>
              <w:t>Female</w:t>
            </w:r>
          </w:p>
        </w:tc>
        <w:tc>
          <w:tcPr>
            <w:tcW w:w="709" w:type="dxa"/>
            <w:tcBorders>
              <w:top w:val="nil"/>
              <w:left w:val="nil"/>
              <w:bottom w:val="single" w:sz="8" w:space="0" w:color="auto"/>
              <w:right w:val="single" w:sz="8" w:space="0" w:color="auto"/>
            </w:tcBorders>
            <w:noWrap/>
            <w:vAlign w:val="bottom"/>
            <w:hideMark/>
          </w:tcPr>
          <w:p w14:paraId="0B266093" w14:textId="77777777" w:rsidR="00EC7077" w:rsidRPr="00C80366" w:rsidRDefault="00EC7077" w:rsidP="007674BE">
            <w:pPr>
              <w:ind w:firstLineChars="200" w:firstLine="320"/>
              <w:jc w:val="right"/>
              <w:rPr>
                <w:sz w:val="16"/>
                <w:szCs w:val="16"/>
              </w:rPr>
            </w:pPr>
            <w:r w:rsidRPr="00C80366">
              <w:rPr>
                <w:sz w:val="16"/>
                <w:szCs w:val="16"/>
              </w:rPr>
              <w:t>38%</w:t>
            </w:r>
          </w:p>
        </w:tc>
      </w:tr>
      <w:tr w:rsidR="00C80366" w:rsidRPr="00C80366" w14:paraId="54B3C56C" w14:textId="77777777" w:rsidTr="00C80366">
        <w:trPr>
          <w:trHeight w:val="128"/>
          <w:jc w:val="center"/>
        </w:trPr>
        <w:tc>
          <w:tcPr>
            <w:tcW w:w="1008" w:type="dxa"/>
            <w:vMerge w:val="restart"/>
            <w:tcBorders>
              <w:top w:val="nil"/>
              <w:left w:val="single" w:sz="8" w:space="0" w:color="auto"/>
              <w:bottom w:val="single" w:sz="8" w:space="0" w:color="000000"/>
              <w:right w:val="nil"/>
            </w:tcBorders>
            <w:vAlign w:val="center"/>
            <w:hideMark/>
          </w:tcPr>
          <w:p w14:paraId="542A3E41" w14:textId="77777777" w:rsidR="00EC7077" w:rsidRPr="00C80366" w:rsidRDefault="00EC7077" w:rsidP="007674BE">
            <w:pPr>
              <w:jc w:val="center"/>
              <w:rPr>
                <w:b/>
                <w:bCs/>
                <w:sz w:val="16"/>
                <w:szCs w:val="16"/>
              </w:rPr>
            </w:pPr>
            <w:r w:rsidRPr="00C80366">
              <w:rPr>
                <w:b/>
                <w:bCs/>
                <w:sz w:val="16"/>
                <w:szCs w:val="16"/>
              </w:rPr>
              <w:t>Education Level</w:t>
            </w:r>
          </w:p>
        </w:tc>
        <w:tc>
          <w:tcPr>
            <w:tcW w:w="1959" w:type="dxa"/>
            <w:noWrap/>
            <w:vAlign w:val="bottom"/>
            <w:hideMark/>
          </w:tcPr>
          <w:p w14:paraId="73A32AF0" w14:textId="77777777" w:rsidR="00EC7077" w:rsidRPr="00C80366" w:rsidRDefault="00EC7077" w:rsidP="007674BE">
            <w:pPr>
              <w:ind w:firstLineChars="200" w:firstLine="320"/>
              <w:rPr>
                <w:sz w:val="16"/>
                <w:szCs w:val="16"/>
              </w:rPr>
            </w:pPr>
            <w:r w:rsidRPr="00C80366">
              <w:rPr>
                <w:sz w:val="16"/>
                <w:szCs w:val="16"/>
              </w:rPr>
              <w:t>&lt; 12th grade </w:t>
            </w:r>
          </w:p>
        </w:tc>
        <w:tc>
          <w:tcPr>
            <w:tcW w:w="709" w:type="dxa"/>
            <w:tcBorders>
              <w:top w:val="nil"/>
              <w:left w:val="nil"/>
              <w:bottom w:val="nil"/>
              <w:right w:val="single" w:sz="8" w:space="0" w:color="auto"/>
            </w:tcBorders>
            <w:noWrap/>
            <w:vAlign w:val="bottom"/>
            <w:hideMark/>
          </w:tcPr>
          <w:p w14:paraId="55B32588" w14:textId="77777777" w:rsidR="00EC7077" w:rsidRPr="00C80366" w:rsidRDefault="00EC7077" w:rsidP="007674BE">
            <w:pPr>
              <w:ind w:firstLineChars="200" w:firstLine="320"/>
              <w:jc w:val="right"/>
              <w:rPr>
                <w:sz w:val="16"/>
                <w:szCs w:val="16"/>
              </w:rPr>
            </w:pPr>
            <w:r w:rsidRPr="00C80366">
              <w:rPr>
                <w:sz w:val="16"/>
                <w:szCs w:val="16"/>
              </w:rPr>
              <w:t>2%</w:t>
            </w:r>
          </w:p>
        </w:tc>
      </w:tr>
      <w:tr w:rsidR="00C80366" w:rsidRPr="00C80366" w14:paraId="53CBF31D"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0FA9931C" w14:textId="77777777" w:rsidR="00EC7077" w:rsidRPr="00C80366" w:rsidRDefault="00EC7077" w:rsidP="007674BE">
            <w:pPr>
              <w:rPr>
                <w:b/>
                <w:bCs/>
                <w:sz w:val="16"/>
                <w:szCs w:val="16"/>
              </w:rPr>
            </w:pPr>
          </w:p>
        </w:tc>
        <w:tc>
          <w:tcPr>
            <w:tcW w:w="1959" w:type="dxa"/>
            <w:noWrap/>
            <w:vAlign w:val="bottom"/>
            <w:hideMark/>
          </w:tcPr>
          <w:p w14:paraId="777D4899" w14:textId="77777777" w:rsidR="00EC7077" w:rsidRPr="00C80366" w:rsidRDefault="00EC7077" w:rsidP="007674BE">
            <w:pPr>
              <w:ind w:firstLineChars="200" w:firstLine="320"/>
              <w:rPr>
                <w:sz w:val="16"/>
                <w:szCs w:val="16"/>
              </w:rPr>
            </w:pPr>
            <w:r w:rsidRPr="00C80366">
              <w:rPr>
                <w:sz w:val="16"/>
                <w:szCs w:val="16"/>
              </w:rPr>
              <w:t>12th grade pass</w:t>
            </w:r>
          </w:p>
        </w:tc>
        <w:tc>
          <w:tcPr>
            <w:tcW w:w="709" w:type="dxa"/>
            <w:tcBorders>
              <w:top w:val="nil"/>
              <w:left w:val="nil"/>
              <w:bottom w:val="nil"/>
              <w:right w:val="single" w:sz="8" w:space="0" w:color="auto"/>
            </w:tcBorders>
            <w:noWrap/>
            <w:vAlign w:val="bottom"/>
            <w:hideMark/>
          </w:tcPr>
          <w:p w14:paraId="1C5714F6" w14:textId="77777777" w:rsidR="00EC7077" w:rsidRPr="00C80366" w:rsidRDefault="00EC7077" w:rsidP="007674BE">
            <w:pPr>
              <w:ind w:firstLineChars="200" w:firstLine="320"/>
              <w:jc w:val="right"/>
              <w:rPr>
                <w:sz w:val="16"/>
                <w:szCs w:val="16"/>
              </w:rPr>
            </w:pPr>
            <w:r w:rsidRPr="00C80366">
              <w:rPr>
                <w:sz w:val="16"/>
                <w:szCs w:val="16"/>
              </w:rPr>
              <w:t>26%</w:t>
            </w:r>
          </w:p>
        </w:tc>
      </w:tr>
      <w:tr w:rsidR="00C80366" w:rsidRPr="00C80366" w14:paraId="4933DC1E"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523A7FE4" w14:textId="77777777" w:rsidR="00EC7077" w:rsidRPr="00C80366" w:rsidRDefault="00EC7077" w:rsidP="007674BE">
            <w:pPr>
              <w:rPr>
                <w:b/>
                <w:bCs/>
                <w:sz w:val="16"/>
                <w:szCs w:val="16"/>
              </w:rPr>
            </w:pPr>
          </w:p>
        </w:tc>
        <w:tc>
          <w:tcPr>
            <w:tcW w:w="1959" w:type="dxa"/>
            <w:noWrap/>
            <w:vAlign w:val="bottom"/>
            <w:hideMark/>
          </w:tcPr>
          <w:p w14:paraId="29493E4C" w14:textId="77777777" w:rsidR="00EC7077" w:rsidRPr="00C80366" w:rsidRDefault="00EC7077" w:rsidP="007674BE">
            <w:pPr>
              <w:ind w:firstLineChars="200" w:firstLine="320"/>
              <w:rPr>
                <w:sz w:val="16"/>
                <w:szCs w:val="16"/>
              </w:rPr>
            </w:pPr>
            <w:r w:rsidRPr="00C80366">
              <w:rPr>
                <w:sz w:val="16"/>
                <w:szCs w:val="16"/>
              </w:rPr>
              <w:t>Graduate</w:t>
            </w:r>
          </w:p>
        </w:tc>
        <w:tc>
          <w:tcPr>
            <w:tcW w:w="709" w:type="dxa"/>
            <w:tcBorders>
              <w:top w:val="nil"/>
              <w:left w:val="nil"/>
              <w:bottom w:val="nil"/>
              <w:right w:val="single" w:sz="8" w:space="0" w:color="auto"/>
            </w:tcBorders>
            <w:noWrap/>
            <w:vAlign w:val="bottom"/>
            <w:hideMark/>
          </w:tcPr>
          <w:p w14:paraId="79E7B5BC" w14:textId="77777777" w:rsidR="00EC7077" w:rsidRPr="00C80366" w:rsidRDefault="00EC7077" w:rsidP="007674BE">
            <w:pPr>
              <w:ind w:firstLineChars="200" w:firstLine="320"/>
              <w:jc w:val="right"/>
              <w:rPr>
                <w:sz w:val="16"/>
                <w:szCs w:val="16"/>
              </w:rPr>
            </w:pPr>
            <w:r w:rsidRPr="00C80366">
              <w:rPr>
                <w:sz w:val="16"/>
                <w:szCs w:val="16"/>
              </w:rPr>
              <w:t>26%</w:t>
            </w:r>
          </w:p>
        </w:tc>
      </w:tr>
      <w:tr w:rsidR="00C80366" w:rsidRPr="00C80366" w14:paraId="39D0D6CB"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65903740" w14:textId="77777777" w:rsidR="00EC7077" w:rsidRPr="00C80366" w:rsidRDefault="00EC7077" w:rsidP="007674BE">
            <w:pPr>
              <w:rPr>
                <w:b/>
                <w:bCs/>
                <w:sz w:val="16"/>
                <w:szCs w:val="16"/>
              </w:rPr>
            </w:pPr>
          </w:p>
        </w:tc>
        <w:tc>
          <w:tcPr>
            <w:tcW w:w="1959" w:type="dxa"/>
            <w:noWrap/>
            <w:vAlign w:val="bottom"/>
            <w:hideMark/>
          </w:tcPr>
          <w:p w14:paraId="68A46F9C" w14:textId="77777777" w:rsidR="00EC7077" w:rsidRPr="00C80366" w:rsidRDefault="00EC7077" w:rsidP="007674BE">
            <w:pPr>
              <w:ind w:firstLineChars="200" w:firstLine="320"/>
              <w:rPr>
                <w:sz w:val="16"/>
                <w:szCs w:val="16"/>
              </w:rPr>
            </w:pPr>
            <w:r w:rsidRPr="00C80366">
              <w:rPr>
                <w:sz w:val="16"/>
                <w:szCs w:val="16"/>
              </w:rPr>
              <w:t>Post graduate</w:t>
            </w:r>
          </w:p>
        </w:tc>
        <w:tc>
          <w:tcPr>
            <w:tcW w:w="709" w:type="dxa"/>
            <w:tcBorders>
              <w:top w:val="nil"/>
              <w:left w:val="nil"/>
              <w:bottom w:val="nil"/>
              <w:right w:val="single" w:sz="8" w:space="0" w:color="auto"/>
            </w:tcBorders>
            <w:noWrap/>
            <w:vAlign w:val="bottom"/>
            <w:hideMark/>
          </w:tcPr>
          <w:p w14:paraId="075A99F4" w14:textId="77777777" w:rsidR="00EC7077" w:rsidRPr="00C80366" w:rsidRDefault="00EC7077" w:rsidP="007674BE">
            <w:pPr>
              <w:ind w:firstLineChars="200" w:firstLine="320"/>
              <w:jc w:val="right"/>
              <w:rPr>
                <w:sz w:val="16"/>
                <w:szCs w:val="16"/>
              </w:rPr>
            </w:pPr>
            <w:r w:rsidRPr="00C80366">
              <w:rPr>
                <w:sz w:val="16"/>
                <w:szCs w:val="16"/>
              </w:rPr>
              <w:t>42%</w:t>
            </w:r>
          </w:p>
        </w:tc>
      </w:tr>
      <w:tr w:rsidR="00C80366" w:rsidRPr="00C80366" w14:paraId="10768DC1" w14:textId="77777777" w:rsidTr="00C80366">
        <w:trPr>
          <w:trHeight w:val="135"/>
          <w:jc w:val="center"/>
        </w:trPr>
        <w:tc>
          <w:tcPr>
            <w:tcW w:w="1008" w:type="dxa"/>
            <w:vMerge/>
            <w:tcBorders>
              <w:top w:val="nil"/>
              <w:left w:val="single" w:sz="8" w:space="0" w:color="auto"/>
              <w:bottom w:val="single" w:sz="8" w:space="0" w:color="000000"/>
              <w:right w:val="nil"/>
            </w:tcBorders>
            <w:vAlign w:val="center"/>
            <w:hideMark/>
          </w:tcPr>
          <w:p w14:paraId="1BCD0995" w14:textId="77777777" w:rsidR="00EC7077" w:rsidRPr="00C80366" w:rsidRDefault="00EC7077" w:rsidP="007674BE">
            <w:pPr>
              <w:rPr>
                <w:b/>
                <w:bCs/>
                <w:sz w:val="16"/>
                <w:szCs w:val="16"/>
              </w:rPr>
            </w:pPr>
          </w:p>
        </w:tc>
        <w:tc>
          <w:tcPr>
            <w:tcW w:w="1959" w:type="dxa"/>
            <w:tcBorders>
              <w:top w:val="nil"/>
              <w:left w:val="nil"/>
              <w:bottom w:val="single" w:sz="8" w:space="0" w:color="auto"/>
              <w:right w:val="nil"/>
            </w:tcBorders>
            <w:noWrap/>
            <w:vAlign w:val="bottom"/>
            <w:hideMark/>
          </w:tcPr>
          <w:p w14:paraId="23F558D2" w14:textId="77777777" w:rsidR="00EC7077" w:rsidRPr="00C80366" w:rsidRDefault="00EC7077" w:rsidP="007674BE">
            <w:pPr>
              <w:ind w:firstLineChars="200" w:firstLine="320"/>
              <w:rPr>
                <w:sz w:val="16"/>
                <w:szCs w:val="16"/>
              </w:rPr>
            </w:pPr>
            <w:r w:rsidRPr="00C80366">
              <w:rPr>
                <w:sz w:val="16"/>
                <w:szCs w:val="16"/>
              </w:rPr>
              <w:t>Other</w:t>
            </w:r>
          </w:p>
        </w:tc>
        <w:tc>
          <w:tcPr>
            <w:tcW w:w="709" w:type="dxa"/>
            <w:tcBorders>
              <w:top w:val="nil"/>
              <w:left w:val="nil"/>
              <w:bottom w:val="single" w:sz="8" w:space="0" w:color="auto"/>
              <w:right w:val="single" w:sz="8" w:space="0" w:color="auto"/>
            </w:tcBorders>
            <w:noWrap/>
            <w:vAlign w:val="bottom"/>
            <w:hideMark/>
          </w:tcPr>
          <w:p w14:paraId="165D32E7" w14:textId="77777777" w:rsidR="00EC7077" w:rsidRPr="00C80366" w:rsidRDefault="00EC7077" w:rsidP="007674BE">
            <w:pPr>
              <w:ind w:firstLineChars="200" w:firstLine="320"/>
              <w:jc w:val="right"/>
              <w:rPr>
                <w:sz w:val="16"/>
                <w:szCs w:val="16"/>
              </w:rPr>
            </w:pPr>
            <w:r w:rsidRPr="00C80366">
              <w:rPr>
                <w:sz w:val="16"/>
                <w:szCs w:val="16"/>
              </w:rPr>
              <w:t>3%</w:t>
            </w:r>
          </w:p>
        </w:tc>
      </w:tr>
      <w:tr w:rsidR="00C80366" w:rsidRPr="00C80366" w14:paraId="2BC2CC8F" w14:textId="77777777" w:rsidTr="00C80366">
        <w:trPr>
          <w:trHeight w:val="128"/>
          <w:jc w:val="center"/>
        </w:trPr>
        <w:tc>
          <w:tcPr>
            <w:tcW w:w="1008" w:type="dxa"/>
            <w:vMerge w:val="restart"/>
            <w:tcBorders>
              <w:top w:val="nil"/>
              <w:left w:val="single" w:sz="8" w:space="0" w:color="auto"/>
              <w:bottom w:val="single" w:sz="8" w:space="0" w:color="000000"/>
              <w:right w:val="nil"/>
            </w:tcBorders>
            <w:noWrap/>
            <w:vAlign w:val="center"/>
            <w:hideMark/>
          </w:tcPr>
          <w:p w14:paraId="2F28E3AE" w14:textId="77777777" w:rsidR="00EC7077" w:rsidRPr="00C80366" w:rsidRDefault="00EC7077" w:rsidP="007674BE">
            <w:pPr>
              <w:jc w:val="center"/>
              <w:rPr>
                <w:b/>
                <w:bCs/>
                <w:sz w:val="16"/>
                <w:szCs w:val="16"/>
              </w:rPr>
            </w:pPr>
            <w:r w:rsidRPr="00C80366">
              <w:rPr>
                <w:b/>
                <w:bCs/>
                <w:sz w:val="16"/>
                <w:szCs w:val="16"/>
              </w:rPr>
              <w:t>Occupation</w:t>
            </w:r>
          </w:p>
        </w:tc>
        <w:tc>
          <w:tcPr>
            <w:tcW w:w="1959" w:type="dxa"/>
            <w:noWrap/>
            <w:vAlign w:val="bottom"/>
            <w:hideMark/>
          </w:tcPr>
          <w:p w14:paraId="4EB35763" w14:textId="77777777" w:rsidR="00EC7077" w:rsidRPr="00C80366" w:rsidRDefault="00EC7077" w:rsidP="007674BE">
            <w:pPr>
              <w:ind w:firstLineChars="200" w:firstLine="320"/>
              <w:rPr>
                <w:sz w:val="16"/>
                <w:szCs w:val="16"/>
              </w:rPr>
            </w:pPr>
            <w:r w:rsidRPr="00C80366">
              <w:rPr>
                <w:sz w:val="16"/>
                <w:szCs w:val="16"/>
              </w:rPr>
              <w:t>Student</w:t>
            </w:r>
          </w:p>
        </w:tc>
        <w:tc>
          <w:tcPr>
            <w:tcW w:w="709" w:type="dxa"/>
            <w:tcBorders>
              <w:top w:val="nil"/>
              <w:left w:val="nil"/>
              <w:bottom w:val="nil"/>
              <w:right w:val="single" w:sz="8" w:space="0" w:color="auto"/>
            </w:tcBorders>
            <w:noWrap/>
            <w:vAlign w:val="bottom"/>
            <w:hideMark/>
          </w:tcPr>
          <w:p w14:paraId="512C4E40" w14:textId="77777777" w:rsidR="00EC7077" w:rsidRPr="00C80366" w:rsidRDefault="00EC7077" w:rsidP="007674BE">
            <w:pPr>
              <w:ind w:firstLineChars="200" w:firstLine="320"/>
              <w:jc w:val="right"/>
              <w:rPr>
                <w:sz w:val="16"/>
                <w:szCs w:val="16"/>
              </w:rPr>
            </w:pPr>
            <w:r w:rsidRPr="00C80366">
              <w:rPr>
                <w:sz w:val="16"/>
                <w:szCs w:val="16"/>
              </w:rPr>
              <w:t>49%</w:t>
            </w:r>
          </w:p>
        </w:tc>
      </w:tr>
      <w:tr w:rsidR="00C80366" w:rsidRPr="00C80366" w14:paraId="32B6433B"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6B2E6596" w14:textId="77777777" w:rsidR="00EC7077" w:rsidRPr="00C80366" w:rsidRDefault="00EC7077" w:rsidP="007674BE">
            <w:pPr>
              <w:rPr>
                <w:b/>
                <w:bCs/>
                <w:sz w:val="16"/>
                <w:szCs w:val="16"/>
              </w:rPr>
            </w:pPr>
          </w:p>
        </w:tc>
        <w:tc>
          <w:tcPr>
            <w:tcW w:w="1959" w:type="dxa"/>
            <w:noWrap/>
            <w:vAlign w:val="bottom"/>
            <w:hideMark/>
          </w:tcPr>
          <w:p w14:paraId="6DFC0AF3" w14:textId="77777777" w:rsidR="00EC7077" w:rsidRPr="00C80366" w:rsidRDefault="00EC7077" w:rsidP="007674BE">
            <w:pPr>
              <w:ind w:firstLineChars="200" w:firstLine="320"/>
              <w:rPr>
                <w:sz w:val="16"/>
                <w:szCs w:val="16"/>
              </w:rPr>
            </w:pPr>
            <w:r w:rsidRPr="00C80366">
              <w:rPr>
                <w:sz w:val="16"/>
                <w:szCs w:val="16"/>
              </w:rPr>
              <w:t>Private service</w:t>
            </w:r>
          </w:p>
        </w:tc>
        <w:tc>
          <w:tcPr>
            <w:tcW w:w="709" w:type="dxa"/>
            <w:tcBorders>
              <w:top w:val="nil"/>
              <w:left w:val="nil"/>
              <w:bottom w:val="nil"/>
              <w:right w:val="single" w:sz="8" w:space="0" w:color="auto"/>
            </w:tcBorders>
            <w:noWrap/>
            <w:vAlign w:val="bottom"/>
            <w:hideMark/>
          </w:tcPr>
          <w:p w14:paraId="793CF5FF" w14:textId="77777777" w:rsidR="00EC7077" w:rsidRPr="00C80366" w:rsidRDefault="00EC7077" w:rsidP="007674BE">
            <w:pPr>
              <w:ind w:firstLineChars="200" w:firstLine="320"/>
              <w:jc w:val="right"/>
              <w:rPr>
                <w:sz w:val="16"/>
                <w:szCs w:val="16"/>
              </w:rPr>
            </w:pPr>
            <w:r w:rsidRPr="00C80366">
              <w:rPr>
                <w:sz w:val="16"/>
                <w:szCs w:val="16"/>
              </w:rPr>
              <w:t>19%</w:t>
            </w:r>
          </w:p>
        </w:tc>
      </w:tr>
      <w:tr w:rsidR="00C80366" w:rsidRPr="00C80366" w14:paraId="58BB9684"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153DF133" w14:textId="77777777" w:rsidR="00EC7077" w:rsidRPr="00C80366" w:rsidRDefault="00EC7077" w:rsidP="007674BE">
            <w:pPr>
              <w:rPr>
                <w:b/>
                <w:bCs/>
                <w:sz w:val="16"/>
                <w:szCs w:val="16"/>
              </w:rPr>
            </w:pPr>
          </w:p>
        </w:tc>
        <w:tc>
          <w:tcPr>
            <w:tcW w:w="1959" w:type="dxa"/>
            <w:noWrap/>
            <w:vAlign w:val="bottom"/>
            <w:hideMark/>
          </w:tcPr>
          <w:p w14:paraId="045ADEF0" w14:textId="77777777" w:rsidR="00EC7077" w:rsidRPr="00C80366" w:rsidRDefault="00EC7077" w:rsidP="007674BE">
            <w:pPr>
              <w:ind w:firstLineChars="200" w:firstLine="320"/>
              <w:rPr>
                <w:sz w:val="16"/>
                <w:szCs w:val="16"/>
              </w:rPr>
            </w:pPr>
            <w:r w:rsidRPr="00C80366">
              <w:rPr>
                <w:sz w:val="16"/>
                <w:szCs w:val="16"/>
              </w:rPr>
              <w:t>Government service</w:t>
            </w:r>
          </w:p>
        </w:tc>
        <w:tc>
          <w:tcPr>
            <w:tcW w:w="709" w:type="dxa"/>
            <w:tcBorders>
              <w:top w:val="nil"/>
              <w:left w:val="nil"/>
              <w:bottom w:val="nil"/>
              <w:right w:val="single" w:sz="8" w:space="0" w:color="auto"/>
            </w:tcBorders>
            <w:noWrap/>
            <w:vAlign w:val="bottom"/>
            <w:hideMark/>
          </w:tcPr>
          <w:p w14:paraId="2D275383" w14:textId="77777777" w:rsidR="00EC7077" w:rsidRPr="00C80366" w:rsidRDefault="00EC7077" w:rsidP="007674BE">
            <w:pPr>
              <w:ind w:firstLineChars="200" w:firstLine="320"/>
              <w:jc w:val="right"/>
              <w:rPr>
                <w:sz w:val="16"/>
                <w:szCs w:val="16"/>
              </w:rPr>
            </w:pPr>
            <w:r w:rsidRPr="00C80366">
              <w:rPr>
                <w:sz w:val="16"/>
                <w:szCs w:val="16"/>
              </w:rPr>
              <w:t>5%</w:t>
            </w:r>
          </w:p>
        </w:tc>
      </w:tr>
      <w:tr w:rsidR="00C80366" w:rsidRPr="00C80366" w14:paraId="46B868D5"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2F8A1C32" w14:textId="77777777" w:rsidR="00EC7077" w:rsidRPr="00C80366" w:rsidRDefault="00EC7077" w:rsidP="007674BE">
            <w:pPr>
              <w:rPr>
                <w:b/>
                <w:bCs/>
                <w:sz w:val="16"/>
                <w:szCs w:val="16"/>
              </w:rPr>
            </w:pPr>
          </w:p>
        </w:tc>
        <w:tc>
          <w:tcPr>
            <w:tcW w:w="1959" w:type="dxa"/>
            <w:noWrap/>
            <w:vAlign w:val="bottom"/>
            <w:hideMark/>
          </w:tcPr>
          <w:p w14:paraId="606886A0" w14:textId="77777777" w:rsidR="00EC7077" w:rsidRPr="00C80366" w:rsidRDefault="00EC7077" w:rsidP="007674BE">
            <w:pPr>
              <w:ind w:firstLineChars="200" w:firstLine="320"/>
              <w:rPr>
                <w:sz w:val="16"/>
                <w:szCs w:val="16"/>
              </w:rPr>
            </w:pPr>
            <w:r w:rsidRPr="00C80366">
              <w:rPr>
                <w:sz w:val="16"/>
                <w:szCs w:val="16"/>
              </w:rPr>
              <w:t>Business</w:t>
            </w:r>
          </w:p>
        </w:tc>
        <w:tc>
          <w:tcPr>
            <w:tcW w:w="709" w:type="dxa"/>
            <w:tcBorders>
              <w:top w:val="nil"/>
              <w:left w:val="nil"/>
              <w:bottom w:val="nil"/>
              <w:right w:val="single" w:sz="8" w:space="0" w:color="auto"/>
            </w:tcBorders>
            <w:noWrap/>
            <w:vAlign w:val="bottom"/>
            <w:hideMark/>
          </w:tcPr>
          <w:p w14:paraId="25018783" w14:textId="77777777" w:rsidR="00EC7077" w:rsidRPr="00C80366" w:rsidRDefault="00EC7077" w:rsidP="007674BE">
            <w:pPr>
              <w:ind w:firstLineChars="200" w:firstLine="320"/>
              <w:jc w:val="right"/>
              <w:rPr>
                <w:sz w:val="16"/>
                <w:szCs w:val="16"/>
              </w:rPr>
            </w:pPr>
            <w:r w:rsidRPr="00C80366">
              <w:rPr>
                <w:sz w:val="16"/>
                <w:szCs w:val="16"/>
              </w:rPr>
              <w:t>9%</w:t>
            </w:r>
          </w:p>
        </w:tc>
      </w:tr>
      <w:tr w:rsidR="00C80366" w:rsidRPr="00C80366" w14:paraId="35A401C0"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2B9A8EB8" w14:textId="77777777" w:rsidR="00EC7077" w:rsidRPr="00C80366" w:rsidRDefault="00EC7077" w:rsidP="007674BE">
            <w:pPr>
              <w:rPr>
                <w:b/>
                <w:bCs/>
                <w:sz w:val="16"/>
                <w:szCs w:val="16"/>
              </w:rPr>
            </w:pPr>
          </w:p>
        </w:tc>
        <w:tc>
          <w:tcPr>
            <w:tcW w:w="1959" w:type="dxa"/>
            <w:noWrap/>
            <w:vAlign w:val="bottom"/>
            <w:hideMark/>
          </w:tcPr>
          <w:p w14:paraId="6361EC6D" w14:textId="77777777" w:rsidR="00EC7077" w:rsidRPr="00C80366" w:rsidRDefault="00EC7077" w:rsidP="007674BE">
            <w:pPr>
              <w:ind w:firstLineChars="200" w:firstLine="320"/>
              <w:rPr>
                <w:sz w:val="16"/>
                <w:szCs w:val="16"/>
              </w:rPr>
            </w:pPr>
            <w:r w:rsidRPr="00C80366">
              <w:rPr>
                <w:sz w:val="16"/>
                <w:szCs w:val="16"/>
              </w:rPr>
              <w:t>Professional</w:t>
            </w:r>
          </w:p>
        </w:tc>
        <w:tc>
          <w:tcPr>
            <w:tcW w:w="709" w:type="dxa"/>
            <w:tcBorders>
              <w:top w:val="nil"/>
              <w:left w:val="nil"/>
              <w:bottom w:val="nil"/>
              <w:right w:val="single" w:sz="8" w:space="0" w:color="auto"/>
            </w:tcBorders>
            <w:noWrap/>
            <w:vAlign w:val="bottom"/>
            <w:hideMark/>
          </w:tcPr>
          <w:p w14:paraId="3EB80BA8" w14:textId="77777777" w:rsidR="00EC7077" w:rsidRPr="00C80366" w:rsidRDefault="00EC7077" w:rsidP="007674BE">
            <w:pPr>
              <w:ind w:firstLineChars="200" w:firstLine="320"/>
              <w:jc w:val="right"/>
              <w:rPr>
                <w:sz w:val="16"/>
                <w:szCs w:val="16"/>
              </w:rPr>
            </w:pPr>
            <w:r w:rsidRPr="00C80366">
              <w:rPr>
                <w:sz w:val="16"/>
                <w:szCs w:val="16"/>
              </w:rPr>
              <w:t>11%</w:t>
            </w:r>
          </w:p>
        </w:tc>
      </w:tr>
      <w:tr w:rsidR="00C80366" w:rsidRPr="00C80366" w14:paraId="10714D35" w14:textId="77777777" w:rsidTr="00C80366">
        <w:trPr>
          <w:trHeight w:val="128"/>
          <w:jc w:val="center"/>
        </w:trPr>
        <w:tc>
          <w:tcPr>
            <w:tcW w:w="1008" w:type="dxa"/>
            <w:vMerge/>
            <w:tcBorders>
              <w:top w:val="nil"/>
              <w:left w:val="single" w:sz="8" w:space="0" w:color="auto"/>
              <w:bottom w:val="single" w:sz="8" w:space="0" w:color="000000"/>
              <w:right w:val="nil"/>
            </w:tcBorders>
            <w:vAlign w:val="center"/>
            <w:hideMark/>
          </w:tcPr>
          <w:p w14:paraId="6FE3F4CB" w14:textId="77777777" w:rsidR="00EC7077" w:rsidRPr="00C80366" w:rsidRDefault="00EC7077" w:rsidP="007674BE">
            <w:pPr>
              <w:rPr>
                <w:b/>
                <w:bCs/>
                <w:sz w:val="16"/>
                <w:szCs w:val="16"/>
              </w:rPr>
            </w:pPr>
          </w:p>
        </w:tc>
        <w:tc>
          <w:tcPr>
            <w:tcW w:w="1959" w:type="dxa"/>
            <w:noWrap/>
            <w:vAlign w:val="bottom"/>
            <w:hideMark/>
          </w:tcPr>
          <w:p w14:paraId="17330BFB" w14:textId="77777777" w:rsidR="00EC7077" w:rsidRPr="00C80366" w:rsidRDefault="00EC7077" w:rsidP="007674BE">
            <w:pPr>
              <w:ind w:firstLineChars="200" w:firstLine="320"/>
              <w:rPr>
                <w:sz w:val="16"/>
                <w:szCs w:val="16"/>
              </w:rPr>
            </w:pPr>
            <w:r w:rsidRPr="00C80366">
              <w:rPr>
                <w:sz w:val="16"/>
                <w:szCs w:val="16"/>
              </w:rPr>
              <w:t>Homemaker</w:t>
            </w:r>
          </w:p>
        </w:tc>
        <w:tc>
          <w:tcPr>
            <w:tcW w:w="709" w:type="dxa"/>
            <w:tcBorders>
              <w:top w:val="nil"/>
              <w:left w:val="nil"/>
              <w:bottom w:val="nil"/>
              <w:right w:val="single" w:sz="8" w:space="0" w:color="auto"/>
            </w:tcBorders>
            <w:noWrap/>
            <w:vAlign w:val="bottom"/>
            <w:hideMark/>
          </w:tcPr>
          <w:p w14:paraId="1C5F55F5" w14:textId="77777777" w:rsidR="00EC7077" w:rsidRPr="00C80366" w:rsidRDefault="00EC7077" w:rsidP="007674BE">
            <w:pPr>
              <w:ind w:firstLineChars="200" w:firstLine="320"/>
              <w:jc w:val="right"/>
              <w:rPr>
                <w:sz w:val="16"/>
                <w:szCs w:val="16"/>
              </w:rPr>
            </w:pPr>
            <w:r w:rsidRPr="00C80366">
              <w:rPr>
                <w:sz w:val="16"/>
                <w:szCs w:val="16"/>
              </w:rPr>
              <w:t>4%</w:t>
            </w:r>
          </w:p>
        </w:tc>
      </w:tr>
      <w:tr w:rsidR="00C80366" w:rsidRPr="00C80366" w14:paraId="6F84C49A" w14:textId="77777777" w:rsidTr="00C80366">
        <w:trPr>
          <w:trHeight w:val="135"/>
          <w:jc w:val="center"/>
        </w:trPr>
        <w:tc>
          <w:tcPr>
            <w:tcW w:w="1008" w:type="dxa"/>
            <w:vMerge/>
            <w:tcBorders>
              <w:top w:val="nil"/>
              <w:left w:val="single" w:sz="8" w:space="0" w:color="auto"/>
              <w:bottom w:val="single" w:sz="8" w:space="0" w:color="000000"/>
              <w:right w:val="nil"/>
            </w:tcBorders>
            <w:vAlign w:val="center"/>
            <w:hideMark/>
          </w:tcPr>
          <w:p w14:paraId="65AB9C61" w14:textId="77777777" w:rsidR="00EC7077" w:rsidRPr="00C80366" w:rsidRDefault="00EC7077" w:rsidP="007674BE">
            <w:pPr>
              <w:rPr>
                <w:b/>
                <w:bCs/>
                <w:sz w:val="16"/>
                <w:szCs w:val="16"/>
              </w:rPr>
            </w:pPr>
          </w:p>
        </w:tc>
        <w:tc>
          <w:tcPr>
            <w:tcW w:w="1959" w:type="dxa"/>
            <w:tcBorders>
              <w:top w:val="nil"/>
              <w:left w:val="nil"/>
              <w:bottom w:val="single" w:sz="8" w:space="0" w:color="auto"/>
              <w:right w:val="nil"/>
            </w:tcBorders>
            <w:noWrap/>
            <w:vAlign w:val="bottom"/>
            <w:hideMark/>
          </w:tcPr>
          <w:p w14:paraId="039B22F0" w14:textId="77777777" w:rsidR="00EC7077" w:rsidRPr="00C80366" w:rsidRDefault="00EC7077" w:rsidP="007674BE">
            <w:pPr>
              <w:ind w:firstLineChars="200" w:firstLine="320"/>
              <w:rPr>
                <w:sz w:val="16"/>
                <w:szCs w:val="16"/>
              </w:rPr>
            </w:pPr>
            <w:r w:rsidRPr="00C80366">
              <w:rPr>
                <w:sz w:val="16"/>
                <w:szCs w:val="16"/>
              </w:rPr>
              <w:t>Other</w:t>
            </w:r>
          </w:p>
        </w:tc>
        <w:tc>
          <w:tcPr>
            <w:tcW w:w="709" w:type="dxa"/>
            <w:tcBorders>
              <w:top w:val="nil"/>
              <w:left w:val="nil"/>
              <w:bottom w:val="single" w:sz="8" w:space="0" w:color="auto"/>
              <w:right w:val="single" w:sz="8" w:space="0" w:color="auto"/>
            </w:tcBorders>
            <w:noWrap/>
            <w:vAlign w:val="bottom"/>
            <w:hideMark/>
          </w:tcPr>
          <w:p w14:paraId="719801AA" w14:textId="77777777" w:rsidR="00EC7077" w:rsidRPr="00C80366" w:rsidRDefault="00EC7077" w:rsidP="007674BE">
            <w:pPr>
              <w:ind w:firstLineChars="200" w:firstLine="320"/>
              <w:jc w:val="right"/>
              <w:rPr>
                <w:sz w:val="16"/>
                <w:szCs w:val="16"/>
              </w:rPr>
            </w:pPr>
            <w:r w:rsidRPr="00C80366">
              <w:rPr>
                <w:sz w:val="16"/>
                <w:szCs w:val="16"/>
              </w:rPr>
              <w:t>2%</w:t>
            </w:r>
          </w:p>
        </w:tc>
      </w:tr>
      <w:tr w:rsidR="00C80366" w:rsidRPr="00C80366" w14:paraId="24F5B46E" w14:textId="77777777" w:rsidTr="00C80366">
        <w:trPr>
          <w:trHeight w:val="128"/>
          <w:jc w:val="center"/>
        </w:trPr>
        <w:tc>
          <w:tcPr>
            <w:tcW w:w="1008" w:type="dxa"/>
            <w:vMerge w:val="restart"/>
            <w:tcBorders>
              <w:top w:val="nil"/>
              <w:left w:val="single" w:sz="8" w:space="0" w:color="auto"/>
              <w:bottom w:val="single" w:sz="8" w:space="0" w:color="000000"/>
              <w:right w:val="nil"/>
            </w:tcBorders>
            <w:vAlign w:val="center"/>
            <w:hideMark/>
          </w:tcPr>
          <w:p w14:paraId="53772CDF" w14:textId="77777777" w:rsidR="00EC7077" w:rsidRPr="00C80366" w:rsidRDefault="00EC7077" w:rsidP="007674BE">
            <w:pPr>
              <w:jc w:val="center"/>
              <w:rPr>
                <w:b/>
                <w:bCs/>
                <w:sz w:val="16"/>
                <w:szCs w:val="16"/>
              </w:rPr>
            </w:pPr>
            <w:r w:rsidRPr="00C80366">
              <w:rPr>
                <w:b/>
                <w:bCs/>
                <w:sz w:val="16"/>
                <w:szCs w:val="16"/>
              </w:rPr>
              <w:t>Mobile Service</w:t>
            </w:r>
          </w:p>
        </w:tc>
        <w:tc>
          <w:tcPr>
            <w:tcW w:w="1959" w:type="dxa"/>
            <w:noWrap/>
            <w:vAlign w:val="bottom"/>
            <w:hideMark/>
          </w:tcPr>
          <w:p w14:paraId="1E015AA1" w14:textId="77777777" w:rsidR="00EC7077" w:rsidRPr="00C80366" w:rsidRDefault="00EC7077" w:rsidP="007674BE">
            <w:pPr>
              <w:ind w:firstLineChars="200" w:firstLine="320"/>
              <w:rPr>
                <w:sz w:val="16"/>
                <w:szCs w:val="16"/>
              </w:rPr>
            </w:pPr>
            <w:r w:rsidRPr="00C80366">
              <w:rPr>
                <w:sz w:val="16"/>
                <w:szCs w:val="16"/>
              </w:rPr>
              <w:t>Prepaid</w:t>
            </w:r>
          </w:p>
        </w:tc>
        <w:tc>
          <w:tcPr>
            <w:tcW w:w="709" w:type="dxa"/>
            <w:tcBorders>
              <w:top w:val="nil"/>
              <w:left w:val="nil"/>
              <w:bottom w:val="nil"/>
              <w:right w:val="single" w:sz="8" w:space="0" w:color="auto"/>
            </w:tcBorders>
            <w:noWrap/>
            <w:vAlign w:val="bottom"/>
            <w:hideMark/>
          </w:tcPr>
          <w:p w14:paraId="34FE9061" w14:textId="77777777" w:rsidR="00EC7077" w:rsidRPr="00C80366" w:rsidRDefault="00EC7077" w:rsidP="007674BE">
            <w:pPr>
              <w:ind w:firstLineChars="200" w:firstLine="320"/>
              <w:jc w:val="right"/>
              <w:rPr>
                <w:sz w:val="16"/>
                <w:szCs w:val="16"/>
              </w:rPr>
            </w:pPr>
            <w:r w:rsidRPr="00C80366">
              <w:rPr>
                <w:sz w:val="16"/>
                <w:szCs w:val="16"/>
              </w:rPr>
              <w:t>70%</w:t>
            </w:r>
          </w:p>
        </w:tc>
      </w:tr>
      <w:tr w:rsidR="00C80366" w:rsidRPr="00C80366" w14:paraId="6BC7BE2A" w14:textId="77777777" w:rsidTr="00C80366">
        <w:trPr>
          <w:trHeight w:val="135"/>
          <w:jc w:val="center"/>
        </w:trPr>
        <w:tc>
          <w:tcPr>
            <w:tcW w:w="1008" w:type="dxa"/>
            <w:vMerge/>
            <w:tcBorders>
              <w:top w:val="nil"/>
              <w:left w:val="single" w:sz="8" w:space="0" w:color="auto"/>
              <w:bottom w:val="single" w:sz="8" w:space="0" w:color="000000"/>
              <w:right w:val="nil"/>
            </w:tcBorders>
            <w:vAlign w:val="center"/>
            <w:hideMark/>
          </w:tcPr>
          <w:p w14:paraId="0117959D" w14:textId="77777777" w:rsidR="00EC7077" w:rsidRPr="00C80366" w:rsidRDefault="00EC7077" w:rsidP="007674BE">
            <w:pPr>
              <w:rPr>
                <w:b/>
                <w:bCs/>
                <w:sz w:val="16"/>
                <w:szCs w:val="16"/>
              </w:rPr>
            </w:pPr>
          </w:p>
        </w:tc>
        <w:tc>
          <w:tcPr>
            <w:tcW w:w="1959" w:type="dxa"/>
            <w:tcBorders>
              <w:top w:val="nil"/>
              <w:left w:val="nil"/>
              <w:bottom w:val="single" w:sz="8" w:space="0" w:color="auto"/>
              <w:right w:val="nil"/>
            </w:tcBorders>
            <w:noWrap/>
            <w:vAlign w:val="bottom"/>
            <w:hideMark/>
          </w:tcPr>
          <w:p w14:paraId="00D35D9D" w14:textId="77777777" w:rsidR="00EC7077" w:rsidRPr="00C80366" w:rsidRDefault="00EC7077" w:rsidP="007674BE">
            <w:pPr>
              <w:ind w:firstLineChars="200" w:firstLine="320"/>
              <w:rPr>
                <w:sz w:val="16"/>
                <w:szCs w:val="16"/>
              </w:rPr>
            </w:pPr>
            <w:r w:rsidRPr="00C80366">
              <w:rPr>
                <w:sz w:val="16"/>
                <w:szCs w:val="16"/>
              </w:rPr>
              <w:t>Postpaid</w:t>
            </w:r>
          </w:p>
        </w:tc>
        <w:tc>
          <w:tcPr>
            <w:tcW w:w="709" w:type="dxa"/>
            <w:tcBorders>
              <w:top w:val="nil"/>
              <w:left w:val="nil"/>
              <w:bottom w:val="single" w:sz="8" w:space="0" w:color="auto"/>
              <w:right w:val="single" w:sz="8" w:space="0" w:color="auto"/>
            </w:tcBorders>
            <w:noWrap/>
            <w:vAlign w:val="bottom"/>
            <w:hideMark/>
          </w:tcPr>
          <w:p w14:paraId="47BAFEA4" w14:textId="77777777" w:rsidR="00EC7077" w:rsidRPr="00C80366" w:rsidRDefault="00EC7077" w:rsidP="007674BE">
            <w:pPr>
              <w:ind w:firstLineChars="200" w:firstLine="320"/>
              <w:jc w:val="right"/>
              <w:rPr>
                <w:sz w:val="16"/>
                <w:szCs w:val="16"/>
              </w:rPr>
            </w:pPr>
            <w:r w:rsidRPr="00C80366">
              <w:rPr>
                <w:sz w:val="16"/>
                <w:szCs w:val="16"/>
              </w:rPr>
              <w:t>30%</w:t>
            </w:r>
          </w:p>
        </w:tc>
      </w:tr>
    </w:tbl>
    <w:p w14:paraId="747C3743" w14:textId="77777777" w:rsidR="00EC7077" w:rsidRDefault="00EC7077" w:rsidP="00745FA8">
      <w:pPr>
        <w:pStyle w:val="References"/>
        <w:numPr>
          <w:ilvl w:val="0"/>
          <w:numId w:val="0"/>
        </w:numPr>
      </w:pPr>
    </w:p>
    <w:p w14:paraId="0EE830CC" w14:textId="77777777" w:rsidR="00EC7077" w:rsidRDefault="00EC7077" w:rsidP="00745FA8">
      <w:pPr>
        <w:pStyle w:val="References"/>
        <w:numPr>
          <w:ilvl w:val="0"/>
          <w:numId w:val="0"/>
        </w:numPr>
      </w:pPr>
    </w:p>
    <w:p w14:paraId="3D37348C" w14:textId="7F12406C" w:rsidR="00EC7077" w:rsidRPr="008A3740" w:rsidRDefault="00C80366" w:rsidP="00C80366">
      <w:pPr>
        <w:pStyle w:val="References"/>
        <w:numPr>
          <w:ilvl w:val="0"/>
          <w:numId w:val="0"/>
        </w:numPr>
        <w:jc w:val="center"/>
        <w:rPr>
          <w:sz w:val="20"/>
          <w:szCs w:val="20"/>
        </w:rPr>
      </w:pPr>
      <w:r w:rsidRPr="008A3740">
        <w:rPr>
          <w:sz w:val="20"/>
          <w:szCs w:val="20"/>
        </w:rPr>
        <w:t>TABLE A.2: FACTORS FROM CFA</w:t>
      </w:r>
    </w:p>
    <w:p w14:paraId="1744181E" w14:textId="77777777" w:rsidR="00EC7077" w:rsidRDefault="00EC7077" w:rsidP="00745FA8">
      <w:pPr>
        <w:pStyle w:val="References"/>
        <w:numPr>
          <w:ilvl w:val="0"/>
          <w:numId w:val="0"/>
        </w:numPr>
      </w:pPr>
    </w:p>
    <w:tbl>
      <w:tblPr>
        <w:tblW w:w="3949" w:type="dxa"/>
        <w:jc w:val="center"/>
        <w:tblLook w:val="04A0" w:firstRow="1" w:lastRow="0" w:firstColumn="1" w:lastColumn="0" w:noHBand="0" w:noVBand="1"/>
      </w:tblPr>
      <w:tblGrid>
        <w:gridCol w:w="1371"/>
        <w:gridCol w:w="1438"/>
        <w:gridCol w:w="1140"/>
      </w:tblGrid>
      <w:tr w:rsidR="00C80366" w:rsidRPr="005A6CE2" w14:paraId="74439377" w14:textId="77777777" w:rsidTr="007674BE">
        <w:trPr>
          <w:trHeight w:val="167"/>
          <w:jc w:val="center"/>
        </w:trPr>
        <w:tc>
          <w:tcPr>
            <w:tcW w:w="1371" w:type="dxa"/>
            <w:tcBorders>
              <w:top w:val="single" w:sz="8" w:space="0" w:color="auto"/>
              <w:left w:val="single" w:sz="8" w:space="0" w:color="auto"/>
              <w:bottom w:val="single" w:sz="8" w:space="0" w:color="auto"/>
              <w:right w:val="nil"/>
            </w:tcBorders>
            <w:vAlign w:val="center"/>
            <w:hideMark/>
          </w:tcPr>
          <w:p w14:paraId="49383019" w14:textId="77777777" w:rsidR="00C80366" w:rsidRPr="005A6CE2" w:rsidRDefault="00C80366" w:rsidP="007674BE">
            <w:pPr>
              <w:jc w:val="center"/>
              <w:rPr>
                <w:b/>
                <w:bCs/>
                <w:color w:val="000000"/>
                <w:sz w:val="16"/>
                <w:szCs w:val="16"/>
              </w:rPr>
            </w:pPr>
            <w:bookmarkStart w:id="26" w:name="_Hlk104056555"/>
            <w:r w:rsidRPr="005A6CE2">
              <w:rPr>
                <w:b/>
                <w:bCs/>
                <w:color w:val="000000"/>
                <w:sz w:val="16"/>
                <w:szCs w:val="16"/>
              </w:rPr>
              <w:t>Construct</w:t>
            </w:r>
          </w:p>
        </w:tc>
        <w:tc>
          <w:tcPr>
            <w:tcW w:w="1438" w:type="dxa"/>
            <w:tcBorders>
              <w:top w:val="single" w:sz="8" w:space="0" w:color="auto"/>
              <w:left w:val="nil"/>
              <w:bottom w:val="single" w:sz="8" w:space="0" w:color="auto"/>
              <w:right w:val="nil"/>
            </w:tcBorders>
            <w:vAlign w:val="center"/>
            <w:hideMark/>
          </w:tcPr>
          <w:p w14:paraId="0B9A0C26" w14:textId="77777777" w:rsidR="00C80366" w:rsidRPr="005A6CE2" w:rsidRDefault="00C80366" w:rsidP="007674BE">
            <w:pPr>
              <w:jc w:val="center"/>
              <w:rPr>
                <w:b/>
                <w:bCs/>
                <w:color w:val="000000"/>
                <w:sz w:val="16"/>
                <w:szCs w:val="16"/>
              </w:rPr>
            </w:pPr>
            <w:r w:rsidRPr="005A6CE2">
              <w:rPr>
                <w:b/>
                <w:bCs/>
                <w:color w:val="000000"/>
                <w:sz w:val="16"/>
                <w:szCs w:val="16"/>
              </w:rPr>
              <w:t>Item</w:t>
            </w:r>
          </w:p>
        </w:tc>
        <w:tc>
          <w:tcPr>
            <w:tcW w:w="1140" w:type="dxa"/>
            <w:tcBorders>
              <w:top w:val="single" w:sz="8" w:space="0" w:color="auto"/>
              <w:left w:val="nil"/>
              <w:bottom w:val="single" w:sz="8" w:space="0" w:color="auto"/>
              <w:right w:val="single" w:sz="8" w:space="0" w:color="auto"/>
            </w:tcBorders>
            <w:vAlign w:val="center"/>
            <w:hideMark/>
          </w:tcPr>
          <w:p w14:paraId="2FD0B1D9" w14:textId="77777777" w:rsidR="00C80366" w:rsidRPr="005A6CE2" w:rsidRDefault="00C80366" w:rsidP="007674BE">
            <w:pPr>
              <w:jc w:val="center"/>
              <w:rPr>
                <w:b/>
                <w:bCs/>
                <w:color w:val="000000"/>
                <w:sz w:val="16"/>
                <w:szCs w:val="16"/>
              </w:rPr>
            </w:pPr>
            <w:r w:rsidRPr="005A6CE2">
              <w:rPr>
                <w:b/>
                <w:bCs/>
                <w:color w:val="000000"/>
                <w:sz w:val="16"/>
                <w:szCs w:val="16"/>
              </w:rPr>
              <w:t>Estimate</w:t>
            </w:r>
          </w:p>
        </w:tc>
      </w:tr>
      <w:tr w:rsidR="00C80366" w:rsidRPr="005A6CE2" w14:paraId="427C57D3" w14:textId="77777777" w:rsidTr="007674BE">
        <w:trPr>
          <w:trHeight w:val="159"/>
          <w:jc w:val="center"/>
        </w:trPr>
        <w:tc>
          <w:tcPr>
            <w:tcW w:w="1371" w:type="dxa"/>
            <w:vMerge w:val="restart"/>
            <w:tcBorders>
              <w:top w:val="nil"/>
              <w:left w:val="single" w:sz="8" w:space="0" w:color="auto"/>
              <w:bottom w:val="single" w:sz="8" w:space="0" w:color="000000"/>
              <w:right w:val="nil"/>
            </w:tcBorders>
            <w:vAlign w:val="center"/>
            <w:hideMark/>
          </w:tcPr>
          <w:p w14:paraId="5F7D40ED" w14:textId="77777777" w:rsidR="00C80366" w:rsidRPr="005A6CE2" w:rsidRDefault="00C80366" w:rsidP="007674BE">
            <w:pPr>
              <w:jc w:val="center"/>
              <w:rPr>
                <w:color w:val="000000"/>
                <w:sz w:val="16"/>
                <w:szCs w:val="16"/>
              </w:rPr>
            </w:pPr>
            <w:r w:rsidRPr="005A6CE2">
              <w:rPr>
                <w:color w:val="000000"/>
                <w:sz w:val="16"/>
                <w:szCs w:val="16"/>
              </w:rPr>
              <w:t>Service Innovation</w:t>
            </w:r>
          </w:p>
        </w:tc>
        <w:tc>
          <w:tcPr>
            <w:tcW w:w="1438" w:type="dxa"/>
            <w:vAlign w:val="center"/>
            <w:hideMark/>
          </w:tcPr>
          <w:p w14:paraId="6330B84F" w14:textId="77777777" w:rsidR="00C80366" w:rsidRPr="005A6CE2" w:rsidRDefault="00C80366" w:rsidP="007674BE">
            <w:pPr>
              <w:jc w:val="center"/>
              <w:rPr>
                <w:color w:val="000000"/>
                <w:sz w:val="16"/>
                <w:szCs w:val="16"/>
              </w:rPr>
            </w:pPr>
            <w:r w:rsidRPr="005A6CE2">
              <w:rPr>
                <w:color w:val="000000"/>
                <w:sz w:val="16"/>
                <w:szCs w:val="16"/>
              </w:rPr>
              <w:t>SI3</w:t>
            </w:r>
          </w:p>
        </w:tc>
        <w:tc>
          <w:tcPr>
            <w:tcW w:w="1140" w:type="dxa"/>
            <w:tcBorders>
              <w:top w:val="nil"/>
              <w:left w:val="nil"/>
              <w:bottom w:val="nil"/>
              <w:right w:val="single" w:sz="8" w:space="0" w:color="auto"/>
            </w:tcBorders>
            <w:vAlign w:val="center"/>
            <w:hideMark/>
          </w:tcPr>
          <w:p w14:paraId="5F1BA456" w14:textId="77777777" w:rsidR="00C80366" w:rsidRPr="005A6CE2" w:rsidRDefault="00C80366" w:rsidP="007674BE">
            <w:pPr>
              <w:jc w:val="center"/>
              <w:rPr>
                <w:color w:val="000000"/>
                <w:sz w:val="16"/>
                <w:szCs w:val="16"/>
              </w:rPr>
            </w:pPr>
            <w:r w:rsidRPr="005A6CE2">
              <w:rPr>
                <w:color w:val="000000"/>
                <w:sz w:val="16"/>
                <w:szCs w:val="16"/>
              </w:rPr>
              <w:t>0.629</w:t>
            </w:r>
          </w:p>
        </w:tc>
      </w:tr>
      <w:tr w:rsidR="00C80366" w:rsidRPr="005A6CE2" w14:paraId="661DAB33"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374218AA" w14:textId="77777777" w:rsidR="00C80366" w:rsidRPr="005A6CE2" w:rsidRDefault="00C80366" w:rsidP="007674BE">
            <w:pPr>
              <w:rPr>
                <w:color w:val="000000"/>
                <w:sz w:val="16"/>
                <w:szCs w:val="16"/>
              </w:rPr>
            </w:pPr>
          </w:p>
        </w:tc>
        <w:tc>
          <w:tcPr>
            <w:tcW w:w="1438" w:type="dxa"/>
            <w:vAlign w:val="center"/>
            <w:hideMark/>
          </w:tcPr>
          <w:p w14:paraId="7DB8F185" w14:textId="77777777" w:rsidR="00C80366" w:rsidRPr="005A6CE2" w:rsidRDefault="00C80366" w:rsidP="007674BE">
            <w:pPr>
              <w:jc w:val="center"/>
              <w:rPr>
                <w:color w:val="000000"/>
                <w:sz w:val="16"/>
                <w:szCs w:val="16"/>
              </w:rPr>
            </w:pPr>
            <w:r w:rsidRPr="005A6CE2">
              <w:rPr>
                <w:color w:val="000000"/>
                <w:sz w:val="16"/>
                <w:szCs w:val="16"/>
              </w:rPr>
              <w:t>SI10</w:t>
            </w:r>
          </w:p>
        </w:tc>
        <w:tc>
          <w:tcPr>
            <w:tcW w:w="1140" w:type="dxa"/>
            <w:tcBorders>
              <w:top w:val="nil"/>
              <w:left w:val="nil"/>
              <w:bottom w:val="nil"/>
              <w:right w:val="single" w:sz="8" w:space="0" w:color="auto"/>
            </w:tcBorders>
            <w:vAlign w:val="center"/>
            <w:hideMark/>
          </w:tcPr>
          <w:p w14:paraId="3B166B43" w14:textId="77777777" w:rsidR="00C80366" w:rsidRPr="005A6CE2" w:rsidRDefault="00C80366" w:rsidP="007674BE">
            <w:pPr>
              <w:jc w:val="center"/>
              <w:rPr>
                <w:color w:val="000000"/>
                <w:sz w:val="16"/>
                <w:szCs w:val="16"/>
              </w:rPr>
            </w:pPr>
            <w:r w:rsidRPr="005A6CE2">
              <w:rPr>
                <w:color w:val="000000"/>
                <w:sz w:val="16"/>
                <w:szCs w:val="16"/>
              </w:rPr>
              <w:t>0.685</w:t>
            </w:r>
          </w:p>
        </w:tc>
      </w:tr>
      <w:tr w:rsidR="00C80366" w:rsidRPr="005A6CE2" w14:paraId="7BDAF32C" w14:textId="77777777" w:rsidTr="007674BE">
        <w:trPr>
          <w:trHeight w:val="167"/>
          <w:jc w:val="center"/>
        </w:trPr>
        <w:tc>
          <w:tcPr>
            <w:tcW w:w="0" w:type="auto"/>
            <w:vMerge/>
            <w:tcBorders>
              <w:top w:val="nil"/>
              <w:left w:val="single" w:sz="8" w:space="0" w:color="auto"/>
              <w:bottom w:val="single" w:sz="8" w:space="0" w:color="000000"/>
              <w:right w:val="nil"/>
            </w:tcBorders>
            <w:vAlign w:val="center"/>
            <w:hideMark/>
          </w:tcPr>
          <w:p w14:paraId="1B3DB6C5" w14:textId="77777777" w:rsidR="00C80366" w:rsidRPr="005A6CE2" w:rsidRDefault="00C80366" w:rsidP="007674BE">
            <w:pPr>
              <w:rPr>
                <w:color w:val="000000"/>
                <w:sz w:val="16"/>
                <w:szCs w:val="16"/>
              </w:rPr>
            </w:pPr>
          </w:p>
        </w:tc>
        <w:tc>
          <w:tcPr>
            <w:tcW w:w="1438" w:type="dxa"/>
            <w:tcBorders>
              <w:top w:val="nil"/>
              <w:left w:val="nil"/>
              <w:bottom w:val="single" w:sz="8" w:space="0" w:color="auto"/>
              <w:right w:val="nil"/>
            </w:tcBorders>
            <w:vAlign w:val="center"/>
            <w:hideMark/>
          </w:tcPr>
          <w:p w14:paraId="299964FB" w14:textId="77777777" w:rsidR="00C80366" w:rsidRPr="005A6CE2" w:rsidRDefault="00C80366" w:rsidP="007674BE">
            <w:pPr>
              <w:jc w:val="center"/>
              <w:rPr>
                <w:color w:val="000000"/>
                <w:sz w:val="16"/>
                <w:szCs w:val="16"/>
              </w:rPr>
            </w:pPr>
            <w:r w:rsidRPr="005A6CE2">
              <w:rPr>
                <w:color w:val="000000"/>
                <w:sz w:val="16"/>
                <w:szCs w:val="16"/>
              </w:rPr>
              <w:t>SI11</w:t>
            </w:r>
          </w:p>
        </w:tc>
        <w:tc>
          <w:tcPr>
            <w:tcW w:w="1140" w:type="dxa"/>
            <w:tcBorders>
              <w:top w:val="nil"/>
              <w:left w:val="nil"/>
              <w:bottom w:val="single" w:sz="8" w:space="0" w:color="auto"/>
              <w:right w:val="single" w:sz="8" w:space="0" w:color="auto"/>
            </w:tcBorders>
            <w:vAlign w:val="center"/>
            <w:hideMark/>
          </w:tcPr>
          <w:p w14:paraId="7CC3BA9C" w14:textId="77777777" w:rsidR="00C80366" w:rsidRPr="005A6CE2" w:rsidRDefault="00C80366" w:rsidP="007674BE">
            <w:pPr>
              <w:jc w:val="center"/>
              <w:rPr>
                <w:color w:val="000000"/>
                <w:sz w:val="16"/>
                <w:szCs w:val="16"/>
              </w:rPr>
            </w:pPr>
            <w:r w:rsidRPr="005A6CE2">
              <w:rPr>
                <w:color w:val="000000"/>
                <w:sz w:val="16"/>
                <w:szCs w:val="16"/>
              </w:rPr>
              <w:t>0.713</w:t>
            </w:r>
          </w:p>
        </w:tc>
      </w:tr>
      <w:tr w:rsidR="00C80366" w:rsidRPr="005A6CE2" w14:paraId="2DE2CF25" w14:textId="77777777" w:rsidTr="007674BE">
        <w:trPr>
          <w:trHeight w:val="159"/>
          <w:jc w:val="center"/>
        </w:trPr>
        <w:tc>
          <w:tcPr>
            <w:tcW w:w="1371" w:type="dxa"/>
            <w:vMerge w:val="restart"/>
            <w:tcBorders>
              <w:top w:val="nil"/>
              <w:left w:val="single" w:sz="8" w:space="0" w:color="auto"/>
              <w:bottom w:val="single" w:sz="8" w:space="0" w:color="000000"/>
              <w:right w:val="nil"/>
            </w:tcBorders>
            <w:vAlign w:val="center"/>
            <w:hideMark/>
          </w:tcPr>
          <w:p w14:paraId="19AFCC9B" w14:textId="77777777" w:rsidR="00C80366" w:rsidRPr="005A6CE2" w:rsidRDefault="00C80366" w:rsidP="007674BE">
            <w:pPr>
              <w:jc w:val="center"/>
              <w:rPr>
                <w:color w:val="000000"/>
                <w:sz w:val="16"/>
                <w:szCs w:val="16"/>
              </w:rPr>
            </w:pPr>
            <w:r w:rsidRPr="005A6CE2">
              <w:rPr>
                <w:color w:val="000000"/>
                <w:sz w:val="16"/>
                <w:szCs w:val="16"/>
              </w:rPr>
              <w:t>Customer Value Creation</w:t>
            </w:r>
          </w:p>
        </w:tc>
        <w:tc>
          <w:tcPr>
            <w:tcW w:w="1438" w:type="dxa"/>
            <w:vAlign w:val="center"/>
            <w:hideMark/>
          </w:tcPr>
          <w:p w14:paraId="08492643" w14:textId="77777777" w:rsidR="00C80366" w:rsidRPr="005A6CE2" w:rsidRDefault="00C80366" w:rsidP="007674BE">
            <w:pPr>
              <w:jc w:val="center"/>
              <w:rPr>
                <w:color w:val="000000"/>
                <w:sz w:val="16"/>
                <w:szCs w:val="16"/>
              </w:rPr>
            </w:pPr>
            <w:r w:rsidRPr="005A6CE2">
              <w:rPr>
                <w:color w:val="000000"/>
                <w:sz w:val="16"/>
                <w:szCs w:val="16"/>
              </w:rPr>
              <w:t>CVC11</w:t>
            </w:r>
          </w:p>
        </w:tc>
        <w:tc>
          <w:tcPr>
            <w:tcW w:w="1140" w:type="dxa"/>
            <w:tcBorders>
              <w:top w:val="nil"/>
              <w:left w:val="nil"/>
              <w:bottom w:val="nil"/>
              <w:right w:val="single" w:sz="8" w:space="0" w:color="auto"/>
            </w:tcBorders>
            <w:vAlign w:val="center"/>
            <w:hideMark/>
          </w:tcPr>
          <w:p w14:paraId="794D848B" w14:textId="77777777" w:rsidR="00C80366" w:rsidRPr="005A6CE2" w:rsidRDefault="00C80366" w:rsidP="007674BE">
            <w:pPr>
              <w:jc w:val="center"/>
              <w:rPr>
                <w:color w:val="000000"/>
                <w:sz w:val="16"/>
                <w:szCs w:val="16"/>
              </w:rPr>
            </w:pPr>
            <w:r w:rsidRPr="005A6CE2">
              <w:rPr>
                <w:color w:val="000000"/>
                <w:sz w:val="16"/>
                <w:szCs w:val="16"/>
              </w:rPr>
              <w:t>0.76</w:t>
            </w:r>
          </w:p>
        </w:tc>
      </w:tr>
      <w:tr w:rsidR="00C80366" w:rsidRPr="005A6CE2" w14:paraId="4A6ED7C5"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713181A6" w14:textId="77777777" w:rsidR="00C80366" w:rsidRPr="005A6CE2" w:rsidRDefault="00C80366" w:rsidP="007674BE">
            <w:pPr>
              <w:rPr>
                <w:color w:val="000000"/>
                <w:sz w:val="16"/>
                <w:szCs w:val="16"/>
              </w:rPr>
            </w:pPr>
          </w:p>
        </w:tc>
        <w:tc>
          <w:tcPr>
            <w:tcW w:w="1438" w:type="dxa"/>
            <w:vAlign w:val="center"/>
            <w:hideMark/>
          </w:tcPr>
          <w:p w14:paraId="1347BAE3" w14:textId="77777777" w:rsidR="00C80366" w:rsidRPr="005A6CE2" w:rsidRDefault="00C80366" w:rsidP="007674BE">
            <w:pPr>
              <w:jc w:val="center"/>
              <w:rPr>
                <w:color w:val="000000"/>
                <w:sz w:val="16"/>
                <w:szCs w:val="16"/>
              </w:rPr>
            </w:pPr>
            <w:r w:rsidRPr="005A6CE2">
              <w:rPr>
                <w:color w:val="000000"/>
                <w:sz w:val="16"/>
                <w:szCs w:val="16"/>
              </w:rPr>
              <w:t>CVC12</w:t>
            </w:r>
          </w:p>
        </w:tc>
        <w:tc>
          <w:tcPr>
            <w:tcW w:w="1140" w:type="dxa"/>
            <w:tcBorders>
              <w:top w:val="nil"/>
              <w:left w:val="nil"/>
              <w:bottom w:val="nil"/>
              <w:right w:val="single" w:sz="8" w:space="0" w:color="auto"/>
            </w:tcBorders>
            <w:vAlign w:val="center"/>
            <w:hideMark/>
          </w:tcPr>
          <w:p w14:paraId="41D95A6D" w14:textId="77777777" w:rsidR="00C80366" w:rsidRPr="005A6CE2" w:rsidRDefault="00C80366" w:rsidP="007674BE">
            <w:pPr>
              <w:jc w:val="center"/>
              <w:rPr>
                <w:color w:val="000000"/>
                <w:sz w:val="16"/>
                <w:szCs w:val="16"/>
              </w:rPr>
            </w:pPr>
            <w:r w:rsidRPr="005A6CE2">
              <w:rPr>
                <w:color w:val="000000"/>
                <w:sz w:val="16"/>
                <w:szCs w:val="16"/>
              </w:rPr>
              <w:t>0.831</w:t>
            </w:r>
          </w:p>
        </w:tc>
      </w:tr>
      <w:tr w:rsidR="00C80366" w:rsidRPr="005A6CE2" w14:paraId="1081E49D"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1958880C" w14:textId="77777777" w:rsidR="00C80366" w:rsidRPr="005A6CE2" w:rsidRDefault="00C80366" w:rsidP="007674BE">
            <w:pPr>
              <w:rPr>
                <w:color w:val="000000"/>
                <w:sz w:val="16"/>
                <w:szCs w:val="16"/>
              </w:rPr>
            </w:pPr>
          </w:p>
        </w:tc>
        <w:tc>
          <w:tcPr>
            <w:tcW w:w="1438" w:type="dxa"/>
            <w:vAlign w:val="center"/>
            <w:hideMark/>
          </w:tcPr>
          <w:p w14:paraId="7467E1EA" w14:textId="77777777" w:rsidR="00C80366" w:rsidRPr="005A6CE2" w:rsidRDefault="00C80366" w:rsidP="007674BE">
            <w:pPr>
              <w:jc w:val="center"/>
              <w:rPr>
                <w:color w:val="000000"/>
                <w:sz w:val="16"/>
                <w:szCs w:val="16"/>
              </w:rPr>
            </w:pPr>
            <w:r w:rsidRPr="005A6CE2">
              <w:rPr>
                <w:color w:val="000000"/>
                <w:sz w:val="16"/>
                <w:szCs w:val="16"/>
              </w:rPr>
              <w:t>CVC13</w:t>
            </w:r>
          </w:p>
        </w:tc>
        <w:tc>
          <w:tcPr>
            <w:tcW w:w="1140" w:type="dxa"/>
            <w:tcBorders>
              <w:top w:val="nil"/>
              <w:left w:val="nil"/>
              <w:bottom w:val="nil"/>
              <w:right w:val="single" w:sz="8" w:space="0" w:color="auto"/>
            </w:tcBorders>
            <w:vAlign w:val="center"/>
            <w:hideMark/>
          </w:tcPr>
          <w:p w14:paraId="5052B8A1" w14:textId="77777777" w:rsidR="00C80366" w:rsidRPr="005A6CE2" w:rsidRDefault="00C80366" w:rsidP="007674BE">
            <w:pPr>
              <w:jc w:val="center"/>
              <w:rPr>
                <w:color w:val="000000"/>
                <w:sz w:val="16"/>
                <w:szCs w:val="16"/>
              </w:rPr>
            </w:pPr>
            <w:r w:rsidRPr="005A6CE2">
              <w:rPr>
                <w:color w:val="000000"/>
                <w:sz w:val="16"/>
                <w:szCs w:val="16"/>
              </w:rPr>
              <w:t>0.728</w:t>
            </w:r>
          </w:p>
        </w:tc>
      </w:tr>
      <w:tr w:rsidR="00C80366" w:rsidRPr="005A6CE2" w14:paraId="7BBE174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622C12A1" w14:textId="77777777" w:rsidR="00C80366" w:rsidRPr="005A6CE2" w:rsidRDefault="00C80366" w:rsidP="007674BE">
            <w:pPr>
              <w:rPr>
                <w:color w:val="000000"/>
                <w:sz w:val="16"/>
                <w:szCs w:val="16"/>
              </w:rPr>
            </w:pPr>
          </w:p>
        </w:tc>
        <w:tc>
          <w:tcPr>
            <w:tcW w:w="1438" w:type="dxa"/>
            <w:vAlign w:val="center"/>
            <w:hideMark/>
          </w:tcPr>
          <w:p w14:paraId="4FD3A226" w14:textId="77777777" w:rsidR="00C80366" w:rsidRPr="005A6CE2" w:rsidRDefault="00C80366" w:rsidP="007674BE">
            <w:pPr>
              <w:jc w:val="center"/>
              <w:rPr>
                <w:color w:val="000000"/>
                <w:sz w:val="16"/>
                <w:szCs w:val="16"/>
              </w:rPr>
            </w:pPr>
            <w:r w:rsidRPr="005A6CE2">
              <w:rPr>
                <w:color w:val="000000"/>
                <w:sz w:val="16"/>
                <w:szCs w:val="16"/>
              </w:rPr>
              <w:t>CVC14</w:t>
            </w:r>
          </w:p>
        </w:tc>
        <w:tc>
          <w:tcPr>
            <w:tcW w:w="1140" w:type="dxa"/>
            <w:tcBorders>
              <w:top w:val="nil"/>
              <w:left w:val="nil"/>
              <w:bottom w:val="nil"/>
              <w:right w:val="single" w:sz="8" w:space="0" w:color="auto"/>
            </w:tcBorders>
            <w:vAlign w:val="center"/>
            <w:hideMark/>
          </w:tcPr>
          <w:p w14:paraId="050068B8" w14:textId="77777777" w:rsidR="00C80366" w:rsidRPr="005A6CE2" w:rsidRDefault="00C80366" w:rsidP="007674BE">
            <w:pPr>
              <w:jc w:val="center"/>
              <w:rPr>
                <w:color w:val="000000"/>
                <w:sz w:val="16"/>
                <w:szCs w:val="16"/>
              </w:rPr>
            </w:pPr>
            <w:r w:rsidRPr="005A6CE2">
              <w:rPr>
                <w:color w:val="000000"/>
                <w:sz w:val="16"/>
                <w:szCs w:val="16"/>
              </w:rPr>
              <w:t>0.761</w:t>
            </w:r>
          </w:p>
        </w:tc>
      </w:tr>
      <w:tr w:rsidR="00C80366" w:rsidRPr="005A6CE2" w14:paraId="3972C5B4" w14:textId="77777777" w:rsidTr="007674BE">
        <w:trPr>
          <w:trHeight w:val="167"/>
          <w:jc w:val="center"/>
        </w:trPr>
        <w:tc>
          <w:tcPr>
            <w:tcW w:w="0" w:type="auto"/>
            <w:vMerge/>
            <w:tcBorders>
              <w:top w:val="nil"/>
              <w:left w:val="single" w:sz="8" w:space="0" w:color="auto"/>
              <w:bottom w:val="single" w:sz="8" w:space="0" w:color="000000"/>
              <w:right w:val="nil"/>
            </w:tcBorders>
            <w:vAlign w:val="center"/>
            <w:hideMark/>
          </w:tcPr>
          <w:p w14:paraId="469121F1" w14:textId="77777777" w:rsidR="00C80366" w:rsidRPr="005A6CE2" w:rsidRDefault="00C80366" w:rsidP="007674BE">
            <w:pPr>
              <w:rPr>
                <w:color w:val="000000"/>
                <w:sz w:val="16"/>
                <w:szCs w:val="16"/>
              </w:rPr>
            </w:pPr>
          </w:p>
        </w:tc>
        <w:tc>
          <w:tcPr>
            <w:tcW w:w="1438" w:type="dxa"/>
            <w:tcBorders>
              <w:top w:val="nil"/>
              <w:left w:val="nil"/>
              <w:bottom w:val="single" w:sz="8" w:space="0" w:color="auto"/>
              <w:right w:val="nil"/>
            </w:tcBorders>
            <w:vAlign w:val="center"/>
            <w:hideMark/>
          </w:tcPr>
          <w:p w14:paraId="48CFF849" w14:textId="77777777" w:rsidR="00C80366" w:rsidRPr="005A6CE2" w:rsidRDefault="00C80366" w:rsidP="007674BE">
            <w:pPr>
              <w:jc w:val="center"/>
              <w:rPr>
                <w:color w:val="000000"/>
                <w:sz w:val="16"/>
                <w:szCs w:val="16"/>
              </w:rPr>
            </w:pPr>
            <w:r w:rsidRPr="005A6CE2">
              <w:rPr>
                <w:color w:val="000000"/>
                <w:sz w:val="16"/>
                <w:szCs w:val="16"/>
              </w:rPr>
              <w:t>CVC15</w:t>
            </w:r>
          </w:p>
        </w:tc>
        <w:tc>
          <w:tcPr>
            <w:tcW w:w="1140" w:type="dxa"/>
            <w:tcBorders>
              <w:top w:val="nil"/>
              <w:left w:val="nil"/>
              <w:bottom w:val="single" w:sz="8" w:space="0" w:color="auto"/>
              <w:right w:val="single" w:sz="8" w:space="0" w:color="auto"/>
            </w:tcBorders>
            <w:vAlign w:val="center"/>
            <w:hideMark/>
          </w:tcPr>
          <w:p w14:paraId="6D74EB46" w14:textId="77777777" w:rsidR="00C80366" w:rsidRPr="005A6CE2" w:rsidRDefault="00C80366" w:rsidP="007674BE">
            <w:pPr>
              <w:jc w:val="center"/>
              <w:rPr>
                <w:color w:val="000000"/>
                <w:sz w:val="16"/>
                <w:szCs w:val="16"/>
              </w:rPr>
            </w:pPr>
            <w:r w:rsidRPr="005A6CE2">
              <w:rPr>
                <w:color w:val="000000"/>
                <w:sz w:val="16"/>
                <w:szCs w:val="16"/>
              </w:rPr>
              <w:t>0.811</w:t>
            </w:r>
          </w:p>
        </w:tc>
      </w:tr>
      <w:tr w:rsidR="00C80366" w:rsidRPr="005A6CE2" w14:paraId="6A2A953F" w14:textId="77777777" w:rsidTr="007674BE">
        <w:trPr>
          <w:trHeight w:val="159"/>
          <w:jc w:val="center"/>
        </w:trPr>
        <w:tc>
          <w:tcPr>
            <w:tcW w:w="1371" w:type="dxa"/>
            <w:vMerge w:val="restart"/>
            <w:tcBorders>
              <w:top w:val="nil"/>
              <w:left w:val="single" w:sz="8" w:space="0" w:color="auto"/>
              <w:bottom w:val="single" w:sz="8" w:space="0" w:color="000000"/>
              <w:right w:val="nil"/>
            </w:tcBorders>
            <w:vAlign w:val="center"/>
            <w:hideMark/>
          </w:tcPr>
          <w:p w14:paraId="03176C2D" w14:textId="77777777" w:rsidR="00C80366" w:rsidRPr="005A6CE2" w:rsidRDefault="00C80366" w:rsidP="007674BE">
            <w:pPr>
              <w:jc w:val="center"/>
              <w:rPr>
                <w:color w:val="000000"/>
                <w:sz w:val="16"/>
                <w:szCs w:val="16"/>
              </w:rPr>
            </w:pPr>
            <w:r w:rsidRPr="005A6CE2">
              <w:rPr>
                <w:color w:val="000000"/>
                <w:sz w:val="16"/>
                <w:szCs w:val="16"/>
              </w:rPr>
              <w:t>Service Delivery Innovation</w:t>
            </w:r>
          </w:p>
        </w:tc>
        <w:tc>
          <w:tcPr>
            <w:tcW w:w="1438" w:type="dxa"/>
            <w:vAlign w:val="center"/>
            <w:hideMark/>
          </w:tcPr>
          <w:p w14:paraId="349DAF66" w14:textId="77777777" w:rsidR="00C80366" w:rsidRPr="005A6CE2" w:rsidRDefault="00C80366" w:rsidP="007674BE">
            <w:pPr>
              <w:jc w:val="center"/>
              <w:rPr>
                <w:color w:val="000000"/>
                <w:sz w:val="16"/>
                <w:szCs w:val="16"/>
              </w:rPr>
            </w:pPr>
            <w:r w:rsidRPr="005A6CE2">
              <w:rPr>
                <w:color w:val="000000"/>
                <w:sz w:val="16"/>
                <w:szCs w:val="16"/>
              </w:rPr>
              <w:t>SDI3</w:t>
            </w:r>
          </w:p>
        </w:tc>
        <w:tc>
          <w:tcPr>
            <w:tcW w:w="1140" w:type="dxa"/>
            <w:tcBorders>
              <w:top w:val="nil"/>
              <w:left w:val="nil"/>
              <w:bottom w:val="nil"/>
              <w:right w:val="single" w:sz="8" w:space="0" w:color="auto"/>
            </w:tcBorders>
            <w:vAlign w:val="center"/>
            <w:hideMark/>
          </w:tcPr>
          <w:p w14:paraId="205EA69D" w14:textId="77777777" w:rsidR="00C80366" w:rsidRPr="005A6CE2" w:rsidRDefault="00C80366" w:rsidP="007674BE">
            <w:pPr>
              <w:jc w:val="center"/>
              <w:rPr>
                <w:color w:val="000000"/>
                <w:sz w:val="16"/>
                <w:szCs w:val="16"/>
              </w:rPr>
            </w:pPr>
            <w:r w:rsidRPr="005A6CE2">
              <w:rPr>
                <w:color w:val="000000"/>
                <w:sz w:val="16"/>
                <w:szCs w:val="16"/>
              </w:rPr>
              <w:t>0.837</w:t>
            </w:r>
          </w:p>
        </w:tc>
      </w:tr>
      <w:tr w:rsidR="00C80366" w:rsidRPr="005A6CE2" w14:paraId="6AAC5B3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7EAC8546" w14:textId="77777777" w:rsidR="00C80366" w:rsidRPr="005A6CE2" w:rsidRDefault="00C80366" w:rsidP="007674BE">
            <w:pPr>
              <w:rPr>
                <w:color w:val="000000"/>
                <w:sz w:val="16"/>
                <w:szCs w:val="16"/>
              </w:rPr>
            </w:pPr>
          </w:p>
        </w:tc>
        <w:tc>
          <w:tcPr>
            <w:tcW w:w="1438" w:type="dxa"/>
            <w:vAlign w:val="center"/>
            <w:hideMark/>
          </w:tcPr>
          <w:p w14:paraId="3B81C425" w14:textId="77777777" w:rsidR="00C80366" w:rsidRPr="005A6CE2" w:rsidRDefault="00C80366" w:rsidP="007674BE">
            <w:pPr>
              <w:jc w:val="center"/>
              <w:rPr>
                <w:color w:val="000000"/>
                <w:sz w:val="16"/>
                <w:szCs w:val="16"/>
              </w:rPr>
            </w:pPr>
            <w:r w:rsidRPr="005A6CE2">
              <w:rPr>
                <w:color w:val="000000"/>
                <w:sz w:val="16"/>
                <w:szCs w:val="16"/>
              </w:rPr>
              <w:t>SDI4</w:t>
            </w:r>
          </w:p>
        </w:tc>
        <w:tc>
          <w:tcPr>
            <w:tcW w:w="1140" w:type="dxa"/>
            <w:tcBorders>
              <w:top w:val="nil"/>
              <w:left w:val="nil"/>
              <w:bottom w:val="nil"/>
              <w:right w:val="single" w:sz="8" w:space="0" w:color="auto"/>
            </w:tcBorders>
            <w:vAlign w:val="center"/>
            <w:hideMark/>
          </w:tcPr>
          <w:p w14:paraId="7C4E80B3" w14:textId="77777777" w:rsidR="00C80366" w:rsidRPr="005A6CE2" w:rsidRDefault="00C80366" w:rsidP="007674BE">
            <w:pPr>
              <w:jc w:val="center"/>
              <w:rPr>
                <w:color w:val="000000"/>
                <w:sz w:val="16"/>
                <w:szCs w:val="16"/>
              </w:rPr>
            </w:pPr>
            <w:r w:rsidRPr="005A6CE2">
              <w:rPr>
                <w:color w:val="000000"/>
                <w:sz w:val="16"/>
                <w:szCs w:val="16"/>
              </w:rPr>
              <w:t>0.833</w:t>
            </w:r>
          </w:p>
        </w:tc>
      </w:tr>
      <w:tr w:rsidR="00C80366" w:rsidRPr="005A6CE2" w14:paraId="6539637E"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7135626A" w14:textId="77777777" w:rsidR="00C80366" w:rsidRPr="005A6CE2" w:rsidRDefault="00C80366" w:rsidP="007674BE">
            <w:pPr>
              <w:rPr>
                <w:color w:val="000000"/>
                <w:sz w:val="16"/>
                <w:szCs w:val="16"/>
              </w:rPr>
            </w:pPr>
          </w:p>
        </w:tc>
        <w:tc>
          <w:tcPr>
            <w:tcW w:w="1438" w:type="dxa"/>
            <w:vAlign w:val="center"/>
            <w:hideMark/>
          </w:tcPr>
          <w:p w14:paraId="280D773E" w14:textId="77777777" w:rsidR="00C80366" w:rsidRPr="005A6CE2" w:rsidRDefault="00C80366" w:rsidP="007674BE">
            <w:pPr>
              <w:jc w:val="center"/>
              <w:rPr>
                <w:color w:val="000000"/>
                <w:sz w:val="16"/>
                <w:szCs w:val="16"/>
              </w:rPr>
            </w:pPr>
            <w:r w:rsidRPr="005A6CE2">
              <w:rPr>
                <w:color w:val="000000"/>
                <w:sz w:val="16"/>
                <w:szCs w:val="16"/>
              </w:rPr>
              <w:t>SDI5</w:t>
            </w:r>
          </w:p>
        </w:tc>
        <w:tc>
          <w:tcPr>
            <w:tcW w:w="1140" w:type="dxa"/>
            <w:tcBorders>
              <w:top w:val="nil"/>
              <w:left w:val="nil"/>
              <w:bottom w:val="nil"/>
              <w:right w:val="single" w:sz="8" w:space="0" w:color="auto"/>
            </w:tcBorders>
            <w:vAlign w:val="center"/>
            <w:hideMark/>
          </w:tcPr>
          <w:p w14:paraId="27A44D62" w14:textId="77777777" w:rsidR="00C80366" w:rsidRPr="005A6CE2" w:rsidRDefault="00C80366" w:rsidP="007674BE">
            <w:pPr>
              <w:jc w:val="center"/>
              <w:rPr>
                <w:color w:val="000000"/>
                <w:sz w:val="16"/>
                <w:szCs w:val="16"/>
              </w:rPr>
            </w:pPr>
            <w:r w:rsidRPr="005A6CE2">
              <w:rPr>
                <w:color w:val="000000"/>
                <w:sz w:val="16"/>
                <w:szCs w:val="16"/>
              </w:rPr>
              <w:t>0.81</w:t>
            </w:r>
          </w:p>
        </w:tc>
      </w:tr>
      <w:tr w:rsidR="00C80366" w:rsidRPr="005A6CE2" w14:paraId="54E7D08E"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65AAD022" w14:textId="77777777" w:rsidR="00C80366" w:rsidRPr="005A6CE2" w:rsidRDefault="00C80366" w:rsidP="007674BE">
            <w:pPr>
              <w:rPr>
                <w:color w:val="000000"/>
                <w:sz w:val="16"/>
                <w:szCs w:val="16"/>
              </w:rPr>
            </w:pPr>
          </w:p>
        </w:tc>
        <w:tc>
          <w:tcPr>
            <w:tcW w:w="1438" w:type="dxa"/>
            <w:vAlign w:val="center"/>
            <w:hideMark/>
          </w:tcPr>
          <w:p w14:paraId="64FF8FC0" w14:textId="77777777" w:rsidR="00C80366" w:rsidRPr="005A6CE2" w:rsidRDefault="00C80366" w:rsidP="007674BE">
            <w:pPr>
              <w:jc w:val="center"/>
              <w:rPr>
                <w:color w:val="000000"/>
                <w:sz w:val="16"/>
                <w:szCs w:val="16"/>
              </w:rPr>
            </w:pPr>
            <w:r w:rsidRPr="005A6CE2">
              <w:rPr>
                <w:color w:val="000000"/>
                <w:sz w:val="16"/>
                <w:szCs w:val="16"/>
              </w:rPr>
              <w:t>SDI6</w:t>
            </w:r>
          </w:p>
        </w:tc>
        <w:tc>
          <w:tcPr>
            <w:tcW w:w="1140" w:type="dxa"/>
            <w:tcBorders>
              <w:top w:val="nil"/>
              <w:left w:val="nil"/>
              <w:bottom w:val="nil"/>
              <w:right w:val="single" w:sz="8" w:space="0" w:color="auto"/>
            </w:tcBorders>
            <w:vAlign w:val="center"/>
            <w:hideMark/>
          </w:tcPr>
          <w:p w14:paraId="3B3AAC11" w14:textId="77777777" w:rsidR="00C80366" w:rsidRPr="005A6CE2" w:rsidRDefault="00C80366" w:rsidP="007674BE">
            <w:pPr>
              <w:jc w:val="center"/>
              <w:rPr>
                <w:color w:val="000000"/>
                <w:sz w:val="16"/>
                <w:szCs w:val="16"/>
              </w:rPr>
            </w:pPr>
            <w:r w:rsidRPr="005A6CE2">
              <w:rPr>
                <w:color w:val="000000"/>
                <w:sz w:val="16"/>
                <w:szCs w:val="16"/>
              </w:rPr>
              <w:t>0.754</w:t>
            </w:r>
          </w:p>
        </w:tc>
      </w:tr>
      <w:tr w:rsidR="00C80366" w:rsidRPr="005A6CE2" w14:paraId="57AF6AFD"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5C38C342" w14:textId="77777777" w:rsidR="00C80366" w:rsidRPr="005A6CE2" w:rsidRDefault="00C80366" w:rsidP="007674BE">
            <w:pPr>
              <w:rPr>
                <w:color w:val="000000"/>
                <w:sz w:val="16"/>
                <w:szCs w:val="16"/>
              </w:rPr>
            </w:pPr>
          </w:p>
        </w:tc>
        <w:tc>
          <w:tcPr>
            <w:tcW w:w="1438" w:type="dxa"/>
            <w:vAlign w:val="center"/>
            <w:hideMark/>
          </w:tcPr>
          <w:p w14:paraId="08A7957E" w14:textId="77777777" w:rsidR="00C80366" w:rsidRPr="005A6CE2" w:rsidRDefault="00C80366" w:rsidP="007674BE">
            <w:pPr>
              <w:jc w:val="center"/>
              <w:rPr>
                <w:color w:val="000000"/>
                <w:sz w:val="16"/>
                <w:szCs w:val="16"/>
              </w:rPr>
            </w:pPr>
            <w:r w:rsidRPr="005A6CE2">
              <w:rPr>
                <w:color w:val="000000"/>
                <w:sz w:val="16"/>
                <w:szCs w:val="16"/>
              </w:rPr>
              <w:t>SDI7</w:t>
            </w:r>
          </w:p>
        </w:tc>
        <w:tc>
          <w:tcPr>
            <w:tcW w:w="1140" w:type="dxa"/>
            <w:tcBorders>
              <w:top w:val="nil"/>
              <w:left w:val="nil"/>
              <w:bottom w:val="nil"/>
              <w:right w:val="single" w:sz="8" w:space="0" w:color="auto"/>
            </w:tcBorders>
            <w:vAlign w:val="center"/>
            <w:hideMark/>
          </w:tcPr>
          <w:p w14:paraId="201EC670" w14:textId="77777777" w:rsidR="00C80366" w:rsidRPr="005A6CE2" w:rsidRDefault="00C80366" w:rsidP="007674BE">
            <w:pPr>
              <w:jc w:val="center"/>
              <w:rPr>
                <w:color w:val="000000"/>
                <w:sz w:val="16"/>
                <w:szCs w:val="16"/>
              </w:rPr>
            </w:pPr>
            <w:r w:rsidRPr="005A6CE2">
              <w:rPr>
                <w:color w:val="000000"/>
                <w:sz w:val="16"/>
                <w:szCs w:val="16"/>
              </w:rPr>
              <w:t>0.807</w:t>
            </w:r>
          </w:p>
        </w:tc>
      </w:tr>
      <w:tr w:rsidR="00C80366" w:rsidRPr="005A6CE2" w14:paraId="5D6A221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7FA83D81" w14:textId="77777777" w:rsidR="00C80366" w:rsidRPr="005A6CE2" w:rsidRDefault="00C80366" w:rsidP="007674BE">
            <w:pPr>
              <w:rPr>
                <w:color w:val="000000"/>
                <w:sz w:val="16"/>
                <w:szCs w:val="16"/>
              </w:rPr>
            </w:pPr>
          </w:p>
        </w:tc>
        <w:tc>
          <w:tcPr>
            <w:tcW w:w="1438" w:type="dxa"/>
            <w:vAlign w:val="center"/>
            <w:hideMark/>
          </w:tcPr>
          <w:p w14:paraId="744C76A5" w14:textId="77777777" w:rsidR="00C80366" w:rsidRPr="005A6CE2" w:rsidRDefault="00C80366" w:rsidP="007674BE">
            <w:pPr>
              <w:jc w:val="center"/>
              <w:rPr>
                <w:color w:val="000000"/>
                <w:sz w:val="16"/>
                <w:szCs w:val="16"/>
              </w:rPr>
            </w:pPr>
            <w:r w:rsidRPr="005A6CE2">
              <w:rPr>
                <w:color w:val="000000"/>
                <w:sz w:val="16"/>
                <w:szCs w:val="16"/>
              </w:rPr>
              <w:t>SDI8</w:t>
            </w:r>
          </w:p>
        </w:tc>
        <w:tc>
          <w:tcPr>
            <w:tcW w:w="1140" w:type="dxa"/>
            <w:tcBorders>
              <w:top w:val="nil"/>
              <w:left w:val="nil"/>
              <w:bottom w:val="nil"/>
              <w:right w:val="single" w:sz="8" w:space="0" w:color="auto"/>
            </w:tcBorders>
            <w:vAlign w:val="center"/>
            <w:hideMark/>
          </w:tcPr>
          <w:p w14:paraId="347090A7" w14:textId="77777777" w:rsidR="00C80366" w:rsidRPr="005A6CE2" w:rsidRDefault="00C80366" w:rsidP="007674BE">
            <w:pPr>
              <w:jc w:val="center"/>
              <w:rPr>
                <w:color w:val="000000"/>
                <w:sz w:val="16"/>
                <w:szCs w:val="16"/>
              </w:rPr>
            </w:pPr>
            <w:r w:rsidRPr="005A6CE2">
              <w:rPr>
                <w:color w:val="000000"/>
                <w:sz w:val="16"/>
                <w:szCs w:val="16"/>
              </w:rPr>
              <w:t>0.688</w:t>
            </w:r>
          </w:p>
        </w:tc>
      </w:tr>
      <w:tr w:rsidR="00C80366" w:rsidRPr="005A6CE2" w14:paraId="2628AFFC"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4BABD5BB" w14:textId="77777777" w:rsidR="00C80366" w:rsidRPr="005A6CE2" w:rsidRDefault="00C80366" w:rsidP="007674BE">
            <w:pPr>
              <w:rPr>
                <w:color w:val="000000"/>
                <w:sz w:val="16"/>
                <w:szCs w:val="16"/>
              </w:rPr>
            </w:pPr>
          </w:p>
        </w:tc>
        <w:tc>
          <w:tcPr>
            <w:tcW w:w="1438" w:type="dxa"/>
            <w:vAlign w:val="center"/>
            <w:hideMark/>
          </w:tcPr>
          <w:p w14:paraId="1A3331F0" w14:textId="77777777" w:rsidR="00C80366" w:rsidRPr="005A6CE2" w:rsidRDefault="00C80366" w:rsidP="007674BE">
            <w:pPr>
              <w:jc w:val="center"/>
              <w:rPr>
                <w:color w:val="000000"/>
                <w:sz w:val="16"/>
                <w:szCs w:val="16"/>
              </w:rPr>
            </w:pPr>
            <w:r w:rsidRPr="005A6CE2">
              <w:rPr>
                <w:color w:val="000000"/>
                <w:sz w:val="16"/>
                <w:szCs w:val="16"/>
              </w:rPr>
              <w:t>SDI9</w:t>
            </w:r>
          </w:p>
        </w:tc>
        <w:tc>
          <w:tcPr>
            <w:tcW w:w="1140" w:type="dxa"/>
            <w:tcBorders>
              <w:top w:val="nil"/>
              <w:left w:val="nil"/>
              <w:bottom w:val="nil"/>
              <w:right w:val="single" w:sz="8" w:space="0" w:color="auto"/>
            </w:tcBorders>
            <w:vAlign w:val="center"/>
            <w:hideMark/>
          </w:tcPr>
          <w:p w14:paraId="390F9735" w14:textId="77777777" w:rsidR="00C80366" w:rsidRPr="005A6CE2" w:rsidRDefault="00C80366" w:rsidP="007674BE">
            <w:pPr>
              <w:jc w:val="center"/>
              <w:rPr>
                <w:color w:val="000000"/>
                <w:sz w:val="16"/>
                <w:szCs w:val="16"/>
              </w:rPr>
            </w:pPr>
            <w:r w:rsidRPr="005A6CE2">
              <w:rPr>
                <w:color w:val="000000"/>
                <w:sz w:val="16"/>
                <w:szCs w:val="16"/>
              </w:rPr>
              <w:t>0.704</w:t>
            </w:r>
          </w:p>
        </w:tc>
      </w:tr>
      <w:tr w:rsidR="00C80366" w:rsidRPr="005A6CE2" w14:paraId="1C46B401" w14:textId="77777777" w:rsidTr="007674BE">
        <w:trPr>
          <w:trHeight w:val="167"/>
          <w:jc w:val="center"/>
        </w:trPr>
        <w:tc>
          <w:tcPr>
            <w:tcW w:w="0" w:type="auto"/>
            <w:vMerge/>
            <w:tcBorders>
              <w:top w:val="nil"/>
              <w:left w:val="single" w:sz="8" w:space="0" w:color="auto"/>
              <w:bottom w:val="single" w:sz="8" w:space="0" w:color="000000"/>
              <w:right w:val="nil"/>
            </w:tcBorders>
            <w:vAlign w:val="center"/>
            <w:hideMark/>
          </w:tcPr>
          <w:p w14:paraId="01F42753" w14:textId="77777777" w:rsidR="00C80366" w:rsidRPr="005A6CE2" w:rsidRDefault="00C80366" w:rsidP="007674BE">
            <w:pPr>
              <w:rPr>
                <w:color w:val="000000"/>
                <w:sz w:val="16"/>
                <w:szCs w:val="16"/>
              </w:rPr>
            </w:pPr>
          </w:p>
        </w:tc>
        <w:tc>
          <w:tcPr>
            <w:tcW w:w="1438" w:type="dxa"/>
            <w:tcBorders>
              <w:top w:val="nil"/>
              <w:left w:val="nil"/>
              <w:bottom w:val="single" w:sz="8" w:space="0" w:color="auto"/>
              <w:right w:val="nil"/>
            </w:tcBorders>
            <w:vAlign w:val="center"/>
            <w:hideMark/>
          </w:tcPr>
          <w:p w14:paraId="0E95474A" w14:textId="77777777" w:rsidR="00C80366" w:rsidRPr="005A6CE2" w:rsidRDefault="00C80366" w:rsidP="007674BE">
            <w:pPr>
              <w:jc w:val="center"/>
              <w:rPr>
                <w:color w:val="000000"/>
                <w:sz w:val="16"/>
                <w:szCs w:val="16"/>
              </w:rPr>
            </w:pPr>
            <w:r w:rsidRPr="005A6CE2">
              <w:rPr>
                <w:color w:val="000000"/>
                <w:sz w:val="16"/>
                <w:szCs w:val="16"/>
              </w:rPr>
              <w:t>SDI10</w:t>
            </w:r>
          </w:p>
        </w:tc>
        <w:tc>
          <w:tcPr>
            <w:tcW w:w="1140" w:type="dxa"/>
            <w:tcBorders>
              <w:top w:val="nil"/>
              <w:left w:val="nil"/>
              <w:bottom w:val="single" w:sz="8" w:space="0" w:color="auto"/>
              <w:right w:val="single" w:sz="8" w:space="0" w:color="auto"/>
            </w:tcBorders>
            <w:vAlign w:val="center"/>
            <w:hideMark/>
          </w:tcPr>
          <w:p w14:paraId="0FDC94D7" w14:textId="77777777" w:rsidR="00C80366" w:rsidRPr="005A6CE2" w:rsidRDefault="00C80366" w:rsidP="007674BE">
            <w:pPr>
              <w:jc w:val="center"/>
              <w:rPr>
                <w:color w:val="000000"/>
                <w:sz w:val="16"/>
                <w:szCs w:val="16"/>
              </w:rPr>
            </w:pPr>
            <w:r w:rsidRPr="005A6CE2">
              <w:rPr>
                <w:color w:val="000000"/>
                <w:sz w:val="16"/>
                <w:szCs w:val="16"/>
              </w:rPr>
              <w:t>0.744</w:t>
            </w:r>
          </w:p>
        </w:tc>
      </w:tr>
      <w:tr w:rsidR="00C80366" w:rsidRPr="005A6CE2" w14:paraId="62E03D1C" w14:textId="77777777" w:rsidTr="007674BE">
        <w:trPr>
          <w:trHeight w:val="159"/>
          <w:jc w:val="center"/>
        </w:trPr>
        <w:tc>
          <w:tcPr>
            <w:tcW w:w="1371" w:type="dxa"/>
            <w:vMerge w:val="restart"/>
            <w:tcBorders>
              <w:top w:val="nil"/>
              <w:left w:val="single" w:sz="8" w:space="0" w:color="auto"/>
              <w:bottom w:val="single" w:sz="8" w:space="0" w:color="000000"/>
              <w:right w:val="nil"/>
            </w:tcBorders>
            <w:vAlign w:val="center"/>
            <w:hideMark/>
          </w:tcPr>
          <w:p w14:paraId="5F74512B" w14:textId="77777777" w:rsidR="00C80366" w:rsidRPr="005A6CE2" w:rsidRDefault="00C80366" w:rsidP="007674BE">
            <w:pPr>
              <w:jc w:val="center"/>
              <w:rPr>
                <w:color w:val="000000"/>
                <w:sz w:val="16"/>
                <w:szCs w:val="16"/>
              </w:rPr>
            </w:pPr>
            <w:r w:rsidRPr="005A6CE2">
              <w:rPr>
                <w:color w:val="000000"/>
                <w:sz w:val="16"/>
                <w:szCs w:val="16"/>
              </w:rPr>
              <w:t>Customer Satisfaction</w:t>
            </w:r>
          </w:p>
        </w:tc>
        <w:tc>
          <w:tcPr>
            <w:tcW w:w="1438" w:type="dxa"/>
            <w:vAlign w:val="center"/>
            <w:hideMark/>
          </w:tcPr>
          <w:p w14:paraId="0C5AD16A" w14:textId="77777777" w:rsidR="00C80366" w:rsidRPr="005A6CE2" w:rsidRDefault="00C80366" w:rsidP="007674BE">
            <w:pPr>
              <w:jc w:val="center"/>
              <w:rPr>
                <w:color w:val="000000"/>
                <w:sz w:val="16"/>
                <w:szCs w:val="16"/>
              </w:rPr>
            </w:pPr>
            <w:r w:rsidRPr="005A6CE2">
              <w:rPr>
                <w:color w:val="000000"/>
                <w:sz w:val="16"/>
                <w:szCs w:val="16"/>
              </w:rPr>
              <w:t>CS1</w:t>
            </w:r>
          </w:p>
        </w:tc>
        <w:tc>
          <w:tcPr>
            <w:tcW w:w="1140" w:type="dxa"/>
            <w:tcBorders>
              <w:top w:val="nil"/>
              <w:left w:val="nil"/>
              <w:bottom w:val="nil"/>
              <w:right w:val="single" w:sz="8" w:space="0" w:color="auto"/>
            </w:tcBorders>
            <w:vAlign w:val="center"/>
            <w:hideMark/>
          </w:tcPr>
          <w:p w14:paraId="13208D7A" w14:textId="77777777" w:rsidR="00C80366" w:rsidRPr="005A6CE2" w:rsidRDefault="00C80366" w:rsidP="007674BE">
            <w:pPr>
              <w:jc w:val="center"/>
              <w:rPr>
                <w:color w:val="000000"/>
                <w:sz w:val="16"/>
                <w:szCs w:val="16"/>
              </w:rPr>
            </w:pPr>
            <w:r w:rsidRPr="005A6CE2">
              <w:rPr>
                <w:color w:val="000000"/>
                <w:sz w:val="16"/>
                <w:szCs w:val="16"/>
              </w:rPr>
              <w:t>0.855</w:t>
            </w:r>
          </w:p>
        </w:tc>
      </w:tr>
      <w:tr w:rsidR="00C80366" w:rsidRPr="005A6CE2" w14:paraId="0DDADF35"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4F95596D" w14:textId="77777777" w:rsidR="00C80366" w:rsidRPr="005A6CE2" w:rsidRDefault="00C80366" w:rsidP="007674BE">
            <w:pPr>
              <w:rPr>
                <w:color w:val="000000"/>
                <w:sz w:val="16"/>
                <w:szCs w:val="16"/>
              </w:rPr>
            </w:pPr>
          </w:p>
        </w:tc>
        <w:tc>
          <w:tcPr>
            <w:tcW w:w="1438" w:type="dxa"/>
            <w:vAlign w:val="center"/>
            <w:hideMark/>
          </w:tcPr>
          <w:p w14:paraId="2F9486E9" w14:textId="77777777" w:rsidR="00C80366" w:rsidRPr="005A6CE2" w:rsidRDefault="00C80366" w:rsidP="007674BE">
            <w:pPr>
              <w:jc w:val="center"/>
              <w:rPr>
                <w:color w:val="000000"/>
                <w:sz w:val="16"/>
                <w:szCs w:val="16"/>
              </w:rPr>
            </w:pPr>
            <w:r w:rsidRPr="005A6CE2">
              <w:rPr>
                <w:color w:val="000000"/>
                <w:sz w:val="16"/>
                <w:szCs w:val="16"/>
              </w:rPr>
              <w:t>CS2</w:t>
            </w:r>
          </w:p>
        </w:tc>
        <w:tc>
          <w:tcPr>
            <w:tcW w:w="1140" w:type="dxa"/>
            <w:tcBorders>
              <w:top w:val="nil"/>
              <w:left w:val="nil"/>
              <w:bottom w:val="nil"/>
              <w:right w:val="single" w:sz="8" w:space="0" w:color="auto"/>
            </w:tcBorders>
            <w:vAlign w:val="center"/>
            <w:hideMark/>
          </w:tcPr>
          <w:p w14:paraId="70086A17" w14:textId="77777777" w:rsidR="00C80366" w:rsidRPr="005A6CE2" w:rsidRDefault="00C80366" w:rsidP="007674BE">
            <w:pPr>
              <w:jc w:val="center"/>
              <w:rPr>
                <w:color w:val="000000"/>
                <w:sz w:val="16"/>
                <w:szCs w:val="16"/>
              </w:rPr>
            </w:pPr>
            <w:r w:rsidRPr="005A6CE2">
              <w:rPr>
                <w:color w:val="000000"/>
                <w:sz w:val="16"/>
                <w:szCs w:val="16"/>
              </w:rPr>
              <w:t>0.833</w:t>
            </w:r>
          </w:p>
        </w:tc>
      </w:tr>
      <w:tr w:rsidR="00C80366" w:rsidRPr="005A6CE2" w14:paraId="6F645CA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20B1A8A2" w14:textId="77777777" w:rsidR="00C80366" w:rsidRPr="005A6CE2" w:rsidRDefault="00C80366" w:rsidP="007674BE">
            <w:pPr>
              <w:rPr>
                <w:color w:val="000000"/>
                <w:sz w:val="16"/>
                <w:szCs w:val="16"/>
              </w:rPr>
            </w:pPr>
          </w:p>
        </w:tc>
        <w:tc>
          <w:tcPr>
            <w:tcW w:w="1438" w:type="dxa"/>
            <w:vAlign w:val="center"/>
            <w:hideMark/>
          </w:tcPr>
          <w:p w14:paraId="5A9F010D" w14:textId="77777777" w:rsidR="00C80366" w:rsidRPr="005A6CE2" w:rsidRDefault="00C80366" w:rsidP="007674BE">
            <w:pPr>
              <w:jc w:val="center"/>
              <w:rPr>
                <w:color w:val="000000"/>
                <w:sz w:val="16"/>
                <w:szCs w:val="16"/>
              </w:rPr>
            </w:pPr>
            <w:r w:rsidRPr="005A6CE2">
              <w:rPr>
                <w:color w:val="000000"/>
                <w:sz w:val="16"/>
                <w:szCs w:val="16"/>
              </w:rPr>
              <w:t>CS3</w:t>
            </w:r>
          </w:p>
        </w:tc>
        <w:tc>
          <w:tcPr>
            <w:tcW w:w="1140" w:type="dxa"/>
            <w:tcBorders>
              <w:top w:val="nil"/>
              <w:left w:val="nil"/>
              <w:bottom w:val="nil"/>
              <w:right w:val="single" w:sz="8" w:space="0" w:color="auto"/>
            </w:tcBorders>
            <w:vAlign w:val="center"/>
            <w:hideMark/>
          </w:tcPr>
          <w:p w14:paraId="20F84463" w14:textId="77777777" w:rsidR="00C80366" w:rsidRPr="005A6CE2" w:rsidRDefault="00C80366" w:rsidP="007674BE">
            <w:pPr>
              <w:jc w:val="center"/>
              <w:rPr>
                <w:color w:val="000000"/>
                <w:sz w:val="16"/>
                <w:szCs w:val="16"/>
              </w:rPr>
            </w:pPr>
            <w:r w:rsidRPr="005A6CE2">
              <w:rPr>
                <w:color w:val="000000"/>
                <w:sz w:val="16"/>
                <w:szCs w:val="16"/>
              </w:rPr>
              <w:t>0.861</w:t>
            </w:r>
          </w:p>
        </w:tc>
      </w:tr>
      <w:tr w:rsidR="00C80366" w:rsidRPr="005A6CE2" w14:paraId="1ECB09A9"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784493CA" w14:textId="77777777" w:rsidR="00C80366" w:rsidRPr="005A6CE2" w:rsidRDefault="00C80366" w:rsidP="007674BE">
            <w:pPr>
              <w:rPr>
                <w:color w:val="000000"/>
                <w:sz w:val="16"/>
                <w:szCs w:val="16"/>
              </w:rPr>
            </w:pPr>
          </w:p>
        </w:tc>
        <w:tc>
          <w:tcPr>
            <w:tcW w:w="1438" w:type="dxa"/>
            <w:vAlign w:val="center"/>
            <w:hideMark/>
          </w:tcPr>
          <w:p w14:paraId="79E6B413" w14:textId="77777777" w:rsidR="00C80366" w:rsidRPr="005A6CE2" w:rsidRDefault="00C80366" w:rsidP="007674BE">
            <w:pPr>
              <w:jc w:val="center"/>
              <w:rPr>
                <w:color w:val="000000"/>
                <w:sz w:val="16"/>
                <w:szCs w:val="16"/>
              </w:rPr>
            </w:pPr>
            <w:r w:rsidRPr="005A6CE2">
              <w:rPr>
                <w:color w:val="000000"/>
                <w:sz w:val="16"/>
                <w:szCs w:val="16"/>
              </w:rPr>
              <w:t>CS4</w:t>
            </w:r>
          </w:p>
        </w:tc>
        <w:tc>
          <w:tcPr>
            <w:tcW w:w="1140" w:type="dxa"/>
            <w:tcBorders>
              <w:top w:val="nil"/>
              <w:left w:val="nil"/>
              <w:bottom w:val="nil"/>
              <w:right w:val="single" w:sz="8" w:space="0" w:color="auto"/>
            </w:tcBorders>
            <w:vAlign w:val="center"/>
            <w:hideMark/>
          </w:tcPr>
          <w:p w14:paraId="22973B4F" w14:textId="77777777" w:rsidR="00C80366" w:rsidRPr="005A6CE2" w:rsidRDefault="00C80366" w:rsidP="007674BE">
            <w:pPr>
              <w:jc w:val="center"/>
              <w:rPr>
                <w:color w:val="000000"/>
                <w:sz w:val="16"/>
                <w:szCs w:val="16"/>
              </w:rPr>
            </w:pPr>
            <w:r w:rsidRPr="005A6CE2">
              <w:rPr>
                <w:color w:val="000000"/>
                <w:sz w:val="16"/>
                <w:szCs w:val="16"/>
              </w:rPr>
              <w:t>0.88</w:t>
            </w:r>
          </w:p>
        </w:tc>
      </w:tr>
      <w:tr w:rsidR="00C80366" w:rsidRPr="005A6CE2" w14:paraId="14A6CC90" w14:textId="77777777" w:rsidTr="007674BE">
        <w:trPr>
          <w:trHeight w:val="167"/>
          <w:jc w:val="center"/>
        </w:trPr>
        <w:tc>
          <w:tcPr>
            <w:tcW w:w="0" w:type="auto"/>
            <w:vMerge/>
            <w:tcBorders>
              <w:top w:val="nil"/>
              <w:left w:val="single" w:sz="8" w:space="0" w:color="auto"/>
              <w:bottom w:val="single" w:sz="8" w:space="0" w:color="000000"/>
              <w:right w:val="nil"/>
            </w:tcBorders>
            <w:vAlign w:val="center"/>
            <w:hideMark/>
          </w:tcPr>
          <w:p w14:paraId="6E3E6891" w14:textId="77777777" w:rsidR="00C80366" w:rsidRPr="005A6CE2" w:rsidRDefault="00C80366" w:rsidP="007674BE">
            <w:pPr>
              <w:rPr>
                <w:color w:val="000000"/>
                <w:sz w:val="16"/>
                <w:szCs w:val="16"/>
              </w:rPr>
            </w:pPr>
          </w:p>
        </w:tc>
        <w:tc>
          <w:tcPr>
            <w:tcW w:w="1438" w:type="dxa"/>
            <w:tcBorders>
              <w:top w:val="nil"/>
              <w:left w:val="nil"/>
              <w:bottom w:val="single" w:sz="8" w:space="0" w:color="auto"/>
              <w:right w:val="nil"/>
            </w:tcBorders>
            <w:vAlign w:val="center"/>
            <w:hideMark/>
          </w:tcPr>
          <w:p w14:paraId="6B3E6A26" w14:textId="77777777" w:rsidR="00C80366" w:rsidRPr="005A6CE2" w:rsidRDefault="00C80366" w:rsidP="007674BE">
            <w:pPr>
              <w:jc w:val="center"/>
              <w:rPr>
                <w:color w:val="000000"/>
                <w:sz w:val="16"/>
                <w:szCs w:val="16"/>
              </w:rPr>
            </w:pPr>
            <w:r w:rsidRPr="005A6CE2">
              <w:rPr>
                <w:color w:val="000000"/>
                <w:sz w:val="16"/>
                <w:szCs w:val="16"/>
              </w:rPr>
              <w:t>CS5</w:t>
            </w:r>
          </w:p>
        </w:tc>
        <w:tc>
          <w:tcPr>
            <w:tcW w:w="1140" w:type="dxa"/>
            <w:tcBorders>
              <w:top w:val="nil"/>
              <w:left w:val="nil"/>
              <w:bottom w:val="single" w:sz="8" w:space="0" w:color="auto"/>
              <w:right w:val="single" w:sz="8" w:space="0" w:color="auto"/>
            </w:tcBorders>
            <w:vAlign w:val="center"/>
            <w:hideMark/>
          </w:tcPr>
          <w:p w14:paraId="547B2E29" w14:textId="77777777" w:rsidR="00C80366" w:rsidRPr="005A6CE2" w:rsidRDefault="00C80366" w:rsidP="007674BE">
            <w:pPr>
              <w:jc w:val="center"/>
              <w:rPr>
                <w:color w:val="000000"/>
                <w:sz w:val="16"/>
                <w:szCs w:val="16"/>
              </w:rPr>
            </w:pPr>
            <w:r w:rsidRPr="005A6CE2">
              <w:rPr>
                <w:color w:val="000000"/>
                <w:sz w:val="16"/>
                <w:szCs w:val="16"/>
              </w:rPr>
              <w:t>0.787</w:t>
            </w:r>
          </w:p>
        </w:tc>
      </w:tr>
      <w:tr w:rsidR="00C80366" w:rsidRPr="005A6CE2" w14:paraId="60710785" w14:textId="77777777" w:rsidTr="007674BE">
        <w:trPr>
          <w:trHeight w:val="159"/>
          <w:jc w:val="center"/>
        </w:trPr>
        <w:tc>
          <w:tcPr>
            <w:tcW w:w="1371" w:type="dxa"/>
            <w:vMerge w:val="restart"/>
            <w:tcBorders>
              <w:top w:val="nil"/>
              <w:left w:val="single" w:sz="8" w:space="0" w:color="auto"/>
              <w:bottom w:val="single" w:sz="8" w:space="0" w:color="000000"/>
              <w:right w:val="nil"/>
            </w:tcBorders>
            <w:vAlign w:val="center"/>
            <w:hideMark/>
          </w:tcPr>
          <w:p w14:paraId="5E0278D7" w14:textId="77777777" w:rsidR="00C80366" w:rsidRPr="005A6CE2" w:rsidRDefault="00C80366" w:rsidP="007674BE">
            <w:pPr>
              <w:jc w:val="center"/>
              <w:rPr>
                <w:color w:val="000000"/>
                <w:sz w:val="16"/>
                <w:szCs w:val="16"/>
              </w:rPr>
            </w:pPr>
            <w:r w:rsidRPr="005A6CE2">
              <w:rPr>
                <w:color w:val="000000"/>
                <w:sz w:val="16"/>
                <w:szCs w:val="16"/>
              </w:rPr>
              <w:t>Customer Loyalty</w:t>
            </w:r>
          </w:p>
        </w:tc>
        <w:tc>
          <w:tcPr>
            <w:tcW w:w="1438" w:type="dxa"/>
            <w:hideMark/>
          </w:tcPr>
          <w:p w14:paraId="1FE2C9B7" w14:textId="77777777" w:rsidR="00C80366" w:rsidRPr="005A6CE2" w:rsidRDefault="00C80366" w:rsidP="007674BE">
            <w:pPr>
              <w:jc w:val="center"/>
              <w:rPr>
                <w:color w:val="000000"/>
                <w:sz w:val="16"/>
                <w:szCs w:val="16"/>
              </w:rPr>
            </w:pPr>
            <w:r w:rsidRPr="005A6CE2">
              <w:rPr>
                <w:color w:val="000000"/>
                <w:sz w:val="16"/>
                <w:szCs w:val="16"/>
              </w:rPr>
              <w:t>CL2</w:t>
            </w:r>
          </w:p>
        </w:tc>
        <w:tc>
          <w:tcPr>
            <w:tcW w:w="1140" w:type="dxa"/>
            <w:tcBorders>
              <w:top w:val="nil"/>
              <w:left w:val="nil"/>
              <w:bottom w:val="nil"/>
              <w:right w:val="single" w:sz="8" w:space="0" w:color="auto"/>
            </w:tcBorders>
            <w:hideMark/>
          </w:tcPr>
          <w:p w14:paraId="5A6143C0" w14:textId="77777777" w:rsidR="00C80366" w:rsidRPr="005A6CE2" w:rsidRDefault="00C80366" w:rsidP="007674BE">
            <w:pPr>
              <w:jc w:val="center"/>
              <w:rPr>
                <w:color w:val="000000"/>
                <w:sz w:val="16"/>
                <w:szCs w:val="16"/>
              </w:rPr>
            </w:pPr>
            <w:r w:rsidRPr="005A6CE2">
              <w:rPr>
                <w:color w:val="000000"/>
                <w:sz w:val="16"/>
                <w:szCs w:val="16"/>
              </w:rPr>
              <w:t>0.762</w:t>
            </w:r>
          </w:p>
        </w:tc>
      </w:tr>
      <w:tr w:rsidR="00C80366" w:rsidRPr="005A6CE2" w14:paraId="7025623C"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6B3A734C" w14:textId="77777777" w:rsidR="00C80366" w:rsidRPr="005A6CE2" w:rsidRDefault="00C80366" w:rsidP="007674BE">
            <w:pPr>
              <w:rPr>
                <w:color w:val="000000"/>
                <w:sz w:val="16"/>
                <w:szCs w:val="16"/>
              </w:rPr>
            </w:pPr>
          </w:p>
        </w:tc>
        <w:tc>
          <w:tcPr>
            <w:tcW w:w="1438" w:type="dxa"/>
            <w:hideMark/>
          </w:tcPr>
          <w:p w14:paraId="3C661FB9" w14:textId="77777777" w:rsidR="00C80366" w:rsidRPr="005A6CE2" w:rsidRDefault="00C80366" w:rsidP="007674BE">
            <w:pPr>
              <w:jc w:val="center"/>
              <w:rPr>
                <w:color w:val="000000"/>
                <w:sz w:val="16"/>
                <w:szCs w:val="16"/>
              </w:rPr>
            </w:pPr>
            <w:r w:rsidRPr="005A6CE2">
              <w:rPr>
                <w:color w:val="000000"/>
                <w:sz w:val="16"/>
                <w:szCs w:val="16"/>
              </w:rPr>
              <w:t>CL3</w:t>
            </w:r>
          </w:p>
        </w:tc>
        <w:tc>
          <w:tcPr>
            <w:tcW w:w="1140" w:type="dxa"/>
            <w:tcBorders>
              <w:top w:val="nil"/>
              <w:left w:val="nil"/>
              <w:bottom w:val="nil"/>
              <w:right w:val="single" w:sz="8" w:space="0" w:color="auto"/>
            </w:tcBorders>
            <w:hideMark/>
          </w:tcPr>
          <w:p w14:paraId="34DBD273" w14:textId="77777777" w:rsidR="00C80366" w:rsidRPr="005A6CE2" w:rsidRDefault="00C80366" w:rsidP="007674BE">
            <w:pPr>
              <w:jc w:val="center"/>
              <w:rPr>
                <w:color w:val="000000"/>
                <w:sz w:val="16"/>
                <w:szCs w:val="16"/>
              </w:rPr>
            </w:pPr>
            <w:r w:rsidRPr="005A6CE2">
              <w:rPr>
                <w:color w:val="000000"/>
                <w:sz w:val="16"/>
                <w:szCs w:val="16"/>
              </w:rPr>
              <w:t>0.826</w:t>
            </w:r>
          </w:p>
        </w:tc>
      </w:tr>
      <w:tr w:rsidR="00C80366" w:rsidRPr="005A6CE2" w14:paraId="2153CC7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65369D8B" w14:textId="77777777" w:rsidR="00C80366" w:rsidRPr="005A6CE2" w:rsidRDefault="00C80366" w:rsidP="007674BE">
            <w:pPr>
              <w:rPr>
                <w:color w:val="000000"/>
                <w:sz w:val="16"/>
                <w:szCs w:val="16"/>
              </w:rPr>
            </w:pPr>
          </w:p>
        </w:tc>
        <w:tc>
          <w:tcPr>
            <w:tcW w:w="1438" w:type="dxa"/>
            <w:hideMark/>
          </w:tcPr>
          <w:p w14:paraId="7B46C02C" w14:textId="77777777" w:rsidR="00C80366" w:rsidRPr="005A6CE2" w:rsidRDefault="00C80366" w:rsidP="007674BE">
            <w:pPr>
              <w:jc w:val="center"/>
              <w:rPr>
                <w:color w:val="000000"/>
                <w:sz w:val="16"/>
                <w:szCs w:val="16"/>
              </w:rPr>
            </w:pPr>
            <w:r w:rsidRPr="005A6CE2">
              <w:rPr>
                <w:color w:val="000000"/>
                <w:sz w:val="16"/>
                <w:szCs w:val="16"/>
              </w:rPr>
              <w:t>CL4</w:t>
            </w:r>
          </w:p>
        </w:tc>
        <w:tc>
          <w:tcPr>
            <w:tcW w:w="1140" w:type="dxa"/>
            <w:tcBorders>
              <w:top w:val="nil"/>
              <w:left w:val="nil"/>
              <w:bottom w:val="nil"/>
              <w:right w:val="single" w:sz="8" w:space="0" w:color="auto"/>
            </w:tcBorders>
            <w:hideMark/>
          </w:tcPr>
          <w:p w14:paraId="644760A7" w14:textId="77777777" w:rsidR="00C80366" w:rsidRPr="005A6CE2" w:rsidRDefault="00C80366" w:rsidP="007674BE">
            <w:pPr>
              <w:jc w:val="center"/>
              <w:rPr>
                <w:color w:val="000000"/>
                <w:sz w:val="16"/>
                <w:szCs w:val="16"/>
              </w:rPr>
            </w:pPr>
            <w:r w:rsidRPr="005A6CE2">
              <w:rPr>
                <w:color w:val="000000"/>
                <w:sz w:val="16"/>
                <w:szCs w:val="16"/>
              </w:rPr>
              <w:t>0.826</w:t>
            </w:r>
          </w:p>
        </w:tc>
      </w:tr>
      <w:tr w:rsidR="00C80366" w:rsidRPr="005A6CE2" w14:paraId="2DEF61DF"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26D8F835" w14:textId="77777777" w:rsidR="00C80366" w:rsidRPr="005A6CE2" w:rsidRDefault="00C80366" w:rsidP="007674BE">
            <w:pPr>
              <w:rPr>
                <w:color w:val="000000"/>
                <w:sz w:val="16"/>
                <w:szCs w:val="16"/>
              </w:rPr>
            </w:pPr>
          </w:p>
        </w:tc>
        <w:tc>
          <w:tcPr>
            <w:tcW w:w="1438" w:type="dxa"/>
            <w:hideMark/>
          </w:tcPr>
          <w:p w14:paraId="6CB6DB73" w14:textId="77777777" w:rsidR="00C80366" w:rsidRPr="005A6CE2" w:rsidRDefault="00C80366" w:rsidP="007674BE">
            <w:pPr>
              <w:jc w:val="center"/>
              <w:rPr>
                <w:color w:val="000000"/>
                <w:sz w:val="16"/>
                <w:szCs w:val="16"/>
              </w:rPr>
            </w:pPr>
            <w:r w:rsidRPr="005A6CE2">
              <w:rPr>
                <w:color w:val="000000"/>
                <w:sz w:val="16"/>
                <w:szCs w:val="16"/>
              </w:rPr>
              <w:t>CL5</w:t>
            </w:r>
          </w:p>
        </w:tc>
        <w:tc>
          <w:tcPr>
            <w:tcW w:w="1140" w:type="dxa"/>
            <w:tcBorders>
              <w:top w:val="nil"/>
              <w:left w:val="nil"/>
              <w:bottom w:val="nil"/>
              <w:right w:val="single" w:sz="8" w:space="0" w:color="auto"/>
            </w:tcBorders>
            <w:hideMark/>
          </w:tcPr>
          <w:p w14:paraId="3E0DAE95" w14:textId="77777777" w:rsidR="00C80366" w:rsidRPr="005A6CE2" w:rsidRDefault="00C80366" w:rsidP="007674BE">
            <w:pPr>
              <w:jc w:val="center"/>
              <w:rPr>
                <w:color w:val="000000"/>
                <w:sz w:val="16"/>
                <w:szCs w:val="16"/>
              </w:rPr>
            </w:pPr>
            <w:r w:rsidRPr="005A6CE2">
              <w:rPr>
                <w:color w:val="000000"/>
                <w:sz w:val="16"/>
                <w:szCs w:val="16"/>
              </w:rPr>
              <w:t>0.723</w:t>
            </w:r>
          </w:p>
        </w:tc>
      </w:tr>
      <w:tr w:rsidR="00C80366" w:rsidRPr="005A6CE2" w14:paraId="736625D6"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538A7663" w14:textId="77777777" w:rsidR="00C80366" w:rsidRPr="005A6CE2" w:rsidRDefault="00C80366" w:rsidP="007674BE">
            <w:pPr>
              <w:rPr>
                <w:color w:val="000000"/>
                <w:sz w:val="16"/>
                <w:szCs w:val="16"/>
              </w:rPr>
            </w:pPr>
          </w:p>
        </w:tc>
        <w:tc>
          <w:tcPr>
            <w:tcW w:w="1438" w:type="dxa"/>
            <w:hideMark/>
          </w:tcPr>
          <w:p w14:paraId="01EC8DA8" w14:textId="77777777" w:rsidR="00C80366" w:rsidRPr="005A6CE2" w:rsidRDefault="00C80366" w:rsidP="007674BE">
            <w:pPr>
              <w:jc w:val="center"/>
              <w:rPr>
                <w:color w:val="000000"/>
                <w:sz w:val="16"/>
                <w:szCs w:val="16"/>
              </w:rPr>
            </w:pPr>
            <w:r w:rsidRPr="005A6CE2">
              <w:rPr>
                <w:color w:val="000000"/>
                <w:sz w:val="16"/>
                <w:szCs w:val="16"/>
              </w:rPr>
              <w:t>CL6</w:t>
            </w:r>
          </w:p>
        </w:tc>
        <w:tc>
          <w:tcPr>
            <w:tcW w:w="1140" w:type="dxa"/>
            <w:tcBorders>
              <w:top w:val="nil"/>
              <w:left w:val="nil"/>
              <w:bottom w:val="nil"/>
              <w:right w:val="single" w:sz="8" w:space="0" w:color="auto"/>
            </w:tcBorders>
            <w:hideMark/>
          </w:tcPr>
          <w:p w14:paraId="6B0329C4" w14:textId="77777777" w:rsidR="00C80366" w:rsidRPr="005A6CE2" w:rsidRDefault="00C80366" w:rsidP="007674BE">
            <w:pPr>
              <w:jc w:val="center"/>
              <w:rPr>
                <w:color w:val="000000"/>
                <w:sz w:val="16"/>
                <w:szCs w:val="16"/>
              </w:rPr>
            </w:pPr>
            <w:r w:rsidRPr="005A6CE2">
              <w:rPr>
                <w:color w:val="000000"/>
                <w:sz w:val="16"/>
                <w:szCs w:val="16"/>
              </w:rPr>
              <w:t>0.805</w:t>
            </w:r>
          </w:p>
        </w:tc>
      </w:tr>
      <w:tr w:rsidR="00C80366" w:rsidRPr="005A6CE2" w14:paraId="4FCB5931"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30C66739" w14:textId="77777777" w:rsidR="00C80366" w:rsidRPr="005A6CE2" w:rsidRDefault="00C80366" w:rsidP="007674BE">
            <w:pPr>
              <w:rPr>
                <w:color w:val="000000"/>
                <w:sz w:val="16"/>
                <w:szCs w:val="16"/>
              </w:rPr>
            </w:pPr>
          </w:p>
        </w:tc>
        <w:tc>
          <w:tcPr>
            <w:tcW w:w="1438" w:type="dxa"/>
            <w:hideMark/>
          </w:tcPr>
          <w:p w14:paraId="4672BF83" w14:textId="77777777" w:rsidR="00C80366" w:rsidRPr="005A6CE2" w:rsidRDefault="00C80366" w:rsidP="007674BE">
            <w:pPr>
              <w:jc w:val="center"/>
              <w:rPr>
                <w:color w:val="000000"/>
                <w:sz w:val="16"/>
                <w:szCs w:val="16"/>
              </w:rPr>
            </w:pPr>
            <w:r w:rsidRPr="005A6CE2">
              <w:rPr>
                <w:color w:val="000000"/>
                <w:sz w:val="16"/>
                <w:szCs w:val="16"/>
              </w:rPr>
              <w:t>CL7</w:t>
            </w:r>
          </w:p>
        </w:tc>
        <w:tc>
          <w:tcPr>
            <w:tcW w:w="1140" w:type="dxa"/>
            <w:tcBorders>
              <w:top w:val="nil"/>
              <w:left w:val="nil"/>
              <w:bottom w:val="nil"/>
              <w:right w:val="single" w:sz="8" w:space="0" w:color="auto"/>
            </w:tcBorders>
            <w:hideMark/>
          </w:tcPr>
          <w:p w14:paraId="3B29DB35" w14:textId="77777777" w:rsidR="00C80366" w:rsidRPr="005A6CE2" w:rsidRDefault="00C80366" w:rsidP="007674BE">
            <w:pPr>
              <w:jc w:val="center"/>
              <w:rPr>
                <w:color w:val="000000"/>
                <w:sz w:val="16"/>
                <w:szCs w:val="16"/>
              </w:rPr>
            </w:pPr>
            <w:r w:rsidRPr="005A6CE2">
              <w:rPr>
                <w:color w:val="000000"/>
                <w:sz w:val="16"/>
                <w:szCs w:val="16"/>
              </w:rPr>
              <w:t>0.81</w:t>
            </w:r>
          </w:p>
        </w:tc>
      </w:tr>
      <w:tr w:rsidR="00C80366" w:rsidRPr="005A6CE2" w14:paraId="560E6BDD"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47299DF1" w14:textId="77777777" w:rsidR="00C80366" w:rsidRPr="005A6CE2" w:rsidRDefault="00C80366" w:rsidP="007674BE">
            <w:pPr>
              <w:rPr>
                <w:color w:val="000000"/>
                <w:sz w:val="16"/>
                <w:szCs w:val="16"/>
              </w:rPr>
            </w:pPr>
          </w:p>
        </w:tc>
        <w:tc>
          <w:tcPr>
            <w:tcW w:w="1438" w:type="dxa"/>
            <w:hideMark/>
          </w:tcPr>
          <w:p w14:paraId="229D0B08" w14:textId="77777777" w:rsidR="00C80366" w:rsidRPr="005A6CE2" w:rsidRDefault="00C80366" w:rsidP="007674BE">
            <w:pPr>
              <w:jc w:val="center"/>
              <w:rPr>
                <w:color w:val="000000"/>
                <w:sz w:val="16"/>
                <w:szCs w:val="16"/>
              </w:rPr>
            </w:pPr>
            <w:r w:rsidRPr="005A6CE2">
              <w:rPr>
                <w:color w:val="000000"/>
                <w:sz w:val="16"/>
                <w:szCs w:val="16"/>
              </w:rPr>
              <w:t>CL8</w:t>
            </w:r>
          </w:p>
        </w:tc>
        <w:tc>
          <w:tcPr>
            <w:tcW w:w="1140" w:type="dxa"/>
            <w:tcBorders>
              <w:top w:val="nil"/>
              <w:left w:val="nil"/>
              <w:bottom w:val="nil"/>
              <w:right w:val="single" w:sz="8" w:space="0" w:color="auto"/>
            </w:tcBorders>
            <w:hideMark/>
          </w:tcPr>
          <w:p w14:paraId="7DBCFBA2" w14:textId="77777777" w:rsidR="00C80366" w:rsidRPr="005A6CE2" w:rsidRDefault="00C80366" w:rsidP="007674BE">
            <w:pPr>
              <w:jc w:val="center"/>
              <w:rPr>
                <w:color w:val="000000"/>
                <w:sz w:val="16"/>
                <w:szCs w:val="16"/>
              </w:rPr>
            </w:pPr>
            <w:r w:rsidRPr="005A6CE2">
              <w:rPr>
                <w:color w:val="000000"/>
                <w:sz w:val="16"/>
                <w:szCs w:val="16"/>
              </w:rPr>
              <w:t>0.809</w:t>
            </w:r>
          </w:p>
        </w:tc>
      </w:tr>
      <w:tr w:rsidR="00C80366" w:rsidRPr="005A6CE2" w14:paraId="4A3C4F26" w14:textId="77777777" w:rsidTr="007674BE">
        <w:trPr>
          <w:trHeight w:val="159"/>
          <w:jc w:val="center"/>
        </w:trPr>
        <w:tc>
          <w:tcPr>
            <w:tcW w:w="0" w:type="auto"/>
            <w:vMerge/>
            <w:tcBorders>
              <w:top w:val="nil"/>
              <w:left w:val="single" w:sz="8" w:space="0" w:color="auto"/>
              <w:bottom w:val="single" w:sz="8" w:space="0" w:color="000000"/>
              <w:right w:val="nil"/>
            </w:tcBorders>
            <w:vAlign w:val="center"/>
            <w:hideMark/>
          </w:tcPr>
          <w:p w14:paraId="024CDA6D" w14:textId="77777777" w:rsidR="00C80366" w:rsidRPr="005A6CE2" w:rsidRDefault="00C80366" w:rsidP="007674BE">
            <w:pPr>
              <w:rPr>
                <w:color w:val="000000"/>
                <w:sz w:val="16"/>
                <w:szCs w:val="16"/>
              </w:rPr>
            </w:pPr>
          </w:p>
        </w:tc>
        <w:tc>
          <w:tcPr>
            <w:tcW w:w="1438" w:type="dxa"/>
            <w:hideMark/>
          </w:tcPr>
          <w:p w14:paraId="5964329B" w14:textId="77777777" w:rsidR="00C80366" w:rsidRPr="005A6CE2" w:rsidRDefault="00C80366" w:rsidP="007674BE">
            <w:pPr>
              <w:jc w:val="center"/>
              <w:rPr>
                <w:color w:val="000000"/>
                <w:sz w:val="16"/>
                <w:szCs w:val="16"/>
              </w:rPr>
            </w:pPr>
            <w:r w:rsidRPr="005A6CE2">
              <w:rPr>
                <w:color w:val="000000"/>
                <w:sz w:val="16"/>
                <w:szCs w:val="16"/>
              </w:rPr>
              <w:t>CL9</w:t>
            </w:r>
          </w:p>
        </w:tc>
        <w:tc>
          <w:tcPr>
            <w:tcW w:w="1140" w:type="dxa"/>
            <w:tcBorders>
              <w:top w:val="nil"/>
              <w:left w:val="nil"/>
              <w:bottom w:val="nil"/>
              <w:right w:val="single" w:sz="8" w:space="0" w:color="auto"/>
            </w:tcBorders>
            <w:hideMark/>
          </w:tcPr>
          <w:p w14:paraId="73F64830" w14:textId="77777777" w:rsidR="00C80366" w:rsidRPr="005A6CE2" w:rsidRDefault="00C80366" w:rsidP="007674BE">
            <w:pPr>
              <w:jc w:val="center"/>
              <w:rPr>
                <w:color w:val="000000"/>
                <w:sz w:val="16"/>
                <w:szCs w:val="16"/>
              </w:rPr>
            </w:pPr>
            <w:r w:rsidRPr="005A6CE2">
              <w:rPr>
                <w:color w:val="000000"/>
                <w:sz w:val="16"/>
                <w:szCs w:val="16"/>
              </w:rPr>
              <w:t>0.737</w:t>
            </w:r>
          </w:p>
        </w:tc>
      </w:tr>
      <w:tr w:rsidR="00C80366" w:rsidRPr="005A6CE2" w14:paraId="4D810235" w14:textId="77777777" w:rsidTr="007674BE">
        <w:trPr>
          <w:trHeight w:val="167"/>
          <w:jc w:val="center"/>
        </w:trPr>
        <w:tc>
          <w:tcPr>
            <w:tcW w:w="0" w:type="auto"/>
            <w:vMerge/>
            <w:tcBorders>
              <w:top w:val="nil"/>
              <w:left w:val="single" w:sz="8" w:space="0" w:color="auto"/>
              <w:bottom w:val="single" w:sz="8" w:space="0" w:color="000000"/>
              <w:right w:val="nil"/>
            </w:tcBorders>
            <w:vAlign w:val="center"/>
            <w:hideMark/>
          </w:tcPr>
          <w:p w14:paraId="06B54C6F" w14:textId="77777777" w:rsidR="00C80366" w:rsidRPr="005A6CE2" w:rsidRDefault="00C80366" w:rsidP="007674BE">
            <w:pPr>
              <w:rPr>
                <w:color w:val="000000"/>
                <w:sz w:val="16"/>
                <w:szCs w:val="16"/>
              </w:rPr>
            </w:pPr>
          </w:p>
        </w:tc>
        <w:tc>
          <w:tcPr>
            <w:tcW w:w="1438" w:type="dxa"/>
            <w:tcBorders>
              <w:top w:val="nil"/>
              <w:left w:val="nil"/>
              <w:bottom w:val="single" w:sz="8" w:space="0" w:color="auto"/>
              <w:right w:val="nil"/>
            </w:tcBorders>
            <w:hideMark/>
          </w:tcPr>
          <w:p w14:paraId="7441F9D0" w14:textId="77777777" w:rsidR="00C80366" w:rsidRPr="005A6CE2" w:rsidRDefault="00C80366" w:rsidP="007674BE">
            <w:pPr>
              <w:jc w:val="center"/>
              <w:rPr>
                <w:color w:val="000000"/>
                <w:sz w:val="16"/>
                <w:szCs w:val="16"/>
              </w:rPr>
            </w:pPr>
            <w:r w:rsidRPr="005A6CE2">
              <w:rPr>
                <w:color w:val="000000"/>
                <w:sz w:val="16"/>
                <w:szCs w:val="16"/>
              </w:rPr>
              <w:t>CL10</w:t>
            </w:r>
          </w:p>
        </w:tc>
        <w:tc>
          <w:tcPr>
            <w:tcW w:w="1140" w:type="dxa"/>
            <w:tcBorders>
              <w:top w:val="nil"/>
              <w:left w:val="nil"/>
              <w:bottom w:val="single" w:sz="8" w:space="0" w:color="auto"/>
              <w:right w:val="single" w:sz="8" w:space="0" w:color="auto"/>
            </w:tcBorders>
            <w:hideMark/>
          </w:tcPr>
          <w:p w14:paraId="2219A94F" w14:textId="77777777" w:rsidR="00C80366" w:rsidRPr="005A6CE2" w:rsidRDefault="00C80366" w:rsidP="007674BE">
            <w:pPr>
              <w:jc w:val="center"/>
              <w:rPr>
                <w:color w:val="000000"/>
                <w:sz w:val="16"/>
                <w:szCs w:val="16"/>
              </w:rPr>
            </w:pPr>
            <w:r w:rsidRPr="005A6CE2">
              <w:rPr>
                <w:color w:val="000000"/>
                <w:sz w:val="16"/>
                <w:szCs w:val="16"/>
              </w:rPr>
              <w:t>0.805</w:t>
            </w:r>
          </w:p>
        </w:tc>
      </w:tr>
      <w:bookmarkEnd w:id="26"/>
    </w:tbl>
    <w:p w14:paraId="7AC3C5CB" w14:textId="77777777" w:rsidR="00EC7077" w:rsidRDefault="00EC7077" w:rsidP="00745FA8">
      <w:pPr>
        <w:pStyle w:val="References"/>
        <w:numPr>
          <w:ilvl w:val="0"/>
          <w:numId w:val="0"/>
        </w:numPr>
      </w:pPr>
    </w:p>
    <w:p w14:paraId="3C7FFEA1" w14:textId="77777777" w:rsidR="00EC7077" w:rsidRPr="00F650AA" w:rsidRDefault="00EC7077" w:rsidP="00745FA8">
      <w:pPr>
        <w:pStyle w:val="References"/>
        <w:numPr>
          <w:ilvl w:val="0"/>
          <w:numId w:val="0"/>
        </w:numPr>
        <w:rPr>
          <w:sz w:val="20"/>
          <w:szCs w:val="20"/>
        </w:rPr>
      </w:pPr>
    </w:p>
    <w:p w14:paraId="7DAB927B" w14:textId="008D10DE" w:rsidR="009F4A1D" w:rsidRPr="00F650AA" w:rsidRDefault="007707AB" w:rsidP="00C378A1">
      <w:pPr>
        <w:pStyle w:val="FigureCaption"/>
        <w:rPr>
          <w:sz w:val="20"/>
          <w:szCs w:val="20"/>
        </w:rPr>
      </w:pPr>
      <w:r w:rsidRPr="00F650AA">
        <w:rPr>
          <w:noProof/>
          <w:sz w:val="20"/>
          <w:szCs w:val="20"/>
        </w:rPr>
        <w:drawing>
          <wp:anchor distT="0" distB="0" distL="114300" distR="114300" simplePos="0" relativeHeight="251657728" behindDoc="0" locked="0" layoutInCell="1" allowOverlap="1" wp14:anchorId="59FA5A7D" wp14:editId="5D14DE70">
            <wp:simplePos x="0" y="0"/>
            <wp:positionH relativeFrom="column">
              <wp:posOffset>20320</wp:posOffset>
            </wp:positionH>
            <wp:positionV relativeFrom="paragraph">
              <wp:posOffset>50800</wp:posOffset>
            </wp:positionV>
            <wp:extent cx="880745" cy="1174750"/>
            <wp:effectExtent l="0" t="0" r="0" b="63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2"/>
                    <a:stretch>
                      <a:fillRect/>
                    </a:stretch>
                  </pic:blipFill>
                  <pic:spPr bwMode="auto">
                    <a:xfrm>
                      <a:off x="0" y="0"/>
                      <a:ext cx="88074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1B8" w:rsidRPr="00F650AA">
        <w:rPr>
          <w:b/>
          <w:bCs/>
          <w:sz w:val="20"/>
          <w:szCs w:val="20"/>
        </w:rPr>
        <w:t>Sundeep Singh Sondhi</w:t>
      </w:r>
      <w:r w:rsidR="00E97402" w:rsidRPr="00F650AA">
        <w:rPr>
          <w:sz w:val="20"/>
          <w:szCs w:val="20"/>
        </w:rPr>
        <w:t xml:space="preserve"> </w:t>
      </w:r>
      <w:r w:rsidR="009F4A1D" w:rsidRPr="00F650AA">
        <w:rPr>
          <w:sz w:val="20"/>
          <w:szCs w:val="20"/>
        </w:rPr>
        <w:t xml:space="preserve">currently serves as the Associate Professor and Dean of the Business Administration department at the University of Engineering &amp; Management, Kolkata, India. He earned his Ph.D. in Strategic Management from the Indian Institute of Management, Indore. Prior to this, he completed an Executive Program in Business Management from the Indian Institute of Management, Calcutta. He had previously completed his MBA from Barkatullah University, Bhopal, </w:t>
      </w:r>
      <w:r w:rsidR="00EC7077" w:rsidRPr="00F650AA">
        <w:rPr>
          <w:sz w:val="20"/>
          <w:szCs w:val="20"/>
        </w:rPr>
        <w:t xml:space="preserve">Madhya Pradesh, India, </w:t>
      </w:r>
      <w:r w:rsidR="009F4A1D" w:rsidRPr="00F650AA">
        <w:rPr>
          <w:sz w:val="20"/>
          <w:szCs w:val="20"/>
        </w:rPr>
        <w:t>after obtaining a Bachelor’s degree in Mechanical Engineering from Maulana Azad College of Technology, Bhopal. Dr Sondhi’s academic interests lie in strategic management, business operations, sales and marketing, service innovation, and performance through effective learning and development practices. Since 2022, he has published and contributed to several research articles and books. </w:t>
      </w:r>
      <w:r w:rsidR="00F650AA" w:rsidRPr="00F650AA">
        <w:rPr>
          <w:sz w:val="20"/>
          <w:szCs w:val="20"/>
        </w:rPr>
        <w:t xml:space="preserve">He has over 30 years of experience, including 25 years in the industry across various sectors such as Office Automation, Telecommunications, Information Technology, and Training. </w:t>
      </w:r>
      <w:r w:rsidR="009F4A1D" w:rsidRPr="00F650AA">
        <w:rPr>
          <w:sz w:val="20"/>
          <w:szCs w:val="20"/>
        </w:rPr>
        <w:t>His extensive background bridges academia and industry, reflecting a strong commitment to both education and business excellence.</w:t>
      </w:r>
    </w:p>
    <w:p w14:paraId="06634756" w14:textId="6B858E28" w:rsidR="00C378A1" w:rsidRPr="00F650AA" w:rsidRDefault="00C378A1" w:rsidP="00C378A1">
      <w:pPr>
        <w:pStyle w:val="FigureCaption"/>
        <w:rPr>
          <w:sz w:val="20"/>
          <w:szCs w:val="20"/>
        </w:rPr>
      </w:pPr>
      <w:r w:rsidRPr="00F650AA">
        <w:rPr>
          <w:sz w:val="20"/>
          <w:szCs w:val="20"/>
        </w:rPr>
        <w:t xml:space="preserve"> </w:t>
      </w:r>
    </w:p>
    <w:p w14:paraId="318A0AFD" w14:textId="6AD4A37F" w:rsidR="00D716BA" w:rsidRPr="00F650AA" w:rsidRDefault="007707AB" w:rsidP="00D37D54">
      <w:pPr>
        <w:adjustRightInd w:val="0"/>
        <w:jc w:val="both"/>
      </w:pPr>
      <w:r w:rsidRPr="00F650AA">
        <w:rPr>
          <w:noProof/>
        </w:rPr>
        <w:drawing>
          <wp:anchor distT="0" distB="0" distL="114300" distR="114300" simplePos="0" relativeHeight="251658752" behindDoc="0" locked="0" layoutInCell="1" allowOverlap="1" wp14:anchorId="486D945E" wp14:editId="386C1A15">
            <wp:simplePos x="0" y="0"/>
            <wp:positionH relativeFrom="column">
              <wp:align>left</wp:align>
            </wp:positionH>
            <wp:positionV relativeFrom="paragraph">
              <wp:posOffset>114935</wp:posOffset>
            </wp:positionV>
            <wp:extent cx="914400" cy="99695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stretch>
                      <a:fillRect/>
                    </a:stretch>
                  </pic:blipFill>
                  <pic:spPr bwMode="auto">
                    <a:xfrm>
                      <a:off x="0" y="0"/>
                      <a:ext cx="9144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1EF" w:rsidRPr="00F650AA">
        <w:rPr>
          <w:b/>
          <w:bCs/>
        </w:rPr>
        <w:t>Prashant Salwan</w:t>
      </w:r>
      <w:r w:rsidR="00A25B3B" w:rsidRPr="00F650AA">
        <w:t xml:space="preserve"> </w:t>
      </w:r>
      <w:r w:rsidR="002D11EF" w:rsidRPr="00F650AA">
        <w:rPr>
          <w:lang w:val="en-IN"/>
        </w:rPr>
        <w:t xml:space="preserve">is Full Professor of Strategic Management   at Indian Institute of Management Indore India. He is an alumnus of London School of Economics and Political Science UK and a British Chevening Scholar and a Fulbright Scholar. He has approximately twenty seven years of experience, out of which </w:t>
      </w:r>
      <w:proofErr w:type="gramStart"/>
      <w:r w:rsidR="002D11EF" w:rsidRPr="00F650AA">
        <w:rPr>
          <w:lang w:val="en-IN"/>
        </w:rPr>
        <w:t>nineteen  years</w:t>
      </w:r>
      <w:proofErr w:type="gramEnd"/>
      <w:r w:rsidR="002D11EF" w:rsidRPr="00F650AA">
        <w:rPr>
          <w:lang w:val="en-IN"/>
        </w:rPr>
        <w:t xml:space="preserve"> in academics and eight years in industry. Dr </w:t>
      </w:r>
      <w:proofErr w:type="gramStart"/>
      <w:r w:rsidR="002D11EF" w:rsidRPr="00F650AA">
        <w:rPr>
          <w:lang w:val="en-IN"/>
        </w:rPr>
        <w:t>Salwan  has</w:t>
      </w:r>
      <w:proofErr w:type="gramEnd"/>
      <w:r w:rsidR="002D11EF" w:rsidRPr="00F650AA">
        <w:rPr>
          <w:lang w:val="en-IN"/>
        </w:rPr>
        <w:t xml:space="preserve"> around seventy five research publications in national and international research journals, including Harvard </w:t>
      </w:r>
      <w:r w:rsidR="002D11EF" w:rsidRPr="00F650AA">
        <w:rPr>
          <w:lang w:val="en-IN"/>
        </w:rPr>
        <w:t xml:space="preserve">Business Review, Journal of International Management ,JIBE UK, Journal of Knowledge Management , EPW, IJIR, IMJ , Journal of Management and Technology, </w:t>
      </w:r>
      <w:proofErr w:type="spellStart"/>
      <w:r w:rsidR="002D11EF" w:rsidRPr="00F650AA">
        <w:rPr>
          <w:lang w:val="en-IN"/>
        </w:rPr>
        <w:t>Defense</w:t>
      </w:r>
      <w:proofErr w:type="spellEnd"/>
      <w:r w:rsidR="002D11EF" w:rsidRPr="00F650AA">
        <w:rPr>
          <w:lang w:val="en-IN"/>
        </w:rPr>
        <w:t xml:space="preserve"> Science Journal. He has published 52 case studies, including in Harvard Business School Publishing, Ivey, ECCH.</w:t>
      </w:r>
      <w:r w:rsidR="00D37D54" w:rsidRPr="00F650AA">
        <w:rPr>
          <w:lang w:val="en-IN"/>
        </w:rPr>
        <w:t xml:space="preserve"> </w:t>
      </w:r>
      <w:r w:rsidR="002D11EF" w:rsidRPr="00F650AA">
        <w:rPr>
          <w:lang w:val="en-IN"/>
        </w:rPr>
        <w:t xml:space="preserve">Dr Salwan has won numerous teaching and research awards including the best teacher award at IIM I and </w:t>
      </w:r>
      <w:proofErr w:type="gramStart"/>
      <w:r w:rsidR="002D11EF" w:rsidRPr="00F650AA">
        <w:rPr>
          <w:lang w:val="en-IN"/>
        </w:rPr>
        <w:t>national  ,</w:t>
      </w:r>
      <w:proofErr w:type="gramEnd"/>
      <w:r w:rsidR="002D11EF" w:rsidRPr="00F650AA">
        <w:rPr>
          <w:lang w:val="en-IN"/>
        </w:rPr>
        <w:t xml:space="preserve"> best reviewer award and best paper award .</w:t>
      </w:r>
      <w:r w:rsidR="00D37D54" w:rsidRPr="00F650AA">
        <w:rPr>
          <w:lang w:val="en-IN"/>
        </w:rPr>
        <w:t xml:space="preserve"> </w:t>
      </w:r>
      <w:r w:rsidR="002D11EF" w:rsidRPr="00F650AA">
        <w:rPr>
          <w:lang w:val="en-IN"/>
        </w:rPr>
        <w:t xml:space="preserve">He is currently Dean (Programs) at IIM I and manages degree granting programmes, institute accreditation and </w:t>
      </w:r>
      <w:proofErr w:type="gramStart"/>
      <w:r w:rsidR="002D11EF" w:rsidRPr="00F650AA">
        <w:rPr>
          <w:lang w:val="en-IN"/>
        </w:rPr>
        <w:t>rankings .</w:t>
      </w:r>
      <w:proofErr w:type="gramEnd"/>
      <w:r w:rsidR="002D11EF" w:rsidRPr="00F650AA">
        <w:rPr>
          <w:lang w:val="en-IN"/>
        </w:rPr>
        <w:t xml:space="preserve"> Prof Prashant Salwan is Board member in Government and private companies. Dr Salwan has also been member in many </w:t>
      </w:r>
      <w:proofErr w:type="gramStart"/>
      <w:r w:rsidR="002D11EF" w:rsidRPr="00F650AA">
        <w:rPr>
          <w:lang w:val="en-IN"/>
        </w:rPr>
        <w:t>NAAC ,</w:t>
      </w:r>
      <w:proofErr w:type="gramEnd"/>
      <w:r w:rsidR="002D11EF" w:rsidRPr="00F650AA">
        <w:rPr>
          <w:lang w:val="en-IN"/>
        </w:rPr>
        <w:t xml:space="preserve"> AICTE, UGC , </w:t>
      </w:r>
      <w:proofErr w:type="spellStart"/>
      <w:r w:rsidR="002D11EF" w:rsidRPr="00F650AA">
        <w:rPr>
          <w:lang w:val="en-IN"/>
        </w:rPr>
        <w:t>MoE</w:t>
      </w:r>
      <w:proofErr w:type="spellEnd"/>
      <w:r w:rsidR="002D11EF" w:rsidRPr="00F650AA">
        <w:rPr>
          <w:lang w:val="en-IN"/>
        </w:rPr>
        <w:t xml:space="preserve"> high power committees.</w:t>
      </w:r>
      <w:r w:rsidR="00D716BA" w:rsidRPr="00F650AA">
        <w:t xml:space="preserve"> </w:t>
      </w:r>
    </w:p>
    <w:p w14:paraId="3F0CA342" w14:textId="77777777" w:rsidR="00610699" w:rsidRPr="00F650AA" w:rsidRDefault="00610699" w:rsidP="00610699">
      <w:pPr>
        <w:pStyle w:val="FigureCaption"/>
        <w:rPr>
          <w:sz w:val="20"/>
          <w:szCs w:val="20"/>
        </w:rPr>
      </w:pPr>
    </w:p>
    <w:p w14:paraId="62DFEDC5" w14:textId="77777777" w:rsidR="00610699" w:rsidRPr="00F650AA" w:rsidRDefault="00610699" w:rsidP="00610699">
      <w:pPr>
        <w:adjustRightInd w:val="0"/>
        <w:jc w:val="both"/>
      </w:pPr>
      <w:r w:rsidRPr="00F650AA">
        <w:rPr>
          <w:noProof/>
        </w:rPr>
        <w:drawing>
          <wp:anchor distT="0" distB="0" distL="114300" distR="114300" simplePos="0" relativeHeight="251670016" behindDoc="0" locked="0" layoutInCell="1" allowOverlap="1" wp14:anchorId="43B193C1" wp14:editId="3FFC854A">
            <wp:simplePos x="0" y="0"/>
            <wp:positionH relativeFrom="column">
              <wp:posOffset>-3810</wp:posOffset>
            </wp:positionH>
            <wp:positionV relativeFrom="paragraph">
              <wp:posOffset>115570</wp:posOffset>
            </wp:positionV>
            <wp:extent cx="914400" cy="914400"/>
            <wp:effectExtent l="0" t="0" r="0" b="0"/>
            <wp:wrapSquare wrapText="bothSides"/>
            <wp:docPr id="898709426" name="Picture 2"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09426" name="Picture 2" descr="A person wearing glasses and a suit&#10;&#10;Description automatically generated"/>
                    <pic:cNvPicPr>
                      <a:picLocks noChangeAspect="1" noChangeArrowheads="1"/>
                    </pic:cNvPicPr>
                  </pic:nvPicPr>
                  <pic:blipFill>
                    <a:blip r:embed="rId14"/>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0AA">
        <w:rPr>
          <w:b/>
          <w:bCs/>
        </w:rPr>
        <w:t>Suman Niranjan</w:t>
      </w:r>
      <w:r w:rsidRPr="00F650AA">
        <w:t xml:space="preserve"> is currently an Assistant Professor of Logistics at G. Brint Ryan College of Business at the University of North Texas. He earned a PhD in Industrial and Human Systems Engineering and MS in Human Factors Engineering from Wright State University. He also earned a BE in Electronics and Communication Engineering from Visveswaraya Technical University in India. Dr. Niranjan’s research interests lie in behavioral operations, transportation psychology, healthcare. operations, multi-echelon inventory control and optimization, ESG and sustainability interfacing supply chain, additive manufacturing influence on supply chain, digital technology’s role in supply chain collaboration, process improvement applied to healthcare and logistics, and last-mile delivery using drones within logistics. Dr. Niranjan has more than 50 research publications. His research has appeared in top tier research journals, such as Transportation Research, Decision Sciences, Journal of Business Logistics, JPSM, IJOPM, Annals of Operations Research etc. Dr. Niranjan has received external funding in the order of more $2.3M from NSF, NIH, DoD, and industries over the past decade. </w:t>
      </w:r>
    </w:p>
    <w:p w14:paraId="17D4636E" w14:textId="77777777" w:rsidR="00D716BA" w:rsidRPr="00F650AA" w:rsidRDefault="00D716BA" w:rsidP="00837E47">
      <w:pPr>
        <w:autoSpaceDE w:val="0"/>
        <w:autoSpaceDN w:val="0"/>
        <w:adjustRightInd w:val="0"/>
        <w:jc w:val="both"/>
      </w:pPr>
    </w:p>
    <w:p w14:paraId="7ADDDD23" w14:textId="3471F42A" w:rsidR="00633D77" w:rsidRPr="00F650AA" w:rsidRDefault="00746EF0" w:rsidP="00633D77">
      <w:pPr>
        <w:pStyle w:val="FigureCaption"/>
        <w:rPr>
          <w:sz w:val="20"/>
          <w:szCs w:val="20"/>
        </w:rPr>
      </w:pPr>
      <w:r w:rsidRPr="00F650AA">
        <w:rPr>
          <w:noProof/>
          <w:sz w:val="20"/>
          <w:szCs w:val="20"/>
        </w:rPr>
        <w:drawing>
          <wp:anchor distT="0" distB="0" distL="114300" distR="114300" simplePos="0" relativeHeight="251661824" behindDoc="0" locked="0" layoutInCell="1" allowOverlap="1" wp14:anchorId="5DC20BBE" wp14:editId="78B5FCB1">
            <wp:simplePos x="0" y="0"/>
            <wp:positionH relativeFrom="column">
              <wp:posOffset>11430</wp:posOffset>
            </wp:positionH>
            <wp:positionV relativeFrom="paragraph">
              <wp:posOffset>147320</wp:posOffset>
            </wp:positionV>
            <wp:extent cx="882650" cy="1143000"/>
            <wp:effectExtent l="0" t="0" r="0" b="0"/>
            <wp:wrapSquare wrapText="bothSides"/>
            <wp:docPr id="170279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97072" name="Picture 2"/>
                    <pic:cNvPicPr>
                      <a:picLocks noChangeAspect="1" noChangeArrowheads="1"/>
                    </pic:cNvPicPr>
                  </pic:nvPicPr>
                  <pic:blipFill>
                    <a:blip r:embed="rId15"/>
                    <a:stretch>
                      <a:fillRect/>
                    </a:stretch>
                  </pic:blipFill>
                  <pic:spPr bwMode="auto">
                    <a:xfrm>
                      <a:off x="0" y="0"/>
                      <a:ext cx="8826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72C6E" w14:textId="7323C219" w:rsidR="00E96A3A" w:rsidRPr="00F650AA" w:rsidRDefault="00746EF0" w:rsidP="00B30495">
      <w:pPr>
        <w:adjustRightInd w:val="0"/>
        <w:jc w:val="both"/>
      </w:pPr>
      <w:r w:rsidRPr="00F650AA">
        <w:rPr>
          <w:b/>
          <w:bCs/>
        </w:rPr>
        <w:t>Timothy Hawkins</w:t>
      </w:r>
      <w:r w:rsidR="00633D77" w:rsidRPr="00F650AA">
        <w:t xml:space="preserve"> </w:t>
      </w:r>
      <w:r w:rsidRPr="00F650AA">
        <w:t>is a Professor in the Department of Supply Chain Management at the University of North Texas. His teaching and research interests include performance-based logistics, strategic supply management, buyer–supplier relationships, ethics, sourcing strategy, and government procurement. He has published numerous articles in the field’s top scholarly publications</w:t>
      </w:r>
      <w:r w:rsidR="00633D77" w:rsidRPr="00F650AA">
        <w:t>.</w:t>
      </w:r>
      <w:r w:rsidRPr="00F650AA">
        <w:t xml:space="preserve"> </w:t>
      </w:r>
    </w:p>
    <w:p w14:paraId="73ACE71D" w14:textId="77777777" w:rsidR="00B30495" w:rsidRPr="00F650AA" w:rsidRDefault="00B30495" w:rsidP="00B30495">
      <w:pPr>
        <w:adjustRightInd w:val="0"/>
        <w:jc w:val="both"/>
      </w:pPr>
    </w:p>
    <w:p w14:paraId="4B91798A" w14:textId="77777777" w:rsidR="00A953EC" w:rsidRPr="00F650AA" w:rsidRDefault="00A953EC" w:rsidP="00715BED">
      <w:pPr>
        <w:adjustRightInd w:val="0"/>
        <w:jc w:val="both"/>
      </w:pPr>
    </w:p>
    <w:p w14:paraId="42B427F4" w14:textId="633FE450" w:rsidR="00633D77" w:rsidRPr="00F650AA" w:rsidRDefault="00A953EC" w:rsidP="00633D77">
      <w:pPr>
        <w:pStyle w:val="FigureCaption"/>
        <w:rPr>
          <w:sz w:val="20"/>
          <w:szCs w:val="20"/>
        </w:rPr>
      </w:pPr>
      <w:r w:rsidRPr="00F650AA">
        <w:rPr>
          <w:noProof/>
          <w:sz w:val="20"/>
          <w:szCs w:val="20"/>
        </w:rPr>
        <w:drawing>
          <wp:anchor distT="0" distB="0" distL="114300" distR="114300" simplePos="0" relativeHeight="251665920" behindDoc="0" locked="0" layoutInCell="1" allowOverlap="1" wp14:anchorId="2D07941C" wp14:editId="2B3D4544">
            <wp:simplePos x="0" y="0"/>
            <wp:positionH relativeFrom="column">
              <wp:posOffset>7620</wp:posOffset>
            </wp:positionH>
            <wp:positionV relativeFrom="paragraph">
              <wp:posOffset>-123825</wp:posOffset>
            </wp:positionV>
            <wp:extent cx="890270" cy="1143000"/>
            <wp:effectExtent l="0" t="0" r="5080" b="0"/>
            <wp:wrapSquare wrapText="bothSides"/>
            <wp:docPr id="280653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3519" name="Picture 2"/>
                    <pic:cNvPicPr>
                      <a:picLocks noChangeAspect="1" noChangeArrowheads="1"/>
                    </pic:cNvPicPr>
                  </pic:nvPicPr>
                  <pic:blipFill>
                    <a:blip r:embed="rId16"/>
                    <a:stretch>
                      <a:fillRect/>
                    </a:stretch>
                  </pic:blipFill>
                  <pic:spPr bwMode="auto">
                    <a:xfrm>
                      <a:off x="0" y="0"/>
                      <a:ext cx="89027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DA332" w14:textId="0E9C78AC" w:rsidR="00633D77" w:rsidRPr="00F650AA" w:rsidRDefault="00B30495" w:rsidP="00222858">
      <w:pPr>
        <w:adjustRightInd w:val="0"/>
        <w:jc w:val="both"/>
      </w:pPr>
      <w:r w:rsidRPr="00F650AA">
        <w:rPr>
          <w:b/>
          <w:bCs/>
        </w:rPr>
        <w:t>Abhishek Behl</w:t>
      </w:r>
      <w:r w:rsidR="00633D77" w:rsidRPr="00F650AA">
        <w:t xml:space="preserve"> was </w:t>
      </w:r>
      <w:r w:rsidR="00222858" w:rsidRPr="00F650AA">
        <w:t xml:space="preserve">Associate Professor at Keele Business School, Keele University, UK. He has earned his second Ph.D. from the Indian Institute of Technology, Bombay, where his research is in the area of crowdfunding and gamification. He is a winner of the prestigious “Naik and Rastogi Award for excellence in PhD” from IIT Bombay. He holds a rich experience of teaching, research and consultancy. He has taught </w:t>
      </w:r>
      <w:r w:rsidR="00222858" w:rsidRPr="00F650AA">
        <w:lastRenderedPageBreak/>
        <w:t>subjects like Marketing Analytics; Gamification for Business; Marketing Research and Qualitative Data Analytics. He has also served as a Senior Manager- Research at Centre for Innovation Incubation and Entrepreneurship, IIM Ahmedabad. His research is in the areas of gamification and strategy, human-computer interaction, sustainability, and stakeholder engagement. He is an incoming president of Special Interest Group (SIG)- GAME of AIS.</w:t>
      </w:r>
    </w:p>
    <w:p w14:paraId="09556B71" w14:textId="3CB0181E" w:rsidR="00633D77" w:rsidRPr="00F650AA" w:rsidRDefault="00633D77" w:rsidP="00633D77">
      <w:pPr>
        <w:autoSpaceDE w:val="0"/>
        <w:autoSpaceDN w:val="0"/>
        <w:adjustRightInd w:val="0"/>
        <w:jc w:val="both"/>
      </w:pPr>
      <w:r w:rsidRPr="00F650AA">
        <w:t xml:space="preserve">  </w:t>
      </w:r>
    </w:p>
    <w:p w14:paraId="5CB6ED86" w14:textId="77777777" w:rsidR="00633D77" w:rsidRPr="00F650AA" w:rsidRDefault="00633D77" w:rsidP="00633D77">
      <w:pPr>
        <w:pStyle w:val="FigureCaption"/>
        <w:rPr>
          <w:sz w:val="20"/>
          <w:szCs w:val="20"/>
        </w:rPr>
      </w:pPr>
    </w:p>
    <w:p w14:paraId="460984E2" w14:textId="4603615D" w:rsidR="00633D77" w:rsidRPr="00F650AA" w:rsidRDefault="00357902" w:rsidP="00633D77">
      <w:pPr>
        <w:autoSpaceDE w:val="0"/>
        <w:autoSpaceDN w:val="0"/>
        <w:adjustRightInd w:val="0"/>
        <w:jc w:val="both"/>
      </w:pPr>
      <w:r w:rsidRPr="00F650AA">
        <w:rPr>
          <w:noProof/>
        </w:rPr>
        <w:drawing>
          <wp:anchor distT="0" distB="0" distL="114300" distR="114300" simplePos="0" relativeHeight="251667968" behindDoc="0" locked="0" layoutInCell="1" allowOverlap="1" wp14:anchorId="0ABB0BA6" wp14:editId="561222E6">
            <wp:simplePos x="0" y="0"/>
            <wp:positionH relativeFrom="column">
              <wp:align>left</wp:align>
            </wp:positionH>
            <wp:positionV relativeFrom="paragraph">
              <wp:posOffset>96520</wp:posOffset>
            </wp:positionV>
            <wp:extent cx="890270" cy="1068070"/>
            <wp:effectExtent l="0" t="0" r="5080" b="0"/>
            <wp:wrapSquare wrapText="bothSides"/>
            <wp:docPr id="25397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483" name="Picture 2"/>
                    <pic:cNvPicPr>
                      <a:picLocks noChangeAspect="1" noChangeArrowheads="1"/>
                    </pic:cNvPicPr>
                  </pic:nvPicPr>
                  <pic:blipFill>
                    <a:blip r:embed="rId17"/>
                    <a:stretch>
                      <a:fillRect/>
                    </a:stretch>
                  </pic:blipFill>
                  <pic:spPr bwMode="auto">
                    <a:xfrm>
                      <a:off x="0" y="0"/>
                      <a:ext cx="89027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526" w:rsidRPr="00F650AA">
        <w:rPr>
          <w:b/>
          <w:bCs/>
          <w:noProof/>
        </w:rPr>
        <w:t>Dr. Vijay Pereira</w:t>
      </w:r>
      <w:r w:rsidR="00830526" w:rsidRPr="00F650AA">
        <w:rPr>
          <w:noProof/>
        </w:rPr>
        <w:t xml:space="preserve"> is Full Professor of International and Strategic Human Capital Management and Department Chair of People and Organizations department at NEOMA Business School, France. He was Associate Dean (Research) at the Australian University of Wollongong (Dubai campus). Professor Pereira is the Editor in Chief of the journal International Studies of Management and Organizations, the Associate Editor (Strategic Management and Organizational Behavior) for the Journal of Business Research and the Global Real Impact Editor for the Journal of Knowledge Management. Prof Pereira is also on the editorial and advisory board for the journals Production and Operations Management and Journal of Management Studies (both listed in Financial Times ranking). He has a record of attracting funding and has published widely, in over 150 outlets, 20 special issues and 10 books, including in leading international journals such as the Human Resource Management, Harvard Business Review, MIT Sloan Management Review and Journal of Business Ethics (all Financial Times ranked). He has also published in the Academy of Management journals Academy of Management Perspectives and Academy of Management Discoveries. He is the elected Vice President of the Academy of International Business (AIB), Middle East and North Africa (MENA)</w:t>
      </w:r>
      <w:r w:rsidR="00633D77" w:rsidRPr="00F650AA">
        <w:t xml:space="preserve">. </w:t>
      </w:r>
    </w:p>
    <w:p w14:paraId="1EDFB2C9" w14:textId="77777777" w:rsidR="00610699" w:rsidRPr="00F650AA" w:rsidRDefault="00610699" w:rsidP="00633D77">
      <w:pPr>
        <w:autoSpaceDE w:val="0"/>
        <w:autoSpaceDN w:val="0"/>
        <w:adjustRightInd w:val="0"/>
        <w:jc w:val="both"/>
      </w:pPr>
    </w:p>
    <w:p w14:paraId="07EF59EA" w14:textId="77777777" w:rsidR="00610699" w:rsidRPr="00F650AA" w:rsidRDefault="00610699" w:rsidP="00633D77">
      <w:pPr>
        <w:autoSpaceDE w:val="0"/>
        <w:autoSpaceDN w:val="0"/>
        <w:adjustRightInd w:val="0"/>
        <w:jc w:val="both"/>
      </w:pPr>
    </w:p>
    <w:p w14:paraId="0B2085FA" w14:textId="14571008" w:rsidR="00610699" w:rsidRPr="00F650AA" w:rsidRDefault="00610699" w:rsidP="00610699">
      <w:pPr>
        <w:adjustRightInd w:val="0"/>
        <w:jc w:val="both"/>
      </w:pPr>
      <w:r w:rsidRPr="00F650AA">
        <w:rPr>
          <w:noProof/>
        </w:rPr>
        <w:drawing>
          <wp:anchor distT="0" distB="118745" distL="114300" distR="114300" simplePos="0" relativeHeight="251672064" behindDoc="0" locked="0" layoutInCell="1" allowOverlap="1" wp14:anchorId="6669B9BF" wp14:editId="72D7C92C">
            <wp:simplePos x="0" y="0"/>
            <wp:positionH relativeFrom="column">
              <wp:posOffset>8890</wp:posOffset>
            </wp:positionH>
            <wp:positionV relativeFrom="paragraph">
              <wp:posOffset>160655</wp:posOffset>
            </wp:positionV>
            <wp:extent cx="914400" cy="914400"/>
            <wp:effectExtent l="0" t="0" r="0" b="0"/>
            <wp:wrapSquare wrapText="bothSides"/>
            <wp:docPr id="5"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miling for the camera&#10;&#10;Description automatically generated"/>
                    <pic:cNvPicPr>
                      <a:picLocks noChangeAspect="1" noChangeArrowheads="1"/>
                    </pic:cNvPicPr>
                  </pic:nvPicPr>
                  <pic:blipFill>
                    <a:blip r:embed="rId18"/>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0AA">
        <w:rPr>
          <w:b/>
          <w:bCs/>
        </w:rPr>
        <w:t xml:space="preserve">Manlio del Giudice </w:t>
      </w:r>
      <w:r w:rsidRPr="00F650AA">
        <w:t>is Full Professor of Management, Head of the Department of Management and Economics, Director of the Research Center in Data Analysis, Intelligence, Security and Information. He built his scientific career abroad for around 14 years, before returning to Italy, in a vast number of Institutions around the world, from South Africa to New Zealand, from the Mediterranean Europe to the Middle East, from the Balkans to North Africa. He holds the role of Editor in Chief of the Journal of Knowledge Management and holds top editorial positions in flagship mainstream journals in his field (</w:t>
      </w:r>
      <w:proofErr w:type="spellStart"/>
      <w:r w:rsidRPr="00F650AA">
        <w:t>Technovation</w:t>
      </w:r>
      <w:proofErr w:type="spellEnd"/>
      <w:r w:rsidRPr="00F650AA">
        <w:t>, IEEE Technology on Engineering Management, Journal of Business Research, Journal of Intellectual Capital, International Entrepreneurship and Management Journal, etc.). Listed</w:t>
      </w:r>
      <w:r w:rsidR="004C48B9" w:rsidRPr="00F650AA">
        <w:t xml:space="preserve"> </w:t>
      </w:r>
      <w:r w:rsidRPr="00F650AA">
        <w:t xml:space="preserve">among the most influential scientific profiles in global research since the first edition (2020) of the Data for updated science-wide author databases of standardized citation indicators by Stanford University, in the latest update of the world ranking he was ranked 15th in the research of his field of study at a global level, in 1st place </w:t>
      </w:r>
      <w:r w:rsidRPr="00F650AA">
        <w:t>among the Italian Full Professors in the field of Managerial, Economic and Social Sciences research. He has acted as an international evaluator for various Institutions for funded applied research projects. It has been carrying out technical-scientific collaborations with numerous Italian and foreign Government and Research bodies, for more than fifteen years. He is an expert in Knowledge Management, Data Security and Protection for Intelligence, Data Analysis for Geoeconomics,</w:t>
      </w:r>
    </w:p>
    <w:p w14:paraId="077EBDE4" w14:textId="7D891CC8" w:rsidR="0037551B" w:rsidRPr="00F650AA" w:rsidRDefault="00610699" w:rsidP="004C48B9">
      <w:pPr>
        <w:adjustRightInd w:val="0"/>
        <w:jc w:val="both"/>
      </w:pPr>
      <w:r w:rsidRPr="00F650AA">
        <w:t>Behavioral Profiling, Dual Use Technologies.</w:t>
      </w:r>
    </w:p>
    <w:sectPr w:rsidR="0037551B" w:rsidRPr="00F650AA" w:rsidSect="00143F2E">
      <w:headerReference w:type="default" r:id="rId19"/>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A5CC4" w14:textId="77777777" w:rsidR="00244CE9" w:rsidRDefault="00244CE9">
      <w:r>
        <w:separator/>
      </w:r>
    </w:p>
  </w:endnote>
  <w:endnote w:type="continuationSeparator" w:id="0">
    <w:p w14:paraId="409E4475" w14:textId="77777777" w:rsidR="00244CE9" w:rsidRDefault="00244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A13D5" w14:textId="77777777" w:rsidR="00244CE9" w:rsidRDefault="00244CE9"/>
  </w:footnote>
  <w:footnote w:type="continuationSeparator" w:id="0">
    <w:p w14:paraId="09934537" w14:textId="77777777" w:rsidR="00244CE9" w:rsidRDefault="00244CE9">
      <w:r>
        <w:continuationSeparator/>
      </w:r>
    </w:p>
  </w:footnote>
  <w:footnote w:id="1">
    <w:p w14:paraId="36FCC1A0" w14:textId="77777777" w:rsidR="005E7F4E" w:rsidRDefault="0092503F">
      <w:pPr>
        <w:pStyle w:val="FootnoteText"/>
      </w:pPr>
      <w:r w:rsidRPr="0092503F">
        <w:t>Manuscript</w:t>
      </w:r>
      <w:r>
        <w:t xml:space="preserve"> </w:t>
      </w:r>
      <w:r w:rsidRPr="0092503F">
        <w:t>received</w:t>
      </w:r>
      <w:r>
        <w:t xml:space="preserve"> December 12</w:t>
      </w:r>
      <w:r w:rsidRPr="0092503F">
        <w:t>,20</w:t>
      </w:r>
      <w:r>
        <w:t>23</w:t>
      </w:r>
      <w:r w:rsidRPr="0092503F">
        <w:t>;</w:t>
      </w:r>
      <w:r>
        <w:t xml:space="preserve"> </w:t>
      </w:r>
      <w:r w:rsidR="005E7F4E">
        <w:t>R</w:t>
      </w:r>
      <w:r w:rsidRPr="0092503F">
        <w:t>evised</w:t>
      </w:r>
      <w:r>
        <w:t xml:space="preserve"> March 30, 2024</w:t>
      </w:r>
      <w:r w:rsidR="005E7F4E">
        <w:t>;</w:t>
      </w:r>
      <w:r>
        <w:t xml:space="preserve"> Final revision submitted on </w:t>
      </w:r>
      <w:r w:rsidR="005E7F4E">
        <w:t>October 3, 2024</w:t>
      </w:r>
      <w:r w:rsidRPr="0092503F">
        <w:t>;</w:t>
      </w:r>
      <w:r w:rsidR="005E7F4E">
        <w:t xml:space="preserve"> </w:t>
      </w:r>
      <w:r w:rsidRPr="0092503F">
        <w:t xml:space="preserve">accepted </w:t>
      </w:r>
      <w:r w:rsidR="005E7F4E">
        <w:t>October 7, 2024</w:t>
      </w:r>
      <w:r w:rsidRPr="0092503F">
        <w:t>.</w:t>
      </w:r>
    </w:p>
    <w:p w14:paraId="4BB42956" w14:textId="649F9B96" w:rsidR="005E7F4E" w:rsidRDefault="005E7F4E">
      <w:pPr>
        <w:pStyle w:val="FootnoteText"/>
      </w:pPr>
      <w:r>
        <w:t xml:space="preserve">Sundeep Singh Sondhi is with Institute of Engineering &amp; Management, University of Engineering &amp; Management, Kolkata, </w:t>
      </w:r>
      <w:r w:rsidR="004E62F0">
        <w:t xml:space="preserve">West Bengal, </w:t>
      </w:r>
      <w:r>
        <w:t>India</w:t>
      </w:r>
      <w:r w:rsidR="004E62F0">
        <w:t xml:space="preserve"> 700160</w:t>
      </w:r>
      <w:r>
        <w:t xml:space="preserve"> (email: sundeep.sondhi@uem.edu.in)</w:t>
      </w:r>
    </w:p>
    <w:p w14:paraId="1CBAAFD4" w14:textId="34C84097" w:rsidR="005E7F4E" w:rsidRDefault="005E7F4E">
      <w:pPr>
        <w:pStyle w:val="FootnoteText"/>
      </w:pPr>
      <w:r>
        <w:t xml:space="preserve">Prashant Salwan is with Indian Institute of Management, Indore, </w:t>
      </w:r>
      <w:r w:rsidR="004E62F0">
        <w:t xml:space="preserve">Madhya Pradesh, </w:t>
      </w:r>
      <w:r>
        <w:t>India</w:t>
      </w:r>
      <w:r w:rsidR="004E62F0">
        <w:t xml:space="preserve"> </w:t>
      </w:r>
      <w:r w:rsidR="004E62F0" w:rsidRPr="004E62F0">
        <w:t>453556</w:t>
      </w:r>
      <w:r>
        <w:t xml:space="preserve"> (email: psalwan@iimidr.ac.in)</w:t>
      </w:r>
    </w:p>
    <w:p w14:paraId="44C92304" w14:textId="770F442E" w:rsidR="004E62F0" w:rsidRDefault="004E62F0">
      <w:pPr>
        <w:pStyle w:val="FootnoteText"/>
      </w:pPr>
      <w:r w:rsidRPr="004E62F0">
        <w:t xml:space="preserve">Suman Niranjan </w:t>
      </w:r>
      <w:r>
        <w:t xml:space="preserve">and Timothy Hawkins are with University of North Texas, </w:t>
      </w:r>
      <w:r w:rsidRPr="004E62F0">
        <w:t>University of North Texas, Denton, TX 76201 USA</w:t>
      </w:r>
      <w:r w:rsidR="00F17C8D">
        <w:t xml:space="preserve"> (email: </w:t>
      </w:r>
      <w:r w:rsidR="00F17C8D" w:rsidRPr="00F17C8D">
        <w:t>Suman.Niranjan@unt.edu</w:t>
      </w:r>
      <w:r w:rsidR="00F17C8D">
        <w:t xml:space="preserve">; </w:t>
      </w:r>
      <w:r w:rsidR="00F17C8D" w:rsidRPr="00F17C8D">
        <w:t>Timothy.Hawkins@unt.edu</w:t>
      </w:r>
      <w:r w:rsidR="00F17C8D">
        <w:t>)</w:t>
      </w:r>
    </w:p>
    <w:p w14:paraId="2CC0EC86" w14:textId="168C72E8" w:rsidR="007530A3" w:rsidRDefault="00F17C8D">
      <w:pPr>
        <w:pStyle w:val="FootnoteText"/>
      </w:pPr>
      <w:r>
        <w:t xml:space="preserve">Abhishek Behl is with Keele University, </w:t>
      </w:r>
      <w:r w:rsidRPr="00F17C8D">
        <w:t xml:space="preserve">Keele, Newcastle </w:t>
      </w:r>
      <w:r w:rsidR="00B752F0" w:rsidRPr="00B752F0">
        <w:t>ST5 5BG</w:t>
      </w:r>
      <w:r w:rsidRPr="00F17C8D">
        <w:t>, United Kingdom</w:t>
      </w:r>
      <w:r>
        <w:t xml:space="preserve"> (email: </w:t>
      </w:r>
      <w:r w:rsidRPr="00F17C8D">
        <w:t>abhishekbehl27@gmail.com</w:t>
      </w:r>
      <w:r>
        <w:t>)</w:t>
      </w:r>
      <w:r w:rsidRPr="00F17C8D">
        <w:t xml:space="preserve"> </w:t>
      </w:r>
    </w:p>
    <w:p w14:paraId="7E404C12" w14:textId="2D48ECF6" w:rsidR="007530A3" w:rsidRDefault="00F17C8D" w:rsidP="00FC09B6">
      <w:pPr>
        <w:pStyle w:val="FootnoteText"/>
      </w:pPr>
      <w:r w:rsidRPr="00F17C8D">
        <w:t xml:space="preserve">Vijay Pereira is </w:t>
      </w:r>
      <w:r>
        <w:t xml:space="preserve">with </w:t>
      </w:r>
      <w:r w:rsidRPr="00F17C8D">
        <w:t>NEOMA Business School, 1 Rue du Maréchal Juin, 76130 Mont-Saint-</w:t>
      </w:r>
      <w:proofErr w:type="spellStart"/>
      <w:r w:rsidRPr="00F17C8D">
        <w:t>Aignan</w:t>
      </w:r>
      <w:proofErr w:type="spellEnd"/>
      <w:r w:rsidRPr="00F17C8D">
        <w:t>, France</w:t>
      </w:r>
      <w:r>
        <w:t xml:space="preserve"> (email: </w:t>
      </w:r>
      <w:r w:rsidRPr="00F17C8D">
        <w:t>vijay.pereira@port.ac.uk</w:t>
      </w:r>
    </w:p>
    <w:p w14:paraId="521134DC" w14:textId="1D0FC08E" w:rsidR="00FC09B6" w:rsidRDefault="00FC09B6" w:rsidP="00FC09B6">
      <w:pPr>
        <w:pStyle w:val="FootnoteText"/>
      </w:pPr>
      <w:r w:rsidRPr="00FC09B6">
        <w:t xml:space="preserve">Manlio del Giudice is </w:t>
      </w:r>
      <w:r>
        <w:t xml:space="preserve">with </w:t>
      </w:r>
      <w:r w:rsidR="00B752F0" w:rsidRPr="00FC09B6">
        <w:t>Link Campus University</w:t>
      </w:r>
      <w:r w:rsidR="00B752F0">
        <w:t>,</w:t>
      </w:r>
      <w:r w:rsidR="00B752F0" w:rsidRPr="00FC09B6">
        <w:t xml:space="preserve"> </w:t>
      </w:r>
      <w:r w:rsidRPr="00FC09B6">
        <w:t>University of Rome</w:t>
      </w:r>
      <w:r w:rsidR="00B752F0">
        <w:t xml:space="preserve">, </w:t>
      </w:r>
      <w:r w:rsidRPr="00FC09B6">
        <w:t>Rome, Italy</w:t>
      </w:r>
      <w:r>
        <w:t xml:space="preserve"> (email: </w:t>
      </w:r>
      <w:r w:rsidRPr="00FC09B6">
        <w:t>m.delgiudice@unilink.it</w:t>
      </w:r>
      <w:r>
        <w:t>)</w:t>
      </w:r>
    </w:p>
    <w:p w14:paraId="03B35CD5" w14:textId="029A7FF0" w:rsidR="007530A3" w:rsidRDefault="007530A3">
      <w:pPr>
        <w:pStyle w:val="FootnoteText"/>
      </w:pPr>
      <w:r>
        <w:t>.</w:t>
      </w:r>
    </w:p>
  </w:footnote>
  <w:footnote w:id="2">
    <w:p w14:paraId="2971CF76" w14:textId="77777777" w:rsidR="00F14D23" w:rsidRDefault="00F14D23" w:rsidP="00F14D23">
      <w:pPr>
        <w:pStyle w:val="FootnoteText"/>
      </w:pPr>
      <w:r w:rsidRPr="00C45571">
        <w:rPr>
          <w:rStyle w:val="FootnoteReference"/>
        </w:rPr>
        <w:footnoteRef/>
      </w:r>
      <w:r>
        <w:t xml:space="preserve"> </w:t>
      </w:r>
      <w:r w:rsidRPr="00401341">
        <w:t>ITU-TL.1020: Guide for operators and suppliers on approaches to migrate towards circular ICT goods and networks.</w:t>
      </w:r>
    </w:p>
  </w:footnote>
  <w:footnote w:id="3">
    <w:p w14:paraId="2AC12753" w14:textId="77777777" w:rsidR="003A4C45" w:rsidRDefault="003A4C45" w:rsidP="003A4C45">
      <w:pPr>
        <w:pStyle w:val="FootnoteText"/>
      </w:pPr>
      <w:r w:rsidRPr="00247E7D">
        <w:rPr>
          <w:rStyle w:val="FootnoteReference"/>
        </w:rPr>
        <w:footnoteRef/>
      </w:r>
      <w:r>
        <w:t xml:space="preserve"> </w:t>
      </w:r>
      <w:r w:rsidRPr="00401341">
        <w:t>ITU-T L.1031</w:t>
      </w:r>
      <w:r>
        <w:t xml:space="preserve">: </w:t>
      </w:r>
      <w:r w:rsidRPr="00401341">
        <w:t>Guideline for achieving the e-waste targets of the Connect 2030 Agenda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F7D68" w14:textId="77777777" w:rsidR="007530A3" w:rsidRDefault="007530A3">
    <w:pPr>
      <w:framePr w:wrap="auto" w:vAnchor="text" w:hAnchor="margin" w:xAlign="right" w:y="1"/>
    </w:pPr>
    <w:r>
      <w:fldChar w:fldCharType="begin"/>
    </w:r>
    <w:r>
      <w:instrText xml:space="preserve">PAGE  </w:instrText>
    </w:r>
    <w:r>
      <w:fldChar w:fldCharType="separate"/>
    </w:r>
    <w:r w:rsidR="009F4B45">
      <w:rPr>
        <w:noProof/>
      </w:rPr>
      <w:t>1</w:t>
    </w:r>
    <w:r>
      <w:fldChar w:fldCharType="end"/>
    </w:r>
  </w:p>
  <w:p w14:paraId="787BEABC" w14:textId="4E15437E" w:rsidR="007530A3" w:rsidRPr="00CF09C0" w:rsidRDefault="00CF09C0" w:rsidP="00CF09C0">
    <w:pPr>
      <w:ind w:right="360"/>
      <w:jc w:val="center"/>
      <w:rPr>
        <w:b/>
        <w:bCs/>
      </w:rPr>
    </w:pPr>
    <w:r w:rsidRPr="00CF09C0">
      <w:rPr>
        <w:b/>
        <w:bCs/>
      </w:rPr>
      <w:t>TEM -23- 1845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4413" w:hanging="720"/>
      </w:pPr>
    </w:lvl>
    <w:lvl w:ilvl="4">
      <w:start w:val="1"/>
      <w:numFmt w:val="decimal"/>
      <w:pStyle w:val="Heading5"/>
      <w:lvlText w:val="(%5)"/>
      <w:legacy w:legacy="1" w:legacySpace="0" w:legacyIndent="720"/>
      <w:lvlJc w:val="left"/>
      <w:pPr>
        <w:ind w:left="5133" w:hanging="720"/>
      </w:pPr>
    </w:lvl>
    <w:lvl w:ilvl="5">
      <w:start w:val="1"/>
      <w:numFmt w:val="lowerLetter"/>
      <w:pStyle w:val="Heading6"/>
      <w:lvlText w:val="(%6)"/>
      <w:legacy w:legacy="1" w:legacySpace="0" w:legacyIndent="720"/>
      <w:lvlJc w:val="left"/>
      <w:pPr>
        <w:ind w:left="5853" w:hanging="720"/>
      </w:pPr>
    </w:lvl>
    <w:lvl w:ilvl="6">
      <w:start w:val="1"/>
      <w:numFmt w:val="lowerRoman"/>
      <w:pStyle w:val="Heading7"/>
      <w:lvlText w:val="(%7)"/>
      <w:legacy w:legacy="1" w:legacySpace="0" w:legacyIndent="720"/>
      <w:lvlJc w:val="left"/>
      <w:pPr>
        <w:ind w:left="6573" w:hanging="720"/>
      </w:pPr>
    </w:lvl>
    <w:lvl w:ilvl="7">
      <w:start w:val="1"/>
      <w:numFmt w:val="lowerLetter"/>
      <w:pStyle w:val="Heading8"/>
      <w:lvlText w:val="(%8)"/>
      <w:legacy w:legacy="1" w:legacySpace="0" w:legacyIndent="720"/>
      <w:lvlJc w:val="left"/>
      <w:pPr>
        <w:ind w:left="7293" w:hanging="720"/>
      </w:pPr>
    </w:lvl>
    <w:lvl w:ilvl="8">
      <w:start w:val="1"/>
      <w:numFmt w:val="lowerRoman"/>
      <w:pStyle w:val="Heading9"/>
      <w:lvlText w:val="(%9)"/>
      <w:legacy w:legacy="1" w:legacySpace="0" w:legacyIndent="720"/>
      <w:lvlJc w:val="left"/>
      <w:pPr>
        <w:ind w:left="8013" w:hanging="720"/>
      </w:pPr>
    </w:lvl>
  </w:abstractNum>
  <w:abstractNum w:abstractNumId="1" w15:restartNumberingAfterBreak="0">
    <w:nsid w:val="3A877D64"/>
    <w:multiLevelType w:val="singleLevel"/>
    <w:tmpl w:val="37E4B88C"/>
    <w:lvl w:ilvl="0">
      <w:start w:val="1"/>
      <w:numFmt w:val="decimal"/>
      <w:pStyle w:val="References"/>
      <w:lvlText w:val="[%1]"/>
      <w:lvlJc w:val="left"/>
      <w:pPr>
        <w:tabs>
          <w:tab w:val="num" w:pos="4472"/>
        </w:tabs>
        <w:ind w:left="4472" w:hanging="360"/>
      </w:pPr>
      <w:rPr>
        <w:i w:val="0"/>
      </w:rPr>
    </w:lvl>
  </w:abstractNum>
  <w:num w:numId="1" w16cid:durableId="1941178174">
    <w:abstractNumId w:val="0"/>
  </w:num>
  <w:num w:numId="2" w16cid:durableId="210845679">
    <w:abstractNumId w:val="1"/>
  </w:num>
  <w:num w:numId="3" w16cid:durableId="1779527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52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wMjU2MjAwNTMyMTZV0lEKTi0uzszPAykwrAUA5noiuCwAAAA="/>
  </w:docVars>
  <w:rsids>
    <w:rsidRoot w:val="009F4B45"/>
    <w:rsid w:val="00021D76"/>
    <w:rsid w:val="00042E13"/>
    <w:rsid w:val="00051A78"/>
    <w:rsid w:val="00080A87"/>
    <w:rsid w:val="00093714"/>
    <w:rsid w:val="000A0C2F"/>
    <w:rsid w:val="000A168B"/>
    <w:rsid w:val="000D0626"/>
    <w:rsid w:val="000D2BDE"/>
    <w:rsid w:val="000D3295"/>
    <w:rsid w:val="000D3ED9"/>
    <w:rsid w:val="000E20CB"/>
    <w:rsid w:val="000E29EB"/>
    <w:rsid w:val="000F7A33"/>
    <w:rsid w:val="00102D8E"/>
    <w:rsid w:val="00104BB0"/>
    <w:rsid w:val="0010794E"/>
    <w:rsid w:val="00113F26"/>
    <w:rsid w:val="0013354F"/>
    <w:rsid w:val="00143F2E"/>
    <w:rsid w:val="00144E72"/>
    <w:rsid w:val="00151362"/>
    <w:rsid w:val="001768FF"/>
    <w:rsid w:val="001A60B1"/>
    <w:rsid w:val="001B2686"/>
    <w:rsid w:val="001B36B1"/>
    <w:rsid w:val="001E1A22"/>
    <w:rsid w:val="001E7B7A"/>
    <w:rsid w:val="001F4C5C"/>
    <w:rsid w:val="00204478"/>
    <w:rsid w:val="00214E2E"/>
    <w:rsid w:val="00216141"/>
    <w:rsid w:val="00217186"/>
    <w:rsid w:val="00222858"/>
    <w:rsid w:val="002434A1"/>
    <w:rsid w:val="00244CE9"/>
    <w:rsid w:val="00263943"/>
    <w:rsid w:val="00267B35"/>
    <w:rsid w:val="00280C00"/>
    <w:rsid w:val="0028359D"/>
    <w:rsid w:val="002D11EF"/>
    <w:rsid w:val="002E1F95"/>
    <w:rsid w:val="002F1A23"/>
    <w:rsid w:val="002F7910"/>
    <w:rsid w:val="00314F82"/>
    <w:rsid w:val="00334008"/>
    <w:rsid w:val="003427CE"/>
    <w:rsid w:val="00342BE1"/>
    <w:rsid w:val="003461E8"/>
    <w:rsid w:val="00357902"/>
    <w:rsid w:val="00360269"/>
    <w:rsid w:val="0037551B"/>
    <w:rsid w:val="00392DBA"/>
    <w:rsid w:val="003A04DB"/>
    <w:rsid w:val="003A4C45"/>
    <w:rsid w:val="003B516B"/>
    <w:rsid w:val="003C1777"/>
    <w:rsid w:val="003C2DD7"/>
    <w:rsid w:val="003C3322"/>
    <w:rsid w:val="003C68C2"/>
    <w:rsid w:val="003C6ED4"/>
    <w:rsid w:val="003D1EBF"/>
    <w:rsid w:val="003D4CAE"/>
    <w:rsid w:val="003F26BD"/>
    <w:rsid w:val="003F52AD"/>
    <w:rsid w:val="004020E7"/>
    <w:rsid w:val="00423614"/>
    <w:rsid w:val="00427835"/>
    <w:rsid w:val="0043144F"/>
    <w:rsid w:val="00431BFA"/>
    <w:rsid w:val="004353CF"/>
    <w:rsid w:val="004631BC"/>
    <w:rsid w:val="00484761"/>
    <w:rsid w:val="00484DD5"/>
    <w:rsid w:val="0048507C"/>
    <w:rsid w:val="004B558A"/>
    <w:rsid w:val="004C1E16"/>
    <w:rsid w:val="004C2543"/>
    <w:rsid w:val="004C48B9"/>
    <w:rsid w:val="004D15CA"/>
    <w:rsid w:val="004E0485"/>
    <w:rsid w:val="004E3E4C"/>
    <w:rsid w:val="004E62F0"/>
    <w:rsid w:val="004E7107"/>
    <w:rsid w:val="004F23A0"/>
    <w:rsid w:val="005003E3"/>
    <w:rsid w:val="005052CD"/>
    <w:rsid w:val="00532835"/>
    <w:rsid w:val="00535307"/>
    <w:rsid w:val="00550A26"/>
    <w:rsid w:val="00550BF5"/>
    <w:rsid w:val="00560458"/>
    <w:rsid w:val="00567A70"/>
    <w:rsid w:val="005A2A15"/>
    <w:rsid w:val="005B0AC6"/>
    <w:rsid w:val="005C6EA6"/>
    <w:rsid w:val="005D1B15"/>
    <w:rsid w:val="005D2824"/>
    <w:rsid w:val="005D4F1A"/>
    <w:rsid w:val="005D72BB"/>
    <w:rsid w:val="005E0194"/>
    <w:rsid w:val="005E692F"/>
    <w:rsid w:val="005E7F4E"/>
    <w:rsid w:val="005F7C45"/>
    <w:rsid w:val="00606050"/>
    <w:rsid w:val="00610699"/>
    <w:rsid w:val="0062114B"/>
    <w:rsid w:val="00623698"/>
    <w:rsid w:val="00625E96"/>
    <w:rsid w:val="006306BE"/>
    <w:rsid w:val="00633D77"/>
    <w:rsid w:val="00647C09"/>
    <w:rsid w:val="00651F2C"/>
    <w:rsid w:val="00667D47"/>
    <w:rsid w:val="00677C22"/>
    <w:rsid w:val="00685D0E"/>
    <w:rsid w:val="00693D5D"/>
    <w:rsid w:val="00697DB6"/>
    <w:rsid w:val="006B7F03"/>
    <w:rsid w:val="006C7307"/>
    <w:rsid w:val="00715BED"/>
    <w:rsid w:val="0072194D"/>
    <w:rsid w:val="00725B45"/>
    <w:rsid w:val="00727CB6"/>
    <w:rsid w:val="00735879"/>
    <w:rsid w:val="00745FA8"/>
    <w:rsid w:val="00746EF0"/>
    <w:rsid w:val="007530A3"/>
    <w:rsid w:val="0076355A"/>
    <w:rsid w:val="007707AB"/>
    <w:rsid w:val="007A7D60"/>
    <w:rsid w:val="007C4336"/>
    <w:rsid w:val="007E6764"/>
    <w:rsid w:val="007F1847"/>
    <w:rsid w:val="007F7AA6"/>
    <w:rsid w:val="0081663F"/>
    <w:rsid w:val="00823624"/>
    <w:rsid w:val="00830526"/>
    <w:rsid w:val="00837E47"/>
    <w:rsid w:val="00841532"/>
    <w:rsid w:val="008518FE"/>
    <w:rsid w:val="0085659C"/>
    <w:rsid w:val="00864212"/>
    <w:rsid w:val="00872026"/>
    <w:rsid w:val="0087792E"/>
    <w:rsid w:val="00883EAF"/>
    <w:rsid w:val="00885258"/>
    <w:rsid w:val="0089034F"/>
    <w:rsid w:val="008A30C3"/>
    <w:rsid w:val="008A3740"/>
    <w:rsid w:val="008A3C23"/>
    <w:rsid w:val="008A4E67"/>
    <w:rsid w:val="008A6666"/>
    <w:rsid w:val="008C49CC"/>
    <w:rsid w:val="008D69E9"/>
    <w:rsid w:val="008E0645"/>
    <w:rsid w:val="008F594A"/>
    <w:rsid w:val="00904C7E"/>
    <w:rsid w:val="0091035B"/>
    <w:rsid w:val="00916AD9"/>
    <w:rsid w:val="0092503F"/>
    <w:rsid w:val="009549FE"/>
    <w:rsid w:val="00967A45"/>
    <w:rsid w:val="009A1F6E"/>
    <w:rsid w:val="009C7D17"/>
    <w:rsid w:val="009E1C18"/>
    <w:rsid w:val="009E484E"/>
    <w:rsid w:val="009E52D0"/>
    <w:rsid w:val="009F40FB"/>
    <w:rsid w:val="009F4A1D"/>
    <w:rsid w:val="009F4B45"/>
    <w:rsid w:val="00A22FCB"/>
    <w:rsid w:val="00A235CF"/>
    <w:rsid w:val="00A25B3B"/>
    <w:rsid w:val="00A40127"/>
    <w:rsid w:val="00A472F1"/>
    <w:rsid w:val="00A51BCC"/>
    <w:rsid w:val="00A5237D"/>
    <w:rsid w:val="00A554A3"/>
    <w:rsid w:val="00A679E4"/>
    <w:rsid w:val="00A758EA"/>
    <w:rsid w:val="00A91937"/>
    <w:rsid w:val="00A9434E"/>
    <w:rsid w:val="00A953EC"/>
    <w:rsid w:val="00A95C50"/>
    <w:rsid w:val="00AB79A6"/>
    <w:rsid w:val="00AC4850"/>
    <w:rsid w:val="00AE1098"/>
    <w:rsid w:val="00B0761E"/>
    <w:rsid w:val="00B16DB5"/>
    <w:rsid w:val="00B30495"/>
    <w:rsid w:val="00B47B59"/>
    <w:rsid w:val="00B53F81"/>
    <w:rsid w:val="00B56C2B"/>
    <w:rsid w:val="00B65BD3"/>
    <w:rsid w:val="00B70469"/>
    <w:rsid w:val="00B72DD8"/>
    <w:rsid w:val="00B72E09"/>
    <w:rsid w:val="00B752F0"/>
    <w:rsid w:val="00BF0C69"/>
    <w:rsid w:val="00BF629B"/>
    <w:rsid w:val="00BF655C"/>
    <w:rsid w:val="00C04A43"/>
    <w:rsid w:val="00C05C8E"/>
    <w:rsid w:val="00C075EF"/>
    <w:rsid w:val="00C11E83"/>
    <w:rsid w:val="00C2378A"/>
    <w:rsid w:val="00C3139A"/>
    <w:rsid w:val="00C378A1"/>
    <w:rsid w:val="00C46279"/>
    <w:rsid w:val="00C621D6"/>
    <w:rsid w:val="00C74CD7"/>
    <w:rsid w:val="00C75907"/>
    <w:rsid w:val="00C80366"/>
    <w:rsid w:val="00C82D86"/>
    <w:rsid w:val="00C907C9"/>
    <w:rsid w:val="00CB4B8D"/>
    <w:rsid w:val="00CC0DDA"/>
    <w:rsid w:val="00CD1ADD"/>
    <w:rsid w:val="00CD684F"/>
    <w:rsid w:val="00CE0937"/>
    <w:rsid w:val="00CF09C0"/>
    <w:rsid w:val="00CF1C45"/>
    <w:rsid w:val="00D06623"/>
    <w:rsid w:val="00D14C6B"/>
    <w:rsid w:val="00D36324"/>
    <w:rsid w:val="00D37D54"/>
    <w:rsid w:val="00D4171C"/>
    <w:rsid w:val="00D5536F"/>
    <w:rsid w:val="00D56935"/>
    <w:rsid w:val="00D66D5A"/>
    <w:rsid w:val="00D716BA"/>
    <w:rsid w:val="00D758C6"/>
    <w:rsid w:val="00D75BEE"/>
    <w:rsid w:val="00D7612F"/>
    <w:rsid w:val="00D76C4A"/>
    <w:rsid w:val="00D90C10"/>
    <w:rsid w:val="00D91E83"/>
    <w:rsid w:val="00D92E96"/>
    <w:rsid w:val="00DA24D6"/>
    <w:rsid w:val="00DA258C"/>
    <w:rsid w:val="00DA4345"/>
    <w:rsid w:val="00DE07FA"/>
    <w:rsid w:val="00DE20DB"/>
    <w:rsid w:val="00DE5E38"/>
    <w:rsid w:val="00DF2DDE"/>
    <w:rsid w:val="00DF77C8"/>
    <w:rsid w:val="00E01667"/>
    <w:rsid w:val="00E34BB4"/>
    <w:rsid w:val="00E36209"/>
    <w:rsid w:val="00E37AF9"/>
    <w:rsid w:val="00E420BB"/>
    <w:rsid w:val="00E50DF6"/>
    <w:rsid w:val="00E51639"/>
    <w:rsid w:val="00E6336D"/>
    <w:rsid w:val="00E6366C"/>
    <w:rsid w:val="00E71E29"/>
    <w:rsid w:val="00E965C5"/>
    <w:rsid w:val="00E96A3A"/>
    <w:rsid w:val="00E97402"/>
    <w:rsid w:val="00E97B99"/>
    <w:rsid w:val="00EB2E9D"/>
    <w:rsid w:val="00EC7077"/>
    <w:rsid w:val="00ED1E14"/>
    <w:rsid w:val="00ED61B8"/>
    <w:rsid w:val="00EE6FFC"/>
    <w:rsid w:val="00EF10AC"/>
    <w:rsid w:val="00EF4701"/>
    <w:rsid w:val="00EF564E"/>
    <w:rsid w:val="00F14D23"/>
    <w:rsid w:val="00F17C8D"/>
    <w:rsid w:val="00F22198"/>
    <w:rsid w:val="00F26239"/>
    <w:rsid w:val="00F33D49"/>
    <w:rsid w:val="00F3481E"/>
    <w:rsid w:val="00F577F6"/>
    <w:rsid w:val="00F650AA"/>
    <w:rsid w:val="00F65266"/>
    <w:rsid w:val="00F751E1"/>
    <w:rsid w:val="00F932B6"/>
    <w:rsid w:val="00F942E1"/>
    <w:rsid w:val="00FC09B6"/>
    <w:rsid w:val="00FC0B7B"/>
    <w:rsid w:val="00FD347F"/>
    <w:rsid w:val="00FD4D88"/>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780676"/>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uiPriority w:val="99"/>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NormalWeb">
    <w:name w:val="Normal (Web)"/>
    <w:basedOn w:val="Normal"/>
    <w:uiPriority w:val="99"/>
    <w:unhideWhenUsed/>
    <w:rsid w:val="0089034F"/>
    <w:pPr>
      <w:spacing w:before="100" w:beforeAutospacing="1" w:after="100" w:afterAutospacing="1"/>
      <w:ind w:firstLine="284"/>
      <w:jc w:val="both"/>
    </w:pPr>
    <w:rPr>
      <w:sz w:val="24"/>
      <w:szCs w:val="24"/>
      <w:lang w:val="en-IN" w:eastAsia="en-IN"/>
    </w:rPr>
  </w:style>
  <w:style w:type="character" w:styleId="UnresolvedMention">
    <w:name w:val="Unresolved Mention"/>
    <w:basedOn w:val="DefaultParagraphFont"/>
    <w:uiPriority w:val="99"/>
    <w:semiHidden/>
    <w:unhideWhenUsed/>
    <w:rsid w:val="005E7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189108">
      <w:bodyDiv w:val="1"/>
      <w:marLeft w:val="0"/>
      <w:marRight w:val="0"/>
      <w:marTop w:val="0"/>
      <w:marBottom w:val="0"/>
      <w:divBdr>
        <w:top w:val="none" w:sz="0" w:space="0" w:color="auto"/>
        <w:left w:val="none" w:sz="0" w:space="0" w:color="auto"/>
        <w:bottom w:val="none" w:sz="0" w:space="0" w:color="auto"/>
        <w:right w:val="none" w:sz="0" w:space="0" w:color="auto"/>
      </w:divBdr>
      <w:divsChild>
        <w:div w:id="2032566144">
          <w:marLeft w:val="0"/>
          <w:marRight w:val="0"/>
          <w:marTop w:val="0"/>
          <w:marBottom w:val="0"/>
          <w:divBdr>
            <w:top w:val="none" w:sz="0" w:space="0" w:color="auto"/>
            <w:left w:val="none" w:sz="0" w:space="0" w:color="auto"/>
            <w:bottom w:val="none" w:sz="0" w:space="0" w:color="auto"/>
            <w:right w:val="none" w:sz="0" w:space="0" w:color="auto"/>
          </w:divBdr>
        </w:div>
        <w:div w:id="299068768">
          <w:marLeft w:val="0"/>
          <w:marRight w:val="0"/>
          <w:marTop w:val="0"/>
          <w:marBottom w:val="0"/>
          <w:divBdr>
            <w:top w:val="none" w:sz="0" w:space="0" w:color="auto"/>
            <w:left w:val="none" w:sz="0" w:space="0" w:color="auto"/>
            <w:bottom w:val="none" w:sz="0" w:space="0" w:color="auto"/>
            <w:right w:val="none" w:sz="0" w:space="0" w:color="auto"/>
          </w:divBdr>
        </w:div>
      </w:divsChild>
    </w:div>
    <w:div w:id="33692711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595400981">
      <w:bodyDiv w:val="1"/>
      <w:marLeft w:val="0"/>
      <w:marRight w:val="0"/>
      <w:marTop w:val="0"/>
      <w:marBottom w:val="0"/>
      <w:divBdr>
        <w:top w:val="none" w:sz="0" w:space="0" w:color="auto"/>
        <w:left w:val="none" w:sz="0" w:space="0" w:color="auto"/>
        <w:bottom w:val="none" w:sz="0" w:space="0" w:color="auto"/>
        <w:right w:val="none" w:sz="0" w:space="0" w:color="auto"/>
      </w:divBdr>
      <w:divsChild>
        <w:div w:id="1485588146">
          <w:marLeft w:val="0"/>
          <w:marRight w:val="0"/>
          <w:marTop w:val="0"/>
          <w:marBottom w:val="0"/>
          <w:divBdr>
            <w:top w:val="none" w:sz="0" w:space="0" w:color="auto"/>
            <w:left w:val="none" w:sz="0" w:space="0" w:color="auto"/>
            <w:bottom w:val="none" w:sz="0" w:space="0" w:color="auto"/>
            <w:right w:val="none" w:sz="0" w:space="0" w:color="auto"/>
          </w:divBdr>
        </w:div>
        <w:div w:id="880289228">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D3AE-AF6D-4D99-9533-660D929E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199</TotalTime>
  <Pages>14</Pages>
  <Words>31337</Words>
  <Characters>178627</Characters>
  <Application>Microsoft Office Word</Application>
  <DocSecurity>0</DocSecurity>
  <Lines>1488</Lines>
  <Paragraphs>419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209545</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Sundeep Sondhi</cp:lastModifiedBy>
  <cp:revision>15</cp:revision>
  <cp:lastPrinted>2012-08-02T18:53:00Z</cp:lastPrinted>
  <dcterms:created xsi:type="dcterms:W3CDTF">2024-10-11T04:52:00Z</dcterms:created>
  <dcterms:modified xsi:type="dcterms:W3CDTF">2024-10-16T10:46:00Z</dcterms:modified>
</cp:coreProperties>
</file>