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CB989" w14:textId="77777777" w:rsidR="00D66B36" w:rsidRPr="007138D8" w:rsidRDefault="00D66B36" w:rsidP="00D66B36">
      <w:pPr>
        <w:spacing w:line="480" w:lineRule="auto"/>
        <w:jc w:val="center"/>
        <w:rPr>
          <w:b/>
          <w:sz w:val="28"/>
          <w:szCs w:val="28"/>
        </w:rPr>
      </w:pPr>
      <w:r w:rsidRPr="007138D8">
        <w:rPr>
          <w:b/>
          <w:sz w:val="28"/>
          <w:szCs w:val="28"/>
        </w:rPr>
        <w:t>AI in the Organizational Nexus: Building Trust, Cementing Commitment, and Evolving Psychological Contracts</w:t>
      </w:r>
    </w:p>
    <w:p w14:paraId="7D566766" w14:textId="77777777" w:rsidR="00E83C6D" w:rsidRPr="007138D8" w:rsidRDefault="003C69E1" w:rsidP="00120A34">
      <w:pPr>
        <w:jc w:val="both"/>
        <w:rPr>
          <w:b/>
          <w:bCs/>
        </w:rPr>
      </w:pPr>
      <w:r w:rsidRPr="007138D8">
        <w:rPr>
          <w:b/>
          <w:bCs/>
        </w:rPr>
        <w:t>Abstract</w:t>
      </w:r>
    </w:p>
    <w:p w14:paraId="76C9C1D1" w14:textId="716F709E" w:rsidR="008A25CD" w:rsidRPr="007138D8" w:rsidRDefault="00770A8A" w:rsidP="00120A34">
      <w:pPr>
        <w:spacing w:line="480" w:lineRule="auto"/>
        <w:jc w:val="both"/>
      </w:pPr>
      <w:r w:rsidRPr="007138D8">
        <w:t xml:space="preserve">Since the </w:t>
      </w:r>
      <w:r w:rsidR="00F23319" w:rsidRPr="007138D8">
        <w:t>Industrial R</w:t>
      </w:r>
      <w:r w:rsidRPr="007138D8">
        <w:t xml:space="preserve">evolution, significant technological advancements have revolutionized various manual processes and workflows entrenched for decades. Artificial Intelligence (AI) offers similar transformative potential across diverse industrial and social domains. The rapid pace of change in the AI-driven digital age presents unprecedented opportunities and challenges for sustained progress. Given the potentially profound impact of AI, this study seeks to explore its disruptive effects and challenges within organizational contexts. Drawing on the Social Exchange Theory, this research </w:t>
      </w:r>
      <w:r w:rsidR="00F23319" w:rsidRPr="007138D8">
        <w:t>examines</w:t>
      </w:r>
      <w:r w:rsidRPr="007138D8">
        <w:t xml:space="preserve"> the relationship between </w:t>
      </w:r>
      <w:r w:rsidR="00E91739" w:rsidRPr="007138D8">
        <w:t>p</w:t>
      </w:r>
      <w:r w:rsidRPr="007138D8">
        <w:t xml:space="preserve">sychological </w:t>
      </w:r>
      <w:r w:rsidR="00E91739" w:rsidRPr="007138D8">
        <w:t>c</w:t>
      </w:r>
      <w:r w:rsidRPr="007138D8">
        <w:t>ontract (PC) fulfillment and organizational commitment, with trust acting as a mediator and AI acceptance as a moderator. Data were collected from the service industry using a time-lagged design. The findings indicate that PC fulfillment positively influences workers’ trust and organizational commitment.</w:t>
      </w:r>
      <w:r w:rsidR="00E91739" w:rsidRPr="007138D8">
        <w:t xml:space="preserve"> </w:t>
      </w:r>
      <w:r w:rsidRPr="007138D8">
        <w:t>Furthermore, AI acceptance attenuates the direct and indirect positive effects of PC fulfillment on job-related outcomes. This study offers valuable insights into building and maintaining trust and fostering a committed workforce amidst the digitalization era. It underscores the importance of fulfilling promissory expectations in fostering trust and commitment. Additionally, it sheds light on the disruptive effects of AI technology on critical job outcomes, emphasizing the societal and industrial implications, the future of work, and avenues for further advancements in AI technology.</w:t>
      </w:r>
    </w:p>
    <w:p w14:paraId="351D6DC8" w14:textId="77777777" w:rsidR="002A4EA0" w:rsidRPr="007138D8" w:rsidRDefault="002A4EA0" w:rsidP="00120A34">
      <w:pPr>
        <w:jc w:val="both"/>
      </w:pPr>
      <w:r w:rsidRPr="007138D8">
        <w:rPr>
          <w:b/>
        </w:rPr>
        <w:t>Keywords</w:t>
      </w:r>
      <w:r w:rsidRPr="007138D8">
        <w:t xml:space="preserve">: AI, </w:t>
      </w:r>
      <w:r w:rsidR="00D31140" w:rsidRPr="007138D8">
        <w:t>psychological contract</w:t>
      </w:r>
      <w:r w:rsidRPr="007138D8">
        <w:t>, trust, organizational commitment</w:t>
      </w:r>
    </w:p>
    <w:p w14:paraId="45095910" w14:textId="77777777" w:rsidR="005024E1" w:rsidRPr="007138D8" w:rsidRDefault="005024E1" w:rsidP="00120A34">
      <w:pPr>
        <w:jc w:val="both"/>
        <w:rPr>
          <w:b/>
        </w:rPr>
      </w:pPr>
      <w:r w:rsidRPr="007138D8">
        <w:rPr>
          <w:b/>
        </w:rPr>
        <w:br w:type="page"/>
      </w:r>
    </w:p>
    <w:p w14:paraId="12AA98A0" w14:textId="77777777" w:rsidR="008C57FA" w:rsidRPr="007138D8" w:rsidRDefault="00F11719" w:rsidP="00120A34">
      <w:pPr>
        <w:spacing w:line="480" w:lineRule="auto"/>
        <w:jc w:val="both"/>
        <w:rPr>
          <w:b/>
          <w:sz w:val="28"/>
          <w:szCs w:val="28"/>
        </w:rPr>
      </w:pPr>
      <w:r w:rsidRPr="007138D8">
        <w:rPr>
          <w:b/>
          <w:sz w:val="28"/>
          <w:szCs w:val="28"/>
        </w:rPr>
        <w:lastRenderedPageBreak/>
        <w:t xml:space="preserve">1. </w:t>
      </w:r>
      <w:r w:rsidR="00E21EB3" w:rsidRPr="007138D8">
        <w:rPr>
          <w:b/>
          <w:sz w:val="28"/>
          <w:szCs w:val="28"/>
        </w:rPr>
        <w:t>Introduction</w:t>
      </w:r>
    </w:p>
    <w:p w14:paraId="35ADF57D" w14:textId="3D33BADD" w:rsidR="00F23319" w:rsidRPr="007138D8" w:rsidRDefault="00F16291" w:rsidP="00120A34">
      <w:pPr>
        <w:spacing w:line="480" w:lineRule="auto"/>
        <w:jc w:val="both"/>
      </w:pPr>
      <w:r w:rsidRPr="007138D8">
        <w:t xml:space="preserve">Job is fundamentally a trade-off between </w:t>
      </w:r>
      <w:r w:rsidR="00F74C7D" w:rsidRPr="007138D8">
        <w:t>workers and employers</w:t>
      </w:r>
      <w:r w:rsidR="00F23319" w:rsidRPr="007138D8">
        <w:t>, and</w:t>
      </w:r>
      <w:r w:rsidRPr="007138D8">
        <w:t xml:space="preserve"> each side </w:t>
      </w:r>
      <w:r w:rsidR="0049004F" w:rsidRPr="007138D8">
        <w:t>can attain</w:t>
      </w:r>
      <w:r w:rsidRPr="007138D8">
        <w:t xml:space="preserve"> something from this association</w:t>
      </w:r>
      <w:r w:rsidR="00E91739" w:rsidRPr="007138D8">
        <w:t xml:space="preserve"> </w:t>
      </w:r>
      <w:r w:rsidR="00456E63" w:rsidRPr="007138D8">
        <w:fldChar w:fldCharType="begin" w:fldLock="1"/>
      </w:r>
      <w:r w:rsidR="006154F8" w:rsidRPr="007138D8">
        <w:instrText>ADDIN CSL_CITATION {"citationItems":[{"id":"ITEM-1","itemData":{"DOI":"10.1177/0149206305279602","ISSN":"0149-2063","abstract":"&lt;p&gt;Social exchange theory (SET) is one the most influential conceptual paradigms in organizational behavior. Despite its usefulness, theoretical ambiguities within SET remain. As a consequence, tests of the model, as well as its applications, tend to rely on an incompletely specified set of ideas. The authors address conceptual difficulties and highlight areas in need of additional research. In so doing, they pay special attention to four issues: (a) the roots of the conceptual ambiguities, (b) norms and rules of exchange, (c) nature of the resources being exchanged, and (d) social exchange relationships.&lt;/p&gt;","author":[{"dropping-particle":"","family":"Cropanzano","given":"Russell","non-dropping-particle":"","parse-names":false,"suffix":""},{"dropping-particle":"","family":"Mitchell","given":"Marie S.","non-dropping-particle":"","parse-names":false,"suffix":""}],"container-title":"Journal of Management","id":"ITEM-1","issue":"6","issued":{"date-parts":[["2005","12","1"]]},"page":"874-900","publisher":"Sage PublicationsSage CA: Thousand Oaks, CA","title":"Social Exchange Theory: An Interdisciplinary Review","type":"article-journal","volume":"31"},"uris":["http://www.mendeley.com/documents/?uuid=f8157064-a3db-3eb3-80e1-daa4671593c6"]}],"mendeley":{"formattedCitation":"(Cropanzano &amp; Mitchell, 2005)","plainTextFormattedCitation":"(Cropanzano &amp; Mitchell, 2005)","previouslyFormattedCitation":"(Cropanzano &amp; Mitchell, 2005)"},"properties":{"noteIndex":0},"schema":"https://github.com/citation-style-language/schema/raw/master/csl-citation.json"}</w:instrText>
      </w:r>
      <w:r w:rsidR="00456E63" w:rsidRPr="007138D8">
        <w:fldChar w:fldCharType="separate"/>
      </w:r>
      <w:r w:rsidR="007F3FBA" w:rsidRPr="007138D8">
        <w:t>(Cropanzano &amp; Mitchell, 2005)</w:t>
      </w:r>
      <w:r w:rsidR="00456E63" w:rsidRPr="007138D8">
        <w:fldChar w:fldCharType="end"/>
      </w:r>
      <w:r w:rsidRPr="007138D8">
        <w:t>. In the past years, worker-organization association</w:t>
      </w:r>
      <w:r w:rsidR="0062247E" w:rsidRPr="007138D8">
        <w:t>s</w:t>
      </w:r>
      <w:r w:rsidR="00E91739" w:rsidRPr="007138D8">
        <w:t xml:space="preserve"> </w:t>
      </w:r>
      <w:r w:rsidR="0062247E" w:rsidRPr="007138D8">
        <w:t>have been</w:t>
      </w:r>
      <w:r w:rsidRPr="007138D8">
        <w:t xml:space="preserve"> steady and foreseeable (e.g.</w:t>
      </w:r>
      <w:r w:rsidR="0049004F" w:rsidRPr="007138D8">
        <w:t>,</w:t>
      </w:r>
      <w:r w:rsidRPr="007138D8">
        <w:t xml:space="preserve"> job assurance). In return, workers </w:t>
      </w:r>
      <w:r w:rsidR="00F23319" w:rsidRPr="007138D8">
        <w:t>entire</w:t>
      </w:r>
      <w:r w:rsidRPr="007138D8">
        <w:t>l</w:t>
      </w:r>
      <w:r w:rsidR="00C90610" w:rsidRPr="007138D8">
        <w:t xml:space="preserve">y devote themselves </w:t>
      </w:r>
      <w:r w:rsidR="0049004F" w:rsidRPr="007138D8">
        <w:t xml:space="preserve">to </w:t>
      </w:r>
      <w:r w:rsidR="00C90610" w:rsidRPr="007138D8">
        <w:t>the firm</w:t>
      </w:r>
      <w:r w:rsidR="00456E63" w:rsidRPr="007138D8">
        <w:fldChar w:fldCharType="begin" w:fldLock="1"/>
      </w:r>
      <w:r w:rsidR="004C0716" w:rsidRPr="007138D8">
        <w:instrText>ADDIN CSL_CITATION {"citationItems":[{"id":"ITEM-1","itemData":{"DOI":"10.1002/9780470745267.ch3","author":[{"dropping-particle":"","family":"Conway","given":"Neil","non-dropping-particle":"","parse-names":false,"suffix":""},{"dropping-particle":"","family":"Briner","given":"Rob B.","non-dropping-particle":"","parse-names":false,"suffix":""}],"container-title":"International Review of Industrial and Organizational Psychology","id":"ITEM-1","issued":{"date-parts":[["2009","4","17"]]},"page":"71-130","publisher":"Wiley","title":"Fifty Years of Psychological Contract Research: What Do We Know and What are the Main Challenges?","type":"chapter"},"uris":["http://www.mendeley.com/documents/?uuid=4804be4f-8fef-34df-ba1b-7e5761a639d3"]},{"id":"ITEM-2","itemData":{"DOI":"10.1016/J.JVB.2007.10.005","ISSN":"0001-8791","abstract":"The aim of this study was to examine the influence of age in the relation between psychological contract breach and the development of job attitudes. Based on affective events, social exchange, and lifespan theory, we hypothesized that (1) psychological contract breach would be related negatively to job attitudes, and (2) that age would moderate these relations. The hypotheses were tested by means of a meta-analysis of k=60 studies, using Weighted Least Squares estimation. Our results supported both hypotheses for the outcomes trust and organizational commitment. However, for job satisfaction the moderating influence of age was in the unexpected direction. The relations between contract breach and trust and organizational commitment were indeed stronger for younger workers, whereas the relation between contract breach and job satisfaction was stronger for older workers. The implications are discussed, and a research agenda is presented.","author":[{"dropping-particle":"","family":"Bal","given":"P. Matthijs","non-dropping-particle":"","parse-names":false,"suffix":""},{"dropping-particle":"","family":"Lange","given":"Annet H.","non-dropping-particle":"De","parse-names":false,"suffix":""},{"dropping-particle":"","family":"Jansen","given":"Paul G.W.","non-dropping-particle":"","parse-names":false,"suffix":""},{"dropping-particle":"","family":"Velde","given":"Mandy E.G.","non-dropping-particle":"Van Der","parse-names":false,"suffix":""}],"container-title":"Journal of Vocational Behavior","id":"ITEM-2","issue":"1","issued":{"date-parts":[["2008","2","1"]]},"page":"143-158","publisher":"Academic Press","title":"Psychological contract breach and job attitudes: A meta-analysis of age as a moderator","type":"article-journal","volume":"72"},"uris":["http://www.mendeley.com/documents/?uuid=b2ae5ddc-f47a-3f90-b1d2-b05d5c8998c6"]}],"mendeley":{"formattedCitation":"(Bal et al., 2008; Conway &amp; Briner, 2009)","plainTextFormattedCitation":"(Bal et al., 2008; Conway &amp; Briner, 2009)","previouslyFormattedCitation":"(Bal et al., 2008; Conway &amp; Briner, 2009)"},"properties":{"noteIndex":0},"schema":"https://github.com/citation-style-language/schema/raw/master/csl-citation.json"}</w:instrText>
      </w:r>
      <w:r w:rsidR="00456E63" w:rsidRPr="007138D8">
        <w:fldChar w:fldCharType="separate"/>
      </w:r>
      <w:r w:rsidR="00495830" w:rsidRPr="007138D8">
        <w:t>(Bal et al., 2008; Conway &amp; Briner, 2009)</w:t>
      </w:r>
      <w:r w:rsidR="00456E63" w:rsidRPr="007138D8">
        <w:fldChar w:fldCharType="end"/>
      </w:r>
      <w:r w:rsidRPr="007138D8">
        <w:t xml:space="preserve">. </w:t>
      </w:r>
      <w:r w:rsidR="00F74C7D" w:rsidRPr="007138D8">
        <w:t xml:space="preserve">Recently, </w:t>
      </w:r>
      <w:r w:rsidR="00F23319" w:rsidRPr="007138D8">
        <w:t>fundamental</w:t>
      </w:r>
      <w:r w:rsidR="00F74C7D" w:rsidRPr="007138D8">
        <w:t xml:space="preserve"> changes have been noticed </w:t>
      </w:r>
      <w:r w:rsidR="00F23319" w:rsidRPr="007138D8">
        <w:t>in</w:t>
      </w:r>
      <w:r w:rsidR="00E91739" w:rsidRPr="007138D8">
        <w:t xml:space="preserve"> </w:t>
      </w:r>
      <w:r w:rsidRPr="007138D8">
        <w:t>worker-employer association</w:t>
      </w:r>
      <w:r w:rsidR="0049004F" w:rsidRPr="007138D8">
        <w:t>s</w:t>
      </w:r>
      <w:r w:rsidRPr="007138D8">
        <w:t>.</w:t>
      </w:r>
      <w:r w:rsidR="00E91739" w:rsidRPr="007138D8">
        <w:t xml:space="preserve"> </w:t>
      </w:r>
      <w:r w:rsidR="00DA5731" w:rsidRPr="007138D8">
        <w:t>Modern employers require their workers</w:t>
      </w:r>
      <w:r w:rsidR="00F74C7D" w:rsidRPr="007138D8">
        <w:t>’</w:t>
      </w:r>
      <w:r w:rsidR="00DA5731" w:rsidRPr="007138D8">
        <w:t xml:space="preserve"> reservoir to </w:t>
      </w:r>
      <w:r w:rsidR="00F33A60" w:rsidRPr="007138D8">
        <w:t>increase</w:t>
      </w:r>
      <w:r w:rsidR="00DA5731" w:rsidRPr="007138D8">
        <w:t xml:space="preserve"> or </w:t>
      </w:r>
      <w:r w:rsidR="00F33A60" w:rsidRPr="007138D8">
        <w:t xml:space="preserve">decrease </w:t>
      </w:r>
      <w:r w:rsidR="00DA5731" w:rsidRPr="007138D8">
        <w:t>per their present requirements or market conditions.</w:t>
      </w:r>
    </w:p>
    <w:p w14:paraId="6DAF7B33" w14:textId="66531BF4" w:rsidR="00DA5731" w:rsidRPr="007138D8" w:rsidRDefault="008764EC" w:rsidP="00723939">
      <w:pPr>
        <w:spacing w:line="480" w:lineRule="auto"/>
        <w:ind w:firstLine="360"/>
        <w:jc w:val="both"/>
      </w:pPr>
      <w:r w:rsidRPr="007138D8">
        <w:t>Consequently</w:t>
      </w:r>
      <w:r w:rsidR="0049004F" w:rsidRPr="007138D8">
        <w:t>,</w:t>
      </w:r>
      <w:r w:rsidR="00DA5731" w:rsidRPr="007138D8">
        <w:t xml:space="preserve"> conventional </w:t>
      </w:r>
      <w:r w:rsidR="00CE57F6" w:rsidRPr="007138D8">
        <w:t>job condition</w:t>
      </w:r>
      <w:r w:rsidR="004D57DA" w:rsidRPr="007138D8">
        <w:t>s(</w:t>
      </w:r>
      <w:r w:rsidR="00DA5731" w:rsidRPr="007138D8">
        <w:t>for instance</w:t>
      </w:r>
      <w:r w:rsidR="0049004F" w:rsidRPr="007138D8">
        <w:t>,</w:t>
      </w:r>
      <w:r w:rsidR="00DA5731" w:rsidRPr="007138D8">
        <w:t xml:space="preserve"> work security</w:t>
      </w:r>
      <w:r w:rsidR="004D57DA" w:rsidRPr="007138D8">
        <w:t>)are</w:t>
      </w:r>
      <w:r w:rsidR="00DA5731" w:rsidRPr="007138D8">
        <w:t xml:space="preserve"> outdated</w:t>
      </w:r>
      <w:r w:rsidR="00456E63" w:rsidRPr="007138D8">
        <w:fldChar w:fldCharType="begin" w:fldLock="1"/>
      </w:r>
      <w:r w:rsidR="00BE1358" w:rsidRPr="007138D8">
        <w:instrText>ADDIN CSL_CITATION {"citationItems":[{"id":"ITEM-1","itemData":{"DOI":"10.1108/CCSM-07-2020-0137","ISSN":"2059-5794","abstract":"This paper contains a meta-analysis of the psychological contract literature published in the last two decades. The aim of this paper was to investigate the moderating role of national culture in the individual-level relationships between psychological contract breach (PCB) and two important work outcomes, namely job performance (in-role and organizational citizenship behaviors) and turnover (actual and intended).,After an extensive literature search, 134 studies were found which matched the authors’ aim. The authors then incorporated national cultural scores based on the GLOBE study to include country-level scores to identify how the PCB relationships with these four outcomes vary across cultures.,The findings indicate that national cultural practices moderated the associations between PCB and the four outcomes, yet, no significant moderations for uncertainty avoidance practices.,While existing research has examined the impact of the breach on work outcomes such as job performance and turnover, there are few empirical studies that examine how national cultural practices influence the relationships between psychological contract breach and job performance and turnover. The authors address this need by investigating and creating a deeper insight into how cultural practices such as institutional collectivism, performance-orientation, power-distance, future orientation and gender egalitarianism moderate the relationships between PCB and job performance and turnover.","author":[{"dropping-particle":"","family":"Jayaweera","given":"A. Thushel","non-dropping-particle":"","parse-names":false,"suffix":""},{"dropping-particle":"","family":"Bal","given":"Matthijs","non-dropping-particle":"","parse-names":false,"suffix":""},{"dropping-particle":"","family":"Chudzikowski","given":"Katharina","non-dropping-particle":"","parse-names":false,"suffix":""},{"dropping-particle":"","family":"Jong","given":"Simon","non-dropping-particle":"de","parse-names":false,"suffix":""}],"container-title":"Cross Cultural &amp; Strategic Management","id":"ITEM-1","issue":"3","issued":{"date-parts":[["2021","7","1"]]},"page":"574-599","publisher":"Emerald Publishing Limited","title":"Moderating effects of national culture on the psychological contract breach and outcome relationship: a meta-analysis","type":"article-journal","volume":"28"},"uris":["http://www.mendeley.com/documents/?uuid=c2d51e82-6a88-385f-9c3a-5c476538b1bd"]}],"mendeley":{"formattedCitation":"(Jayaweera et al., 2021)","plainTextFormattedCitation":"(Jayaweera et al., 2021)","previouslyFormattedCitation":"(Jayaweera et al., 2021)"},"properties":{"noteIndex":0},"schema":"https://github.com/citation-style-language/schema/raw/master/csl-citation.json"}</w:instrText>
      </w:r>
      <w:r w:rsidR="00456E63" w:rsidRPr="007138D8">
        <w:fldChar w:fldCharType="separate"/>
      </w:r>
      <w:r w:rsidR="004C0716" w:rsidRPr="007138D8">
        <w:t>(Jayaweera et al., 2021)</w:t>
      </w:r>
      <w:r w:rsidR="00456E63" w:rsidRPr="007138D8">
        <w:fldChar w:fldCharType="end"/>
      </w:r>
      <w:r w:rsidR="00DA5731" w:rsidRPr="007138D8">
        <w:t>. This has changed workers</w:t>
      </w:r>
      <w:r w:rsidR="00F74C7D" w:rsidRPr="007138D8">
        <w:t>’</w:t>
      </w:r>
      <w:r w:rsidR="00DA5731" w:rsidRPr="007138D8">
        <w:t xml:space="preserve"> perceptions of their employer and disturbed the association between employer and </w:t>
      </w:r>
      <w:r w:rsidR="003A23DB" w:rsidRPr="007138D8">
        <w:t>work</w:t>
      </w:r>
      <w:r w:rsidR="00DA5731" w:rsidRPr="007138D8">
        <w:t xml:space="preserve"> dedication</w:t>
      </w:r>
      <w:r w:rsidR="0049004F" w:rsidRPr="007138D8">
        <w:t>,</w:t>
      </w:r>
      <w:r w:rsidR="00DA5731" w:rsidRPr="007138D8">
        <w:t xml:space="preserve"> leading to diverse worker-employer discourse</w:t>
      </w:r>
      <w:r w:rsidR="00456E63" w:rsidRPr="007138D8">
        <w:fldChar w:fldCharType="begin" w:fldLock="1"/>
      </w:r>
      <w:r w:rsidR="00495830" w:rsidRPr="007138D8">
        <w:instrText>ADDIN CSL_CITATION {"citationItems":[{"id":"ITEM-1","itemData":{"DOI":"10.1146/annurev-orgpsych-012218-015212","ISSN":"2327-0608","abstract":"&lt;p&gt;We provide a review of psychological contract research, beginning with past conceptualizations and empirical evidence. We tailor this retrospective look by reviewing the antecedents and outcomes associated with psychological contract breach and discussing the dominant theoretical explanations for the breach-outcome relationship. This synthesis of past evidence provides the foundation for reviewing the present emerging and developing themes in psychological contract research. This discussion is organized around the expansion of resources exchanged and the antecedents of contract breach and outcomes, moving beyond reciprocity as an underpinning explanation. We highlight the practical implications of research to date on psychological contracts and end with directions for future research to include the need for greater attention given to ideological currency, employee health, polycontextual approaches, the role of psychological needs, and post-breach/violation.&lt;/p&gt;","author":[{"dropping-particle":"","family":"Coyle-Shapiro","given":"Jacqueline A.-M.","non-dropping-particle":"","parse-names":false,"suffix":""},{"dropping-particle":"","family":"Pereira Costa","given":"Sandra","non-dropping-particle":"","parse-names":false,"suffix":""},{"dropping-particle":"","family":"Doden","given":"Wiebke","non-dropping-particle":"","parse-names":false,"suffix":""},{"dropping-particle":"","family":"Chang","given":"Chiachi","non-dropping-particle":"","parse-names":false,"suffix":""}],"container-title":"Annual Review of Organizational Psychology and Organizational Behavior","id":"ITEM-1","issue":"1","issued":{"date-parts":[["2019","1","21"]]},"page":"145-169","publisher":" Annual Reviews ","title":"Psychological Contracts: Past, Present, and Future","type":"article-journal","volume":"6"},"uris":["http://www.mendeley.com/documents/?uuid=33815c04-570a-3377-a73a-e68644e4471e"]}],"mendeley":{"formattedCitation":"(Coyle-Shapiro et al., 2019)","plainTextFormattedCitation":"(Coyle-Shapiro et al., 2019)","previouslyFormattedCitation":"(Coyle-Shapiro et al., 2019)"},"properties":{"noteIndex":0},"schema":"https://github.com/citation-style-language/schema/raw/master/csl-citation.json"}</w:instrText>
      </w:r>
      <w:r w:rsidR="00456E63" w:rsidRPr="007138D8">
        <w:fldChar w:fldCharType="separate"/>
      </w:r>
      <w:r w:rsidR="00234523" w:rsidRPr="007138D8">
        <w:t>(Coyle-Shapiro et al., 2019)</w:t>
      </w:r>
      <w:r w:rsidR="00456E63" w:rsidRPr="007138D8">
        <w:fldChar w:fldCharType="end"/>
      </w:r>
      <w:r w:rsidR="00DA5731" w:rsidRPr="007138D8">
        <w:t>.</w:t>
      </w:r>
      <w:r w:rsidR="00E91739" w:rsidRPr="007138D8">
        <w:t xml:space="preserve"> </w:t>
      </w:r>
      <w:r w:rsidR="00DA5731" w:rsidRPr="007138D8">
        <w:t xml:space="preserve">Organizational commitment has received </w:t>
      </w:r>
      <w:r w:rsidR="0049004F" w:rsidRPr="007138D8">
        <w:t xml:space="preserve">the </w:t>
      </w:r>
      <w:r w:rsidR="00DA5731" w:rsidRPr="007138D8">
        <w:t>attention of scholars and professionals</w:t>
      </w:r>
      <w:r w:rsidR="00F16422" w:rsidRPr="007138D8">
        <w:t>. This</w:t>
      </w:r>
      <w:r w:rsidR="00DA5731" w:rsidRPr="007138D8">
        <w:t xml:space="preserve"> is believed</w:t>
      </w:r>
      <w:r w:rsidR="00AF4C53" w:rsidRPr="007138D8">
        <w:t xml:space="preserve"> to be an excellent redefining </w:t>
      </w:r>
      <w:r w:rsidR="00DA5731" w:rsidRPr="007138D8">
        <w:t xml:space="preserve">of </w:t>
      </w:r>
      <w:r w:rsidR="0049004F" w:rsidRPr="007138D8">
        <w:t xml:space="preserve">the </w:t>
      </w:r>
      <w:r w:rsidR="00DA5731" w:rsidRPr="007138D8">
        <w:t>rising employee-employer associat</w:t>
      </w:r>
      <w:r w:rsidR="00F16422" w:rsidRPr="007138D8">
        <w:t>ion</w:t>
      </w:r>
      <w:r w:rsidR="0049004F" w:rsidRPr="007138D8">
        <w:t>,</w:t>
      </w:r>
      <w:r w:rsidR="00F16422" w:rsidRPr="007138D8">
        <w:t xml:space="preserve"> which</w:t>
      </w:r>
      <w:r w:rsidR="00F23319" w:rsidRPr="007138D8">
        <w:t xml:space="preserve"> also adds to employer productivity while promoting workers’ faithfulness and content</w:t>
      </w:r>
      <w:r w:rsidR="00E91739" w:rsidRPr="007138D8">
        <w:t xml:space="preserve"> </w:t>
      </w:r>
      <w:r w:rsidR="00456E63" w:rsidRPr="007138D8">
        <w:fldChar w:fldCharType="begin" w:fldLock="1"/>
      </w:r>
      <w:r w:rsidR="00597ED2" w:rsidRPr="007138D8">
        <w:instrText>ADDIN CSL_CITATION {"citationItems":[{"id":"ITEM-1","itemData":{"DOI":"10.1108/JMD-01-2017-0014","ISSN":"0262-1711","author":[{"dropping-particle":"","family":"Moin","given":"Muhammad Farrukh","non-dropping-particle":"","parse-names":false,"suffix":""}],"container-title":"Journal of Management Development","id":"ITEM-1","issue":"2","issued":{"date-parts":[["2018","3","5"]]},"page":"178-187","title":"The link between perceptions of leader emotion regulation and followers’ organizational commitment","type":"article-journal","volume":"37"},"uris":["http://www.mendeley.com/documents/?uuid=5020dd39-ee0c-32a9-bd74-b1f7b544280a"]}],"mendeley":{"formattedCitation":"(Moin, 2018)","plainTextFormattedCitation":"(Moin, 2018)","previouslyFormattedCitation":"(Moin, 2018)"},"properties":{"noteIndex":0},"schema":"https://github.com/citation-style-language/schema/raw/master/csl-citation.json"}</w:instrText>
      </w:r>
      <w:r w:rsidR="00456E63" w:rsidRPr="007138D8">
        <w:fldChar w:fldCharType="separate"/>
      </w:r>
      <w:r w:rsidR="006759F9" w:rsidRPr="007138D8">
        <w:t>(Moin, 2018)</w:t>
      </w:r>
      <w:r w:rsidR="00456E63" w:rsidRPr="007138D8">
        <w:fldChar w:fldCharType="end"/>
      </w:r>
      <w:r w:rsidR="00DA5731" w:rsidRPr="007138D8">
        <w:t>. While employer</w:t>
      </w:r>
      <w:r w:rsidR="00B23078" w:rsidRPr="007138D8">
        <w:t>s</w:t>
      </w:r>
      <w:r w:rsidR="00DA5731" w:rsidRPr="007138D8">
        <w:t xml:space="preserve"> require </w:t>
      </w:r>
      <w:r w:rsidR="00B23078" w:rsidRPr="007138D8">
        <w:t>hiring and sustaining</w:t>
      </w:r>
      <w:r w:rsidR="00E91739" w:rsidRPr="007138D8">
        <w:t xml:space="preserve"> </w:t>
      </w:r>
      <w:r w:rsidR="0049004F" w:rsidRPr="007138D8">
        <w:t xml:space="preserve">the </w:t>
      </w:r>
      <w:r w:rsidR="00DA5731" w:rsidRPr="007138D8">
        <w:t xml:space="preserve">best </w:t>
      </w:r>
      <w:r w:rsidR="00F23319" w:rsidRPr="007138D8">
        <w:t>workforce</w:t>
      </w:r>
      <w:r w:rsidR="00DA5731" w:rsidRPr="007138D8">
        <w:t xml:space="preserve">, they also require their best workers to be bodily and psychologically devoted </w:t>
      </w:r>
      <w:r w:rsidR="0049004F" w:rsidRPr="007138D8">
        <w:t xml:space="preserve">to </w:t>
      </w:r>
      <w:r w:rsidR="00DA5731" w:rsidRPr="007138D8">
        <w:t>their job</w:t>
      </w:r>
      <w:r w:rsidR="0049004F" w:rsidRPr="007138D8">
        <w:t>s</w:t>
      </w:r>
      <w:r w:rsidR="00DA5731" w:rsidRPr="007138D8">
        <w:t xml:space="preserve">. A committed staff is believed to be a </w:t>
      </w:r>
      <w:r w:rsidR="0049004F" w:rsidRPr="007138D8">
        <w:t>long-</w:t>
      </w:r>
      <w:r w:rsidR="00DA5731" w:rsidRPr="007138D8">
        <w:t>term asset</w:t>
      </w:r>
      <w:r w:rsidR="00E91739" w:rsidRPr="007138D8">
        <w:t xml:space="preserve"> </w:t>
      </w:r>
      <w:r w:rsidR="00456E63" w:rsidRPr="007138D8">
        <w:fldChar w:fldCharType="begin" w:fldLock="1"/>
      </w:r>
      <w:r w:rsidR="00613F63" w:rsidRPr="007138D8">
        <w:instrText>ADDIN CSL_CITATION {"citationItems":[{"id":"ITEM-1","itemData":{"DOI":"10.3389/fpsyg.2022.992258","ISSN":"1664-1078","abstract":"Backgroud: Existing research indicates that job satisfaction has effects on job performance, but little evidence exists about the mechanism through which the satisfaction-performance association operates. This study aims to examine the effect of job satisfaction on job performance in a district-level health care system of China and to explore the effect mechanism mediated by organizational commitment and burnout. Methods: Cluster sampling was used in this study. All healthcare professionals in the Nanshan Medical Group, who were at work in the last three months and able to complete online questionnaire independently were invited to participate the anonymous online survey. Job satisfaction, organizational commitment, burnout and job performance were measured by tools, which have been validated in China. Descriptive statistics were used for the socio-demographic variables and the four job psychological variables. Pearson correlation coefficients was used to determine associations among each of the psychological variables. Linear regression was used to examine association between job performance and other three psychological variables. PROCESS macro was used to examine the mediation effects of organizational commitment and burnout on the association between job satisfaction and performance. Results: In total, 1200 healthcare professinals completed the anonymous online survey. Job satisfaction, organizational commitment, and job performance were positively correlated with one another, with burnout negatively correlated with them. Linear regression revealed that demographic characteristics, job satisfaction, organizational commitment, and burnout explained 5%, 6%, 2% and 9% of the variance in job performance. Path analysis showed that the coefficient of the direct effect of job satisfaction on job performance was 0.18, the coefficients of the indirect effects of job satisfaction on job performance through organizational commitment and burnout were 0.17 and 0.37 respectively. The coefficients of the indirect effects of organizational commitment on job performance through burnout was -0.04, but it was not significant. Conclusions:It is promising to improve job performance of providers in Chinese healthcare systems by improving job satisfaction and reducing burnout. Tailored support policies for female healthcare professionals, appropriate incentive mechanisms and improving multidisciplinary healthcare delivery are potential to improve job performance of health…","author":[{"dropping-particle":"","family":"Wang","given":"Xin","non-dropping-particle":"","parse-names":false,"suffix":""},{"dropping-particle":"","family":"Li","given":"Chaofan","non-dropping-particle":"","parse-names":false,"suffix":""},{"dropping-particle":"","family":"Chen","given":"Yuanqing","non-dropping-particle":"","parse-names":false,"suffix":""},{"dropping-particle":"","family":"Zheng","given":"Caiyun","non-dropping-particle":"","parse-names":false,"suffix":""},{"dropping-particle":"","family":"Zhang","given":"Fei","non-dropping-particle":"","parse-names":false,"suffix":""},{"dropping-particle":"","family":"Huang","given":"Yixiang","non-dropping-particle":"","parse-names":false,"suffix":""},{"dropping-particle":"","family":"Birch","given":"Stephen","non-dropping-particle":"","parse-names":false,"suffix":""}],"container-title":"Frontiers in Psychology","id":"ITEM-1","issued":{"date-parts":[["2022","11","28"]]},"page":"992258","publisher":"Frontiers","title":"Relationships between job satisfaction, organizational commitment, burnout and job performance of healthcare professionals in a district-level health care system of Shenzhen, China","type":"article-journal","volume":"13"},"uris":["http://www.mendeley.com/documents/?uuid=8774f182-192d-34c7-b016-d0485b8126b9"]},{"id":"ITEM-2","itemData":{"DOI":"10.1108/IJM-08-2018-0243","ISSN":"0143-7720","abstract":"The purpose of this paper is to explore the mechanisms by which high-commitment organization is associated with employees’ job performance through the perspective of taking charge and the perceived strength of the human resource management (HRM) system.,Based on conservation of resources (COR) theory, the authors used two-wave survey data from 200 supervisor-subordinates pairs in China. This study uses hierarchical linear regression and bootstrapping method to analyze the mediated moderation effect.,The authors found that perceived high-commitment organization and perceived strength of the HRM system interact in predicting employees’ taking charge behavior, such that perceived high-commitment organization is more positively associated with taking charge when the perceived strength of the HRM system is high rather than low. In addition, taking charge mediates the relationship between interactive effects of perceived high-commitment organization and the perceived strength of the HRM system on employees’ job performance.,This study extended the high-commitment organization from the perspective of individual perception based on the COR theory and regard perceived high-commitment organization as an organizational resource.","author":[{"dropping-particle":"","family":"Yan","given":"Jiaqi","non-dropping-particle":"","parse-names":false,"suffix":""},{"dropping-particle":"","family":"Luo","given":"Jinlian","non-dropping-particle":"","parse-names":false,"suffix":""},{"dropping-particle":"","family":"Jia","given":"Jianfeng","non-dropping-particle":"","parse-names":false,"suffix":""},{"dropping-particle":"","family":"Zhong","given":"Jing","non-dropping-particle":"","parse-names":false,"suffix":""}],"container-title":"International Journal of Manpower","id":"ITEM-2","issue":"7","issued":{"date-parts":[["2019","10","7"]]},"page":"1305-1318","publisher":"Emerald Publishing Limited","title":"High-commitment organization and employees’ job performance","type":"article-journal","volume":"40"},"uris":["http://www.mendeley.com/documents/?uuid=13986e2e-a8c6-346a-a7b1-3580579fb8dd"]}],"mendeley":{"formattedCitation":"(Wang et al., 2022; Yan et al., 2019)","plainTextFormattedCitation":"(Wang et al., 2022; Yan et al., 2019)","previouslyFormattedCitation":"(Wang et al., 2022; Yan et al., 2019)"},"properties":{"noteIndex":0},"schema":"https://github.com/citation-style-language/schema/raw/master/csl-citation.json"}</w:instrText>
      </w:r>
      <w:r w:rsidR="00456E63" w:rsidRPr="007138D8">
        <w:fldChar w:fldCharType="separate"/>
      </w:r>
      <w:r w:rsidR="00B87A9E" w:rsidRPr="007138D8">
        <w:t>(Wang et al., 2022; Yan et al., 2019)</w:t>
      </w:r>
      <w:r w:rsidR="00456E63" w:rsidRPr="007138D8">
        <w:fldChar w:fldCharType="end"/>
      </w:r>
      <w:r w:rsidR="00DA5731" w:rsidRPr="007138D8">
        <w:t>. Despite rising interest in studying organizational commitment, few studies have explored work and individual reservoirs</w:t>
      </w:r>
      <w:r w:rsidR="00F74C7D" w:rsidRPr="007138D8">
        <w:t>’</w:t>
      </w:r>
      <w:r w:rsidR="00DA5731" w:rsidRPr="007138D8">
        <w:t xml:space="preserve"> influence </w:t>
      </w:r>
      <w:r w:rsidR="00954F95" w:rsidRPr="007138D8">
        <w:t xml:space="preserve">on </w:t>
      </w:r>
      <w:r w:rsidR="00DA5731" w:rsidRPr="007138D8">
        <w:t>organizational commitment</w:t>
      </w:r>
      <w:r w:rsidR="00E91739" w:rsidRPr="007138D8">
        <w:t xml:space="preserve"> </w:t>
      </w:r>
      <w:r w:rsidR="00456E63" w:rsidRPr="007138D8">
        <w:fldChar w:fldCharType="begin" w:fldLock="1"/>
      </w:r>
      <w:r w:rsidR="00651284" w:rsidRPr="007138D8">
        <w:instrText>ADDIN CSL_CITATION {"citationItems":[{"id":"ITEM-1","itemData":{"DOI":"10.1080/1359432X.2019.1697743","ISSN":"1359-432X","abstract":"Employees’ receipt of inducements is associated with trust and affective commitment, and employees pay for their inducements with their contributions (e.g., time, and physical and intellectual effo...","author":[{"dropping-particle":"","family":"Lambert","given":"Lisa Schurer","non-dropping-particle":"","parse-names":false,"suffix":""},{"dropping-particle":"","family":"Bingham","given":"John B.","non-dropping-particle":"","parse-names":false,"suffix":""},{"dropping-particle":"","family":"Zabinski","given":"Anna","non-dropping-particle":"","parse-names":false,"suffix":""}],"container-title":"European Journal of Work and Organizational Psychology","id":"ITEM-1","issue":"2","issued":{"date-parts":[["2020","3","3"]]},"page":"294-314","publisher":"Routledge","title":"Affective commitment, trust, and the psychological contract: contributions matter, too!","type":"article-journal","volume":"29"},"uris":["http://www.mendeley.com/documents/?uuid=b56d4ef3-b357-31ca-b992-dac13cab060f"]}],"mendeley":{"formattedCitation":"(Lambert et al., 2020)","plainTextFormattedCitation":"(Lambert et al., 2020)","previouslyFormattedCitation":"(Lambert et al., 2020)"},"properties":{"noteIndex":0},"schema":"https://github.com/citation-style-language/schema/raw/master/csl-citation.json"}</w:instrText>
      </w:r>
      <w:r w:rsidR="00456E63" w:rsidRPr="007138D8">
        <w:fldChar w:fldCharType="separate"/>
      </w:r>
      <w:r w:rsidR="0045295E" w:rsidRPr="007138D8">
        <w:t>(Lambert et al., 2020)</w:t>
      </w:r>
      <w:r w:rsidR="00456E63" w:rsidRPr="007138D8">
        <w:fldChar w:fldCharType="end"/>
      </w:r>
      <w:r w:rsidR="00954F95" w:rsidRPr="007138D8">
        <w:t>. E</w:t>
      </w:r>
      <w:r w:rsidR="00DA5731" w:rsidRPr="007138D8">
        <w:t xml:space="preserve">xisting studies have neglected </w:t>
      </w:r>
      <w:r w:rsidR="00954F95" w:rsidRPr="007138D8">
        <w:t>employee</w:t>
      </w:r>
      <w:r w:rsidR="00DA5731" w:rsidRPr="007138D8">
        <w:t xml:space="preserve"> psychological factors that can impact organizational commitment</w:t>
      </w:r>
      <w:r w:rsidR="00E91739" w:rsidRPr="007138D8">
        <w:t xml:space="preserve"> </w:t>
      </w:r>
      <w:r w:rsidR="00456E63" w:rsidRPr="007138D8">
        <w:fldChar w:fldCharType="begin" w:fldLock="1"/>
      </w:r>
      <w:r w:rsidR="003D5767" w:rsidRPr="007138D8">
        <w:instrText>ADDIN CSL_CITATION {"citationItems":[{"id":"ITEM-1","itemData":{"DOI":"10.1108/PR-03-2020-0144","ISSN":"0048-3486","abstract":"Drawing from the deontic justice theory and the social exchange theory, the purpose of this study attempts to identify the relationship between perceived corporate social responsibility (CSR) and employees' affective commitment, mediated through organizational trust. Furthermore, the authors seek to understand how the attitude of employees toward the importance of CSR, moderates the aforementioned relationship.,The respondents for this descriptive study were drawn from a sample of 500 employees working in manufacturing companies in India. Self-reporting questionnaires were administered among the respondents, who were selected through the judgment sampling method. Measurement model analysis was done using IBM AMOS 21.0 and path analytic procedures using PROCESS 3.0 macro was used to test the proposed hypotheses.,Results revealed that there is a significant indirect effect of all three dimensions of CSR on affective commitment, through organizational trust. The conditional indirect effects varied significantly, and it was identified that both employee-CSR and customer-CSR had a significant indirect effect on employee affective commitment. However, social/nonsocial CSR did not have a conditional indirect effect on affective commitment, through attitude toward the importance of CSR and organizational trust.,The cross-sectional nature of the study does not allow inference of causality and pose limitations for generalization of results. Though the limitation of common method bias is inherent in studies with self-reporting measures, the authors adopted several procedural remedies to minimize its effect. The study results, particularly the role of attitude toward the importance of CSR need to be tested among employees in different industry sectors. Future studies should examine the same theoretical model in different nations, where CSR activities are not mandated by law.,This study is pioneering in conceptualizing and empirically testing a theoretical model that examined the combined influence of perceived CSR, employees' attitude toward the importance of CSR and organizational trust on their affective commitment toward the organization. This study extends the literature by examining the indirect/mechanisms linking CSR and employees' affective commitment. Exploring more on the employee individual differences and its influence on organizational outcomes will definitely improve individual and organizational functioning.","author":[{"dropping-particle":"","family":"George","given":"Nimmy A.","non-dropping-particle":"","parse-names":false,"suffix":""},{"dropping-particle":"","family":"Aboobaker","given":"Nimitha","non-dropping-particle":"","parse-names":false,"suffix":""},{"dropping-particle":"","family":"Edward","given":"Manoj","non-dropping-particle":"","parse-names":false,"suffix":""}],"container-title":"Personnel Review","id":"ITEM-1","issue":"4","issued":{"date-parts":[["2021","6","22"]]},"page":"1093-1111","publisher":"Emerald Publishing Limited","title":"Corporate social responsibility, organizational trust and commitment: a moderated mediation model","type":"article-journal","volume":"50"},"uris":["http://www.mendeley.com/documents/?uuid=349146ee-21e0-37f2-90e4-877ff05b6826"]},{"id":"ITEM-2","itemData":{"DOI":"10.1108/JABS-08-2021-0356","ISSN":"1558-7894","abstract":"This paper aims to examine the effect of procedural justice on affective commitment, through the mediating of organizational trust and job satisfaction.,Data were collected from 305 executives working in eight large cement organizations through a standardized questionnaire. Confirmatory factor analysis, structural equation modelling and mediation analysis were performed to examine the relationship.,Procedural justice significantly influenced job satisfaction and organizational trust directly. Organizational trust and job satisfaction are partially mediated by organizational justice and affective commitment. Interestingly, procedural justice does not influence affective commitment directly.,Procedural justice and affective commitment are crucial aspects of an organization. Limited research has been conducted linking procedural justice, organizational trust, job satisfaction and affective commitment. This study was conducted in the South Asian country of India, where power-distance prevails","author":[{"dropping-particle":"","family":"Pathardikar","given":"Avinash D.","non-dropping-particle":"","parse-names":false,"suffix":""},{"dropping-particle":"","family":"Mishra","given":"Praveen Kumar","non-dropping-particle":"","parse-names":false,"suffix":""},{"dropping-particle":"","family":"Sahu","given":"Sangeeta","non-dropping-particle":"","parse-names":false,"suffix":""}],"container-title":"Journal of Asia Business Studies","id":"ITEM-2","issue":"2","issued":{"date-parts":[["2023","2","28"]]},"page":"371-384","publisher":"Emerald Publishing Limited","title":"Procedural justice influencing affective commitment: mediating role of organizational trust and job satisfaction","type":"article-journal","volume":"17"},"uris":["http://www.mendeley.com/documents/?uuid=97bf9797-04d8-3ae1-b77c-3645727995d8"]},{"id":"ITEM-3","itemData":{"DOI":"10.1108/ER-05-2020-0223","ISSN":"0142-5455","abstract":"This paper examines the extent to which investment in human capital (HC) influences employee well-being, focusing on companies in the Basque Country in Northern Spain. Specifically, it analyzes the effects of worker perceptions of high-involvement work system (HIWS) on job satisfaction (JS) and affective commitment (AC), directly and through the mediating role of trust in management. This trust mediating role was also explored by analyzing the isolated effects of high-involvement work processes (power, information, reward and knowledge [PIRK] enhancing practices) on JS and AC.,The structural equation modeling (SEM) approach was used on a sample of 2,199 employees from 425 organizations working in different industries. As the study was performed at the organizational level, aggregation was conducted first.,The findings revealed that trust partially mediated the relationship between HIWS and JS, although AC was directly predicted by the system. In contrast, a trust mediating role was confirmed in the relationship between all PIRK processes, JS and AC.,This study highlights the “hinge” role of trust in linking high-involvement work practices (HIWPs) as an approach to assess HC in organizations and well-being at work. It further conceptualizes HIWS via a PIRK model and operationalizes it through systemic and dimensional approach.","author":[{"dropping-particle":"","family":"Uribetxebarria","given":"Urtzi","non-dropping-particle":"","parse-names":false,"suffix":""},{"dropping-particle":"","family":"Gago","given":"Mónica","non-dropping-particle":"","parse-names":false,"suffix":""},{"dropping-particle":"","family":"Legarra","given":"Maite","non-dropping-particle":"","parse-names":false,"suffix":""},{"dropping-particle":"","family":"Elorza","given":"Unai","non-dropping-particle":"","parse-names":false,"suffix":""}],"container-title":"Employee Relations: The International Journal","id":"ITEM-3","issue":"4","issued":{"date-parts":[["2021","6","8"]]},"page":"842-857","publisher":"Emerald Publishing Limited","title":"The link between HIWPs and well-being at work: the mediating role of trust","type":"article-journal","volume":"43"},"uris":["http://www.mendeley.com/documents/?uuid=70230153-3a13-36fe-b47b-2018fff5d73c"]}],"mendeley":{"formattedCitation":"(George et al., 2021; Pathardikar et al., 2023; Uribetxebarria et al., 2021)","plainTextFormattedCitation":"(George et al., 2021; Pathardikar et al., 2023; Uribetxebarria et al., 2021)","previouslyFormattedCitation":"(George et al., 2021; Pathardikar et al., 2023; Uribetxebarria et al., 2021)"},"properties":{"noteIndex":0},"schema":"https://github.com/citation-style-language/schema/raw/master/csl-citation.json"}</w:instrText>
      </w:r>
      <w:r w:rsidR="00456E63" w:rsidRPr="007138D8">
        <w:fldChar w:fldCharType="separate"/>
      </w:r>
      <w:r w:rsidR="00423EFF" w:rsidRPr="007138D8">
        <w:t>(George et al., 2021; Pathardikar et al., 2023; Uribetxebarria et al., 2021)</w:t>
      </w:r>
      <w:r w:rsidR="00456E63" w:rsidRPr="007138D8">
        <w:fldChar w:fldCharType="end"/>
      </w:r>
      <w:r w:rsidR="00DA5731" w:rsidRPr="007138D8">
        <w:t>. Thus</w:t>
      </w:r>
      <w:r w:rsidR="0049004F" w:rsidRPr="007138D8">
        <w:t>,</w:t>
      </w:r>
      <w:r w:rsidR="00DA5731" w:rsidRPr="007138D8">
        <w:t xml:space="preserve"> this research investigates the causes and psychological factor</w:t>
      </w:r>
      <w:r w:rsidR="0049004F" w:rsidRPr="007138D8">
        <w:t>s</w:t>
      </w:r>
      <w:r w:rsidR="00DA5731" w:rsidRPr="007138D8">
        <w:t xml:space="preserve"> that influence organizational commitment. </w:t>
      </w:r>
      <w:r w:rsidR="00184187" w:rsidRPr="007138D8">
        <w:t>C</w:t>
      </w:r>
      <w:r w:rsidR="00DA5731" w:rsidRPr="007138D8">
        <w:t xml:space="preserve">hanging job settings has focused </w:t>
      </w:r>
      <w:r w:rsidR="0049004F" w:rsidRPr="007138D8">
        <w:t xml:space="preserve">the </w:t>
      </w:r>
      <w:r w:rsidR="00DA5731" w:rsidRPr="007138D8">
        <w:t>administration</w:t>
      </w:r>
      <w:r w:rsidR="00770A8A" w:rsidRPr="007138D8">
        <w:t>’</w:t>
      </w:r>
      <w:r w:rsidR="0049004F" w:rsidRPr="007138D8">
        <w:t>s</w:t>
      </w:r>
      <w:r w:rsidR="00DA5731" w:rsidRPr="007138D8">
        <w:t xml:space="preserve"> attention </w:t>
      </w:r>
      <w:r w:rsidR="0049004F" w:rsidRPr="007138D8">
        <w:t xml:space="preserve">on </w:t>
      </w:r>
      <w:r w:rsidR="00DA5731" w:rsidRPr="007138D8">
        <w:t xml:space="preserve">employment </w:t>
      </w:r>
      <w:r w:rsidR="00DA5731" w:rsidRPr="007138D8">
        <w:lastRenderedPageBreak/>
        <w:t>contracts. Yet</w:t>
      </w:r>
      <w:r w:rsidR="0049004F" w:rsidRPr="007138D8">
        <w:t>,</w:t>
      </w:r>
      <w:r w:rsidR="00E91739" w:rsidRPr="007138D8">
        <w:t xml:space="preserve"> </w:t>
      </w:r>
      <w:r w:rsidR="00DA5731" w:rsidRPr="007138D8">
        <w:t>this element has not been properly discussed in prior orga</w:t>
      </w:r>
      <w:r w:rsidR="00AD67AF" w:rsidRPr="007138D8">
        <w:t>nizational commitment research</w:t>
      </w:r>
      <w:r w:rsidR="00E91739" w:rsidRPr="007138D8">
        <w:t xml:space="preserve"> </w:t>
      </w:r>
      <w:r w:rsidR="00456E63" w:rsidRPr="007138D8">
        <w:fldChar w:fldCharType="begin" w:fldLock="1"/>
      </w:r>
      <w:r w:rsidR="002E5D04" w:rsidRPr="007138D8">
        <w:instrText>ADDIN CSL_CITATION {"citationItems":[{"id":"ITEM-1","itemData":{"DOI":"10.1080/1359432X.2019.1697743","ISSN":"1359-432X","abstract":"Employees’ receipt of inducements is associated with trust and affective commitment, and employees pay for their inducements with their contributions (e.g., time, and physical and intellectual effo...","author":[{"dropping-particle":"","family":"Lambert","given":"Lisa Schurer","non-dropping-particle":"","parse-names":false,"suffix":""},{"dropping-particle":"","family":"Bingham","given":"John B.","non-dropping-particle":"","parse-names":false,"suffix":""},{"dropping-particle":"","family":"Zabinski","given":"Anna","non-dropping-particle":"","parse-names":false,"suffix":""}],"container-title":"European Journal of Work and Organizational Psychology","id":"ITEM-1","issue":"2","issued":{"date-parts":[["2020","3","3"]]},"page":"294-314","publisher":"Routledge","title":"Affective commitment, trust, and the psychological contract: contributions matter, too!","type":"article-journal","volume":"29"},"uris":["http://www.mendeley.com/documents/?uuid=b56d4ef3-b357-31ca-b992-dac13cab060f"]}],"mendeley":{"formattedCitation":"(Lambert et al., 2020)","plainTextFormattedCitation":"(Lambert et al., 2020)","previouslyFormattedCitation":"(Lambert et al., 2020)"},"properties":{"noteIndex":0},"schema":"https://github.com/citation-style-language/schema/raw/master/csl-citation.json"}</w:instrText>
      </w:r>
      <w:r w:rsidR="00456E63" w:rsidRPr="007138D8">
        <w:fldChar w:fldCharType="separate"/>
      </w:r>
      <w:r w:rsidR="006B5609" w:rsidRPr="007138D8">
        <w:t>(Lambert et al., 2020)</w:t>
      </w:r>
      <w:r w:rsidR="00456E63" w:rsidRPr="007138D8">
        <w:fldChar w:fldCharType="end"/>
      </w:r>
      <w:r w:rsidR="00AD67AF" w:rsidRPr="007138D8">
        <w:t>.</w:t>
      </w:r>
      <w:r w:rsidR="00E91739" w:rsidRPr="007138D8">
        <w:t xml:space="preserve"> </w:t>
      </w:r>
      <w:r w:rsidR="007D210D" w:rsidRPr="007138D8">
        <w:rPr>
          <w:i/>
        </w:rPr>
        <w:t xml:space="preserve">Thus, </w:t>
      </w:r>
      <w:r w:rsidR="00120A34" w:rsidRPr="007138D8">
        <w:rPr>
          <w:i/>
        </w:rPr>
        <w:t xml:space="preserve">drawing upon the social exchange theory, we propose </w:t>
      </w:r>
      <w:r w:rsidR="00F23319" w:rsidRPr="007138D8">
        <w:rPr>
          <w:i/>
        </w:rPr>
        <w:t>investigating</w:t>
      </w:r>
      <w:r w:rsidR="00E91739" w:rsidRPr="007138D8">
        <w:rPr>
          <w:i/>
        </w:rPr>
        <w:t xml:space="preserve"> </w:t>
      </w:r>
      <w:r w:rsidR="00DA5731" w:rsidRPr="007138D8">
        <w:rPr>
          <w:i/>
        </w:rPr>
        <w:t xml:space="preserve">the influence of </w:t>
      </w:r>
      <w:r w:rsidR="00E21EB3" w:rsidRPr="007138D8">
        <w:rPr>
          <w:i/>
        </w:rPr>
        <w:t>psychological contract (</w:t>
      </w:r>
      <w:r w:rsidR="00DA5731" w:rsidRPr="007138D8">
        <w:rPr>
          <w:i/>
        </w:rPr>
        <w:t>PC</w:t>
      </w:r>
      <w:r w:rsidR="00E21EB3" w:rsidRPr="007138D8">
        <w:rPr>
          <w:i/>
        </w:rPr>
        <w:t>)</w:t>
      </w:r>
      <w:r w:rsidR="00E91739" w:rsidRPr="007138D8">
        <w:rPr>
          <w:i/>
        </w:rPr>
        <w:t xml:space="preserve"> </w:t>
      </w:r>
      <w:r w:rsidR="000C26DE" w:rsidRPr="007138D8">
        <w:rPr>
          <w:i/>
        </w:rPr>
        <w:t>fulfillment</w:t>
      </w:r>
      <w:r w:rsidR="00DA5731" w:rsidRPr="007138D8">
        <w:rPr>
          <w:i/>
        </w:rPr>
        <w:t xml:space="preserve"> on </w:t>
      </w:r>
      <w:r w:rsidR="000C26DE" w:rsidRPr="007138D8">
        <w:rPr>
          <w:i/>
        </w:rPr>
        <w:t>organizational</w:t>
      </w:r>
      <w:r w:rsidR="00DA5731" w:rsidRPr="007138D8">
        <w:rPr>
          <w:i/>
        </w:rPr>
        <w:t xml:space="preserve"> commitment.</w:t>
      </w:r>
    </w:p>
    <w:p w14:paraId="0016359D" w14:textId="1D6442D9" w:rsidR="004F4E7A" w:rsidRPr="007138D8" w:rsidRDefault="004F4E7A" w:rsidP="00120A34">
      <w:pPr>
        <w:spacing w:line="480" w:lineRule="auto"/>
        <w:ind w:firstLine="360"/>
        <w:jc w:val="both"/>
      </w:pPr>
      <w:r w:rsidRPr="007138D8">
        <w:t xml:space="preserve">Workers who demonstrate </w:t>
      </w:r>
      <w:r w:rsidR="0049004F" w:rsidRPr="007138D8">
        <w:t xml:space="preserve">a </w:t>
      </w:r>
      <w:r w:rsidRPr="007138D8">
        <w:t xml:space="preserve">committed demeanor are undertaking some </w:t>
      </w:r>
      <w:r w:rsidR="0049004F" w:rsidRPr="007138D8">
        <w:t xml:space="preserve">daring </w:t>
      </w:r>
      <w:r w:rsidRPr="007138D8">
        <w:t xml:space="preserve">because commitment requires devoting </w:t>
      </w:r>
      <w:r w:rsidR="0049004F" w:rsidRPr="007138D8">
        <w:t xml:space="preserve">a </w:t>
      </w:r>
      <w:r w:rsidR="00AD67AF" w:rsidRPr="007138D8">
        <w:t>person’s</w:t>
      </w:r>
      <w:r w:rsidRPr="007138D8">
        <w:t xml:space="preserve"> spirit </w:t>
      </w:r>
      <w:r w:rsidR="0049004F" w:rsidRPr="007138D8">
        <w:t xml:space="preserve">to </w:t>
      </w:r>
      <w:r w:rsidRPr="007138D8">
        <w:t>chasing employer objectives. Without workers</w:t>
      </w:r>
      <w:r w:rsidR="00F74C7D" w:rsidRPr="007138D8">
        <w:t>’</w:t>
      </w:r>
      <w:r w:rsidRPr="007138D8">
        <w:t xml:space="preserve"> trust </w:t>
      </w:r>
      <w:r w:rsidR="0049004F" w:rsidRPr="007138D8">
        <w:t xml:space="preserve">in </w:t>
      </w:r>
      <w:r w:rsidRPr="007138D8">
        <w:t xml:space="preserve">the employer, they would not be inclined to devote </w:t>
      </w:r>
      <w:r w:rsidR="0049004F" w:rsidRPr="007138D8">
        <w:t xml:space="preserve">themselves </w:t>
      </w:r>
      <w:r w:rsidRPr="007138D8">
        <w:t>to their duties</w:t>
      </w:r>
      <w:r w:rsidR="00E91739" w:rsidRPr="007138D8">
        <w:t xml:space="preserve"> </w:t>
      </w:r>
      <w:r w:rsidR="00456E63" w:rsidRPr="007138D8">
        <w:fldChar w:fldCharType="begin" w:fldLock="1"/>
      </w:r>
      <w:r w:rsidR="00C112AA" w:rsidRPr="007138D8">
        <w:instrText>ADDIN CSL_CITATION {"citationItems":[{"id":"ITEM-1","itemData":{"DOI":"10.1016/J.JBUSRES.2003.10.004","ISSN":"0148-2963","abstract":"This article presents a meta-analysis that includes studies conducted over the past 25 years across 14 countries and a mix of selling and nonselling situations. Findings indicate that the relationship between organizational commitment and job performance is positive and stronger for sales employees than for nonsales employees. Stronger correlations between organizational commitment and job performance are found for collectivist compared to individualistic cultures. The results are discussed in terms of implications for future sales force performance research.","author":[{"dropping-particle":"","family":"Jaramillo","given":"Fernando","non-dropping-particle":"","parse-names":false,"suffix":""},{"dropping-particle":"","family":"Mulki","given":"Jay Prakash","non-dropping-particle":"","parse-names":false,"suffix":""},{"dropping-particle":"","family":"Marshall","given":"Greg W.","non-dropping-particle":"","parse-names":false,"suffix":""}],"container-title":"Journal of Business Research","id":"ITEM-1","issue":"6","issued":{"date-parts":[["2005","6","1"]]},"page":"705-714","publisher":"Elsevier","title":"A meta-analysis of the relationship between organizational commitment and salesperson job performance: 25 years of research","type":"article-journal","volume":"58"},"uris":["http://www.mendeley.com/documents/?uuid=57da49f5-8729-33f6-8718-72659cfedfe4"]}],"mendeley":{"formattedCitation":"(Jaramillo et al., 2005)","plainTextFormattedCitation":"(Jaramillo et al., 2005)","previouslyFormattedCitation":"(Jaramillo et al., 2005)"},"properties":{"noteIndex":0},"schema":"https://github.com/citation-style-language/schema/raw/master/csl-citation.json"}</w:instrText>
      </w:r>
      <w:r w:rsidR="00456E63" w:rsidRPr="007138D8">
        <w:fldChar w:fldCharType="separate"/>
      </w:r>
      <w:r w:rsidR="002E5D04" w:rsidRPr="007138D8">
        <w:t>(Jaramillo et al., 2005)</w:t>
      </w:r>
      <w:r w:rsidR="00456E63" w:rsidRPr="007138D8">
        <w:fldChar w:fldCharType="end"/>
      </w:r>
      <w:r w:rsidRPr="007138D8">
        <w:t xml:space="preserve">. Few studies have investigated the link between trust and </w:t>
      </w:r>
      <w:r w:rsidR="00AD67AF" w:rsidRPr="007138D8">
        <w:t>organizational</w:t>
      </w:r>
      <w:r w:rsidRPr="007138D8">
        <w:t xml:space="preserve"> commitment</w:t>
      </w:r>
      <w:r w:rsidR="00E91739" w:rsidRPr="007138D8">
        <w:t xml:space="preserve"> </w:t>
      </w:r>
      <w:r w:rsidR="00456E63" w:rsidRPr="007138D8">
        <w:fldChar w:fldCharType="begin" w:fldLock="1"/>
      </w:r>
      <w:r w:rsidR="00A22107" w:rsidRPr="007138D8">
        <w:instrText>ADDIN CSL_CITATION {"citationItems":[{"id":"ITEM-1","itemData":{"DOI":"10.1108/JABS-08-2021-0356","ISSN":"1558-7894","abstract":"This paper aims to examine the effect of procedural justice on affective commitment, through the mediating of organizational trust and job satisfaction.,Data were collected from 305 executives working in eight large cement organizations through a standardized questionnaire. Confirmatory factor analysis, structural equation modelling and mediation analysis were performed to examine the relationship.,Procedural justice significantly influenced job satisfaction and organizational trust directly. Organizational trust and job satisfaction are partially mediated by organizational justice and affective commitment. Interestingly, procedural justice does not influence affective commitment directly.,Procedural justice and affective commitment are crucial aspects of an organization. Limited research has been conducted linking procedural justice, organizational trust, job satisfaction and affective commitment. This study was conducted in the South Asian country of India, where power-distance prevails","author":[{"dropping-particle":"","family":"Pathardikar","given":"Avinash D.","non-dropping-particle":"","parse-names":false,"suffix":""},{"dropping-particle":"","family":"Mishra","given":"Praveen Kumar","non-dropping-particle":"","parse-names":false,"suffix":""},{"dropping-particle":"","family":"Sahu","given":"Sangeeta","non-dropping-particle":"","parse-names":false,"suffix":""}],"container-title":"Journal of Asia Business Studies","id":"ITEM-1","issue":"2","issued":{"date-parts":[["2023","2","28"]]},"page":"371-384","publisher":"Emerald Publishing Limited","title":"Procedural justice influencing affective commitment: mediating role of organizational trust and job satisfaction","type":"article-journal","volume":"17"},"uris":["http://www.mendeley.com/documents/?uuid=97bf9797-04d8-3ae1-b77c-3645727995d8"]},{"id":"ITEM-2","itemData":{"DOI":"10.1108/ER-05-2020-0223","ISSN":"0142-5455","abstract":"This paper examines the extent to which investment in human capital (HC) influences employee well-being, focusing on companies in the Basque Country in Northern Spain. Specifically, it analyzes the effects of worker perceptions of high-involvement work system (HIWS) on job satisfaction (JS) and affective commitment (AC), directly and through the mediating role of trust in management. This trust mediating role was also explored by analyzing the isolated effects of high-involvement work processes (power, information, reward and knowledge [PIRK] enhancing practices) on JS and AC.,The structural equation modeling (SEM) approach was used on a sample of 2,199 employees from 425 organizations working in different industries. As the study was performed at the organizational level, aggregation was conducted first.,The findings revealed that trust partially mediated the relationship between HIWS and JS, although AC was directly predicted by the system. In contrast, a trust mediating role was confirmed in the relationship between all PIRK processes, JS and AC.,This study highlights the “hinge” role of trust in linking high-involvement work practices (HIWPs) as an approach to assess HC in organizations and well-being at work. It further conceptualizes HIWS via a PIRK model and operationalizes it through systemic and dimensional approach.","author":[{"dropping-particle":"","family":"Uribetxebarria","given":"Urtzi","non-dropping-particle":"","parse-names":false,"suffix":""},{"dropping-particle":"","family":"Gago","given":"Mónica","non-dropping-particle":"","parse-names":false,"suffix":""},{"dropping-particle":"","family":"Legarra","given":"Maite","non-dropping-particle":"","parse-names":false,"suffix":""},{"dropping-particle":"","family":"Elorza","given":"Unai","non-dropping-particle":"","parse-names":false,"suffix":""}],"container-title":"Employee Relations: The International Journal","id":"ITEM-2","issue":"4","issued":{"date-parts":[["2021","6","8"]]},"page":"842-857","publisher":"Emerald Publishing Limited","title":"The link between HIWPs and well-being at work: the mediating role of trust","type":"article-journal","volume":"43"},"uris":["http://www.mendeley.com/documents/?uuid=70230153-3a13-36fe-b47b-2018fff5d73c"]},{"id":"ITEM-3","itemData":{"DOI":"10.1108/PR-03-2020-0144","ISSN":"0048-3486","abstract":"Drawing from the deontic justice theory and the social exchange theory, the purpose of this study attempts to identify the relationship between perceived corporate social responsibility (CSR) and employees' affective commitment, mediated through organizational trust. Furthermore, the authors seek to understand how the attitude of employees toward the importance of CSR, moderates the aforementioned relationship.,The respondents for this descriptive study were drawn from a sample of 500 employees working in manufacturing companies in India. Self-reporting questionnaires were administered among the respondents, who were selected through the judgment sampling method. Measurement model analysis was done using IBM AMOS 21.0 and path analytic procedures using PROCESS 3.0 macro was used to test the proposed hypotheses.,Results revealed that there is a significant indirect effect of all three dimensions of CSR on affective commitment, through organizational trust. The conditional indirect effects varied significantly, and it was identified that both employee-CSR and customer-CSR had a significant indirect effect on employee affective commitment. However, social/nonsocial CSR did not have a conditional indirect effect on affective commitment, through attitude toward the importance of CSR and organizational trust.,The cross-sectional nature of the study does not allow inference of causality and pose limitations for generalization of results. Though the limitation of common method bias is inherent in studies with self-reporting measures, the authors adopted several procedural remedies to minimize its effect. The study results, particularly the role of attitude toward the importance of CSR need to be tested among employees in different industry sectors. Future studies should examine the same theoretical model in different nations, where CSR activities are not mandated by law.,This study is pioneering in conceptualizing and empirically testing a theoretical model that examined the combined influence of perceived CSR, employees' attitude toward the importance of CSR and organizational trust on their affective commitment toward the organization. This study extends the literature by examining the indirect/mechanisms linking CSR and employees' affective commitment. Exploring more on the employee individual differences and its influence on organizational outcomes will definitely improve individual and organizational functioning.","author":[{"dropping-particle":"","family":"George","given":"Nimmy A.","non-dropping-particle":"","parse-names":false,"suffix":""},{"dropping-particle":"","family":"Aboobaker","given":"Nimitha","non-dropping-particle":"","parse-names":false,"suffix":""},{"dropping-particle":"","family":"Edward","given":"Manoj","non-dropping-particle":"","parse-names":false,"suffix":""}],"container-title":"Personnel Review","id":"ITEM-3","issue":"4","issued":{"date-parts":[["2021","6","22"]]},"page":"1093-1111","publisher":"Emerald Publishing Limited","title":"Corporate social responsibility, organizational trust and commitment: a moderated mediation model","type":"article-journal","volume":"50"},"uris":["http://www.mendeley.com/documents/?uuid=349146ee-21e0-37f2-90e4-877ff05b6826"]},{"id":"ITEM-4","itemData":{"DOI":"10.1108/JMD-02-2016-0026","ISSN":"0262-1711","abstract":"The purpose of this paper is to show how organizational corporate social responsibility (CSR) can influence workers’ attitudes and behaviors, especially in terms of affective commitment (AC), job satisfaction (JS), and turnover intention (TI). A second aim is to explore the social exchange process that may underlie this relationship, by examining the mediating role of organizational trust (OT).,The authors employ structural equation modeling based on survey data obtained from 315 Portuguese individuals.,The findings show that perceptions of CSR predict workers’ attitudes and behaviors directly through the mediating role of OT. They suggest that managers should implement CSR practices because these can contribute toward fostering OT, improving workers’ AC and JS, and reducing TI.,This study enriches the existing knowledge about social exchange relationships in organizational contexts, and responds to the need to understand underlying mechanisms linking CSR with workers’ organizational outcomes, by analyzing CSR practices in a holistic stakeholder perspective.","author":[{"dropping-particle":"","family":"Gaudencio","given":"Pedro","non-dropping-particle":"","parse-names":false,"suffix":""},{"dropping-particle":"","family":"Coelho","given":"Arnaldo","non-dropping-particle":"","parse-names":false,"suffix":""},{"dropping-particle":"","family":"Ribeiro","given":"Neuza","non-dropping-particle":"","parse-names":false,"suffix":""}],"container-title":"Journal of Management Development","id":"ITEM-4","issue":"4","issued":{"date-parts":[["2017","5","8"]]},"page":"478-492","publisher":"Emerald Publishing Limited","title":"The role of trust in corporate social responsibility and worker relationships","type":"article-journal","volume":"36"},"uris":["http://www.mendeley.com/documents/?uuid=0a794ccd-88f5-35c8-821c-42e349767d00"]},{"id":"ITEM-5","itemData":{"DOI":"10.1108/LODJ-07-2014-0130","ISSN":"0143-7739","abstract":"– The purpose of this paper is to examine the relationship between a secure attachment style and affective commitment (AC) through the mediating roles of affective and cognitive trust in a direct supervisor. , – The study was conducted using the questionnaire answers of 357 private sector employees in various occupations. The statistical analysis was based on structural equation modeling. A multiple mediation model enabled us to investigate the specific indirect effects of each mediator. , – Results based on a model comparison showed that the employees’ affective trust in their supervisor fully mediated the relationship between a secure attachment style and AC. However, cognitive trust had no significant mediating effect on relationships between a secure attachment style and AC. , – Trust in supervisors should be monitored and supported during developmental interventions. Understanding the power of affective and cognitive trust in predicting attitudes can help shape more effective interventions to influence positive work attitudes, including AC. , – The study sheds new light on the literature by linking individual attachment to organizational attachment as the mediating role of two forms of trust in a supervisor.","author":[{"dropping-particle":"","family":"Metin Camgöz","given":"Selin","non-dropping-particle":"","parse-names":false,"suffix":""},{"dropping-particle":"","family":"Bayhan Karapinar","given":"Pinar","non-dropping-particle":"","parse-names":false,"suffix":""}],"container-title":"Leadership &amp; Organization Development Journal","id":"ITEM-5","issue":"3","issued":{"date-parts":[["2016","5","3"]]},"page":"387-402","publisher":"Emerald Group Publishing Limited","title":"Linking secure attachment to commitment: trust in supervisors","type":"article-journal","volume":"37"},"uris":["http://www.mendeley.com/documents/?uuid=b1df2a6c-467d-3a66-ab83-d5f5cf433e69"]},{"id":"ITEM-6","itemData":{"DOI":"10.1080/09585190903549056","ISSN":"0958-5192","abstract":"Taking the social exchange perspective, we examine the process (black box) linking human resource practices and organizational commitment and superior rating performance. Using procedural justice, ...","author":[{"dropping-particle":"","family":"Tremblay","given":"Michel","non-dropping-particle":"","parse-names":false,"suffix":""},{"dropping-particle":"","family":"Cloutier","given":"Julie","non-dropping-particle":"","parse-names":false,"suffix":""},{"dropping-particle":"","family":"Simard","given":"Gilles","non-dropping-particle":"","parse-names":false,"suffix":""},{"dropping-particle":"","family":"Chênevert","given":"Denis","non-dropping-particle":"","parse-names":false,"suffix":""},{"dropping-particle":"","family":"Vandenberghe","given":"Christian","non-dropping-particle":"","parse-names":false,"suffix":""}],"container-title":"The International Journal of Human Resource Management","id":"ITEM-6","issue":"3","issued":{"date-parts":[["2010","2"]]},"page":"405-433","publisher":" Taylor &amp; Francis Group ","title":"The role of HRM practices, procedural justice, organizational support and trust in organizational commitment and in-role and extra-role performance","type":"article-journal","volume":"21"},"uris":["http://www.mendeley.com/documents/?uuid=bdcf17ff-fae4-368f-abbf-d03b97307815"]},{"id":"ITEM-7","itemData":{"DOI":"10.1108/MRR-06-2012-0136","ISSN":"2040-8269","abstract":"– The aim of this article is to examine the relationships between authentic leadership and organizational deviance and to test the moderating effects of trust and psychological contract violation on that relationship., – Data were collected from ten state universities in Turkey. The sample included 848 lecturers and their department chairs chosen randomly. Moderated hierarchical regression was used to examine the moderating roles of trust and psychological contract violation on the authentic leadership and organizational deviance relationship., – The results show that authentic leadership is negatively and significantly correlated with organizational deviance. In addition, the results of the hierarchical multiple regression analyses support the moderating effects of employee trust and psychological contract violation with regard to the relationship between authentic leadership and organizational deviance., – Given that authentic leadership is associated with valued organizational outcomes</w:instrText>
      </w:r>
      <w:r w:rsidR="00A22107" w:rsidRPr="007138D8">
        <w:rPr>
          <w:rFonts w:hint="eastAsia"/>
        </w:rPr>
        <w:instrText xml:space="preserve"> such as lower workplace deviance, higher followers' commitment, job satisfaction and citizenship behaviors, organizational efforts to foster authentic leadership should prove fruitful. Moreover, focusing on efforts to improve leader‐follower relationship and to create a trust‐based work environment could increase the likelihood that authentic leadership will lower level of workplace deviance., – This study contributes to the research on authentic leadership and workplace deviance by showing that trust and psychological contract are relevant affect‐related variables in determining the importance of authentic leadership perception to subordinate workplace deviance. Furthermore, by incorporating trust and psychological contract (for the first time), it is a response to recent calls for integration of authentic leadership, organizational deviance, trust and psychological contract literatures (Gardner et al.; Ilies et al.). These calls have contended that trust and high quality leader‐follower relations are f</w:instrText>
      </w:r>
      <w:r w:rsidR="00A22107" w:rsidRPr="007138D8">
        <w:instrText>undamental to linking authentic leader behavior to follower behaviors, y</w:instrText>
      </w:r>
      <w:r w:rsidR="00A22107" w:rsidRPr="007138D8">
        <w:rPr>
          <w:lang w:val="fr-FR"/>
        </w:rPr>
        <w:instrText>et to date empirical evidence does not exist.","author":[{"dropping-particle":"","family":"Erkutlu","given":"Hakan","non-dropping-particle":"","parse-names":false,"suffix":""},{"dropping-particle":"","family":"Chafra","given":"Jamel","non-dropping-particle":"","parse-names":false,"suffix":""}],"container-title":"Management Research Review","id":"ITEM-7","issue":"9","issued":{"date-parts":[["2013","8","2"]]},"page":"828-848","publisher":"Emerald Group Publishing Limited","title":"Effects of trust and psychological contract violation on authentic leadership and organizational deviance","type":"article-journal","volume":"36"},"uris":["http://www.mendeley.com/documents/?uuid=46cc4d2f-9499-363f-989e-4e0db1f1bd68"]}],"mendeley":{"formattedCitation":"(Erkutlu &amp; Chafra, 2013; Gaudencio et al., 2017; George et al., 2021; Metin Camgöz &amp; Bayhan Karapinar, 2016; Pathardikar et al., 2023; Tremblay et al., 2010; Uribetxebarria et al., 2021)","plainTextFormattedCitation":"(Erkutlu &amp; Chafra, 2013; Gaudencio et al., 2017; George et al., 2021; Metin Camgöz &amp; Bayhan Karapinar, 2016; Pathardikar et al., 2023; Tremblay et al., 2010; Uribetxebarria et al., 2021)","previouslyFormattedCitation":"(Erkutlu &amp; Chafra, 2013; Gaudencio et al., 2017; George et al., 2021; Metin Camgöz &amp; Bayhan Karapinar, 2016; Pathardikar et al., 2023; Tremblay et al., 2010; Uribetxebarria et al., 2021)"},"properties":{"noteIndex":0},"schema":"https://github.com/citation-style-language/schema/raw/master/csl-citation.json"}</w:instrText>
      </w:r>
      <w:r w:rsidR="00456E63" w:rsidRPr="007138D8">
        <w:fldChar w:fldCharType="separate"/>
      </w:r>
      <w:r w:rsidR="00381407" w:rsidRPr="007138D8">
        <w:rPr>
          <w:lang w:val="fr-FR"/>
        </w:rPr>
        <w:t>(Erkutlu &amp; Chafra, 2013; Gaudencio et al., 2017; George et al., 2021; Metin Camgöz &amp; Bayhan Karapinar, 2016; Pathardikar et al., 2023; Tremblay et al., 2010; Uribetxebarria et al., 2021)</w:t>
      </w:r>
      <w:r w:rsidR="00456E63" w:rsidRPr="007138D8">
        <w:fldChar w:fldCharType="end"/>
      </w:r>
      <w:r w:rsidRPr="007138D8">
        <w:rPr>
          <w:lang w:val="fr-FR"/>
        </w:rPr>
        <w:t xml:space="preserve">. </w:t>
      </w:r>
      <w:r w:rsidRPr="007138D8">
        <w:t>Moreover</w:t>
      </w:r>
      <w:r w:rsidR="0049004F" w:rsidRPr="007138D8">
        <w:t>,</w:t>
      </w:r>
      <w:r w:rsidRPr="007138D8">
        <w:t xml:space="preserve"> the mediating effect of trust between PC fulfillment and </w:t>
      </w:r>
      <w:r w:rsidR="00AD67AF" w:rsidRPr="007138D8">
        <w:t>organizational</w:t>
      </w:r>
      <w:r w:rsidRPr="007138D8">
        <w:t xml:space="preserve"> commitment has not </w:t>
      </w:r>
      <w:r w:rsidR="00AD67AF" w:rsidRPr="007138D8">
        <w:t xml:space="preserve">been </w:t>
      </w:r>
      <w:r w:rsidR="002B4AA0" w:rsidRPr="007138D8">
        <w:t>investigated</w:t>
      </w:r>
      <w:r w:rsidRPr="007138D8">
        <w:t>. Trust i</w:t>
      </w:r>
      <w:r w:rsidR="00F23319" w:rsidRPr="007138D8">
        <w:t>ndicates reciprocity, articulating</w:t>
      </w:r>
      <w:r w:rsidRPr="007138D8">
        <w:t xml:space="preserve"> joint faith</w:t>
      </w:r>
      <w:r w:rsidR="00D159D1" w:rsidRPr="007138D8">
        <w:t>fulness, benevolence</w:t>
      </w:r>
      <w:r w:rsidR="0049004F" w:rsidRPr="007138D8">
        <w:t>,</w:t>
      </w:r>
      <w:r w:rsidR="00D159D1" w:rsidRPr="007138D8">
        <w:t xml:space="preserve"> and help</w:t>
      </w:r>
      <w:r w:rsidR="00E91739" w:rsidRPr="007138D8">
        <w:t xml:space="preserve"> </w:t>
      </w:r>
      <w:r w:rsidR="00456E63" w:rsidRPr="007138D8">
        <w:fldChar w:fldCharType="begin" w:fldLock="1"/>
      </w:r>
      <w:r w:rsidR="00D54130" w:rsidRPr="007138D8">
        <w:instrText>ADDIN CSL_CITATION {"citationItems":[{"id":"ITEM-1","itemData":{"DOI":"10.1016/J.JBUSRES.2020.08.018","ISSN":"0148-2963","abstract":"This research examines the tension between the aims of the United Nations’ Sustainable Development Goal 8 (SDG 8), to promote productive employment and decent work, and the adoption of Artificial Intelligence (AI). Our findings are based on the analysis of 232 survey results, where we tested the effects of AI adoption on workers’ psychological contract, engagement and trust. We find that psychological contracts had a significant, positive effect on job engagement and on trust. Yet, with AI adoption, the positive effect of psychological contracts fell significantly. A further re-examination of the extant literature leads us to posit that AI adoption fosters the creation of a third type of psychological contract, which we term “Alienational”. Whereas SDG 8 is premised on strengthening relational contracts between an organization and its employees, the adoption of AI has the opposite effect, detracting from the very nature of decent work.","author":[{"dropping-particle":"","family":"Braganza","given":"Ashley","non-dropping-particle":"","parse-names":false,"suffix":""},{"dropping-particle":"","family":"Chen","given":"Weifeng","non-dropping-particle":"","parse-names":false,"suffix":""},{"dropping-particle":"","family":"Canhoto","given":"Ana","non-dropping-particle":"","parse-names":false,"suffix":""},{"dropping-particle":"","family":"Sap","given":"Serap","non-dropping-particle":"","parse-names":false,"suffix":""}],"container-title":"Journal of Business Research","id":"ITEM-1","issued":{"date-parts":[["2021","7","1"]]},"page":"485-494","publisher":"Elsevier","title":"Productive employment and decent work: The impact of AI adoption on psychological contracts, job engagement and employee trust","type":"article-journal","volume":"131"},"uris":["http://www.mendeley.com/documents/?uuid=52151464-ad6e-300a-94e7-44f8c5f151d3"]}],"mendeley":{"formattedCitation":"(Braganza et al., 2021)","plainTextFormattedCitation":"(Braganza et al., 2021)","previouslyFormattedCitation":"(Braganza et al., 2021)"},"properties":{"noteIndex":0},"schema":"https://github.com/citation-style-language/schema/raw/master/csl-citation.json"}</w:instrText>
      </w:r>
      <w:r w:rsidR="00456E63" w:rsidRPr="007138D8">
        <w:fldChar w:fldCharType="separate"/>
      </w:r>
      <w:r w:rsidR="00A22107" w:rsidRPr="007138D8">
        <w:t>(Braganza et al., 2021)</w:t>
      </w:r>
      <w:r w:rsidR="00456E63" w:rsidRPr="007138D8">
        <w:fldChar w:fldCharType="end"/>
      </w:r>
      <w:r w:rsidR="00D159D1" w:rsidRPr="007138D8">
        <w:t xml:space="preserve">. </w:t>
      </w:r>
      <w:r w:rsidRPr="007138D8">
        <w:t xml:space="preserve">Workers </w:t>
      </w:r>
      <w:r w:rsidR="00F71171" w:rsidRPr="007138D8">
        <w:t>feeling</w:t>
      </w:r>
      <w:r w:rsidRPr="007138D8">
        <w:t xml:space="preserve"> of PC fulfillment makes employer</w:t>
      </w:r>
      <w:r w:rsidR="0049004F" w:rsidRPr="007138D8">
        <w:t>s</w:t>
      </w:r>
      <w:r w:rsidRPr="007138D8">
        <w:t xml:space="preserve"> reliable</w:t>
      </w:r>
      <w:r w:rsidR="0049004F" w:rsidRPr="007138D8">
        <w:t>,</w:t>
      </w:r>
      <w:r w:rsidRPr="007138D8">
        <w:t xml:space="preserve"> which subsequently </w:t>
      </w:r>
      <w:r w:rsidR="00E85DA2" w:rsidRPr="007138D8">
        <w:t>impacts</w:t>
      </w:r>
      <w:r w:rsidRPr="007138D8">
        <w:t xml:space="preserve"> workers</w:t>
      </w:r>
      <w:r w:rsidR="00770A8A" w:rsidRPr="007138D8">
        <w:t>’</w:t>
      </w:r>
      <w:r w:rsidRPr="007138D8">
        <w:t xml:space="preserve"> actions</w:t>
      </w:r>
      <w:r w:rsidR="00E91739" w:rsidRPr="007138D8">
        <w:t xml:space="preserve"> </w:t>
      </w:r>
      <w:r w:rsidR="00456E63" w:rsidRPr="007138D8">
        <w:fldChar w:fldCharType="begin" w:fldLock="1"/>
      </w:r>
      <w:r w:rsidR="0045295E" w:rsidRPr="007138D8">
        <w:instrText>ADDIN CSL_CITATION {"citationItems":[{"id":"ITEM-1","itemData":{"DOI":"10.1002/9780470745267.ch3","author":[{"dropping-particle":"","family":"Conway","given":"Neil","non-dropping-particle":"","parse-names":false,"suffix":""},{"dropping-particle":"","family":"Briner","given":"Rob B.","non-dropping-particle":"","parse-names":false,"suffix":""}],"container-title":"International Review of Industrial and Organizational Psychology","id":"ITEM-1","issued":{"date-parts":[["2009","4","17"]]},"page":"71-130","publisher":"Wiley","title":"Fifty Years of Psychological Contract Research: What Do We Know and What are the Main Challenges?","type":"chapter"},"uris":["http://www.mendeley.com/documents/?uuid=4804be4f-8fef-34df-ba1b-7e5761a639d3"]},{"id":"ITEM-2","itemData":{"DOI":"10.1108/ER-07-2020-0308","ISSN":"0142-5455","abstract":"Drawing upon social exchange theory and psychological contract (PC) research, this study aims to examine the impact of supervisors' fulfillment/non-fulfillment of transactional psychological contract (TPC) and relational psychological contract (RPC) promises on employees' reactions (e.g. feelings of violation, trust in the supervisor and organizational commitment) in a non-Western context, namely, the United Arab Emirates (UAE).,An experimental field design was used with a sample of employees (N = 234) from a wide range of nationalities and work backgrounds. Four conditions were developed by manipulating the fulfillment of three TPC promises (e.g. competitive salary) and three RPC promises (e.g. sufficient power and responsibility). Participants were randomly assigned to the four conditions and asked to complete the study materials as if they were experiencing a real employment situation with a real organization. Hypotheses were tested using multivariate analysis of covariance and follow-up univariate analysis with Bonferroni post hoc comparisons., This study demonstrated that a supervisor's failure to fulfill promises pertinent to both TPC and RPC, or one of them, generated negative reactions among participants. Based on a comparison of means analysis, this study also established that breach of TPC promises produced a higher negative impact than breach of RPC promises on perceptions of breach, feelings of violation, trust in the supervisor, organizational perceptions, organizational commitment and recommendation intentions. Furthermore, these findings revealed that a supervisor's breach of RPC promises has no significant incremental (additive) effect above a supervisor's breach of TPC promises. On the other hand, a supervisor's breach of TPC promises has a significant incremental (additive) effect above a supervisor's breach of RPC promises.,This study is one of the very few studies that examined and established, under a controlled setting, the differential effects of fulfillment/non-fulfillment of both TPC and RPC promises on employees' breach perceptions, emotions, attitudes and behavioral intentions.","author":[{"dropping-particle":"","family":"Ababneh","given":"Khaldoun I.","non-dropping-particle":"","parse-names":false,"suffix":""},{"dropping-particle":"","family":"Dedousis","given":"Evangelos","non-dropping-particle":"","parse-names":false,"suffix":""},{"dropping-particle":"","family":"Braendle","given":"Udo","non-dropping-particle":"","parse-names":false,"suffix":""}],"container-title":"Employee Relations: The International Journal","id":"ITEM-2","issue":"4","issued":{"date-parts":[["2022","4","22"]]},"page":"948-971","publisher":"Emerald Publishing Limited","title":"Employees' reactions to supervisors' fulfillment/non-fulfillment of psychological contract promises: an experimental field study","type":"article-journal","volume":"44"},"uris":["http://www.mendeley.com/documents/?uuid=61a8005f-6c09-3216-b190-5558923d054d"]}],"mendeley":{"formattedCitation":"(Ababneh et al., 2022; Conway &amp; Briner, 2009)","plainTextFormattedCitation":"(Ababneh et al., 2022; Conway &amp; Briner, 2009)","previouslyFormattedCitation":"(Ababneh et al., 2022; Conway &amp; Briner, 2009)"},"properties":{"noteIndex":0},"schema":"https://github.com/citation-style-language/schema/raw/master/csl-citation.json"}</w:instrText>
      </w:r>
      <w:r w:rsidR="00456E63" w:rsidRPr="007138D8">
        <w:fldChar w:fldCharType="separate"/>
      </w:r>
      <w:r w:rsidR="009F34C7" w:rsidRPr="007138D8">
        <w:t>(Ababneh et al., 2022; Conway &amp; Briner, 2009)</w:t>
      </w:r>
      <w:r w:rsidR="00456E63" w:rsidRPr="007138D8">
        <w:fldChar w:fldCharType="end"/>
      </w:r>
      <w:r w:rsidRPr="007138D8">
        <w:t>. Worke</w:t>
      </w:r>
      <w:r w:rsidR="00E85DA2" w:rsidRPr="007138D8">
        <w:t>rs undergoing fair job settings</w:t>
      </w:r>
      <w:r w:rsidR="0049004F" w:rsidRPr="007138D8">
        <w:t>,</w:t>
      </w:r>
      <w:r w:rsidR="00E85DA2" w:rsidRPr="007138D8">
        <w:t xml:space="preserve"> among other elements</w:t>
      </w:r>
      <w:r w:rsidR="0049004F" w:rsidRPr="007138D8">
        <w:t>,</w:t>
      </w:r>
      <w:r w:rsidRPr="007138D8">
        <w:t xml:space="preserve"> brought them to trust their </w:t>
      </w:r>
      <w:r w:rsidR="00E85DA2" w:rsidRPr="007138D8">
        <w:t>colleagues</w:t>
      </w:r>
      <w:r w:rsidRPr="007138D8">
        <w:t>, bosses</w:t>
      </w:r>
      <w:r w:rsidR="0049004F" w:rsidRPr="007138D8">
        <w:t>,</w:t>
      </w:r>
      <w:r w:rsidRPr="007138D8">
        <w:t xml:space="preserve"> and scheme</w:t>
      </w:r>
      <w:r w:rsidR="0049004F" w:rsidRPr="007138D8">
        <w:t>s</w:t>
      </w:r>
      <w:r w:rsidR="00E91739" w:rsidRPr="007138D8">
        <w:t xml:space="preserve"> </w:t>
      </w:r>
      <w:r w:rsidR="00456E63" w:rsidRPr="007138D8">
        <w:fldChar w:fldCharType="begin" w:fldLock="1"/>
      </w:r>
      <w:r w:rsidR="00D143E1" w:rsidRPr="007138D8">
        <w:instrText>ADDIN CSL_CITATION {"citationItems":[{"id":"ITEM-1","itemData":{"DOI":"10.1146/annurev-orgpsych-012218-015212","ISSN":"2327-0608","abstract":"&lt;p&gt;We provide a review of psychological contract research, beginning with past conceptualizations and empirical evidence. We tailor this retrospective look by reviewing the antecedents and outcomes associated with psychological contract breach and discussing the dominant theoretical explanations for the breach-outcome relationship. This synthesis of past evidence provides the foundation for reviewing the present emerging and developing themes in psychological contract research. This discussion is organized around the expansion of resources exchanged and the antecedents of contract breach and outcomes, moving beyond reciprocity as an underpinning explanation. We highlight the practical implications of research to date on psychological contracts and end with directions for future research to include the need for greater attention given to ideological currency, employee health, polycontextual approaches, the role of psychological needs, and post-breach/violation.&lt;/p&gt;","author":[{"dropping-particle":"","family":"Coyle-Shapiro","given":"Jacqueline A.-M.","non-dropping-particle":"","parse-names":false,"suffix":""},{"dropping-particle":"","family":"Pereira Costa","given":"Sandra","non-dropping-particle":"","parse-names":false,"suffix":""},{"dropping-particle":"","family":"Doden","given":"Wiebke","non-dropping-particle":"","parse-names":false,"suffix":""},{"dropping-particle":"","family":"Chang","given":"Chiachi","non-dropping-particle":"","parse-names":false,"suffix":""}],"container-title":"Annual Review of Organizational Psychology and Organizational Behavior","id":"ITEM-1","issue":"1","issued":{"date-parts":[["2019","1","21"]]},"page":"145-169","publisher":" Annual Reviews ","title":"Psychological Contracts: Past, Present, and Future","type":"article-journal","volume":"6"},"uris":["http://www.mendeley.com/documents/?uuid=33815c04-570a-3377-a73a-e68644e4471e"]}],"mendeley":{"formattedCitation":"(Coyle-Shapiro et al., 2019)","plainTextFormattedCitation":"(Coyle-Shapiro et al., 2019)","previouslyFormattedCitation":"(Coyle-Shapiro et al., 2019)"},"properties":{"noteIndex":0},"schema":"https://github.com/citation-style-language/schema/raw/master/csl-citation.json"}</w:instrText>
      </w:r>
      <w:r w:rsidR="00456E63" w:rsidRPr="007138D8">
        <w:fldChar w:fldCharType="separate"/>
      </w:r>
      <w:r w:rsidR="00D54130" w:rsidRPr="007138D8">
        <w:t>(Coyle-Shapiro et al., 2019)</w:t>
      </w:r>
      <w:r w:rsidR="00456E63" w:rsidRPr="007138D8">
        <w:fldChar w:fldCharType="end"/>
      </w:r>
      <w:r w:rsidRPr="007138D8">
        <w:t xml:space="preserve">. </w:t>
      </w:r>
      <w:r w:rsidR="00A02A4F" w:rsidRPr="007138D8">
        <w:t>Specifically</w:t>
      </w:r>
      <w:r w:rsidR="0049004F" w:rsidRPr="007138D8">
        <w:t>,</w:t>
      </w:r>
      <w:r w:rsidRPr="007138D8">
        <w:t xml:space="preserve"> while other elements in job conditions can result</w:t>
      </w:r>
      <w:r w:rsidR="0049004F" w:rsidRPr="007138D8">
        <w:t xml:space="preserve"> in</w:t>
      </w:r>
      <w:r w:rsidRPr="007138D8">
        <w:t xml:space="preserve"> workers </w:t>
      </w:r>
      <w:r w:rsidR="0049004F" w:rsidRPr="007138D8">
        <w:t>being</w:t>
      </w:r>
      <w:r w:rsidRPr="007138D8">
        <w:t xml:space="preserve"> committed, they </w:t>
      </w:r>
      <w:r w:rsidR="0049004F" w:rsidRPr="007138D8">
        <w:t xml:space="preserve">are </w:t>
      </w:r>
      <w:r w:rsidRPr="007138D8">
        <w:t xml:space="preserve">based on trust. </w:t>
      </w:r>
      <w:r w:rsidR="00710ED0" w:rsidRPr="007138D8">
        <w:t>Organizational commitment is a motivational idea. Investigating PC fulfillment and trust boosts the variety of causes connected to organizational commitment</w:t>
      </w:r>
      <w:r w:rsidR="00E91739" w:rsidRPr="007138D8">
        <w:t xml:space="preserve"> </w:t>
      </w:r>
      <w:r w:rsidR="00456E63" w:rsidRPr="007138D8">
        <w:fldChar w:fldCharType="begin" w:fldLock="1"/>
      </w:r>
      <w:r w:rsidR="0045295E" w:rsidRPr="007138D8">
        <w:instrText>ADDIN CSL_CITATION {"citationItems":[{"id":"ITEM-1","itemData":{"DOI":"10.1108/PR-02-2012-0019","ISSN":"0048-3486","abstract":"– The purpose of this paper is to examine the effects of contextual variables – organisational justice (procedural justice, interactional justice and psychological contract) and trust – on work engagement. , – The paper reports a quantitative study of 323 managers working in manufacturing and pharmaceutical organisations based in western India. Drawing from social exchange theory, this paper tests the mediating role of trust in the justice-engagement relationship. The paper also investigates the effect of work engagement on employees' innovative work behaviour. , – Results suggest that procedural justice, interactional justice and psychological contract fulfilment are positively related to work engagement with trust as the mediating element. Engagement significantly influences employees' innovative work behaviour , – The data were collected cross-sectionally, which means that causal inferences must be made with caution. Moreover, the data were collected from a single source. Nevertheless, the findings have implications for contemporary leadership and organisational psychology research and practice in a novel geographic context. , – This study is one of the rare attempts to examine the influence of three justice variables and trust on work engagement. The study also contributes in terms of its context. With an increasing number of multinationals starting operations in India, an understanding of employee motivation has become an important concern. This research examines engagement levels of Indian managerial employees.","author":[{"dropping-particle":"","family":"A. Agarwal","given":"Upasna","non-dropping-particle":"","parse-names":false,"suffix":""}],"container-title":"Personnel Review","id":"ITEM-1","issue":"1","issued":{"date-parts":[["2014","1","28"]]},"page":"41-73","publisher":"Emerald Group Publishing Limited","title":"Linking justice, trust and innovative work behaviour to work engagement","type":"article-journal","volume":"43"},"uris":["http://www.mendeley.com/documents/?uuid=ccfbf13c-6194-3f03-a7c6-b5233829627d"]},{"id":"ITEM-2","itemData":{"DOI":"10.1080/1359432X.2019.1697743","ISSN":"1359-432X","abstract":"Employees’ receipt of inducements is associated with trust and affective commitment, and employees pay for their inducements with their contributions (e.g., time, and physical and intellectual effo...","author":[{"dropping-particle":"","family":"Lambert","given":"Lisa Schurer","non-dropping-particle":"","parse-names":false,"suffix":""},{"dropping-particle":"","family":"Bingham","given":"John B.","non-dropping-particle":"","parse-names":false,"suffix":""},{"dropping-particle":"","family":"Zabinski","given":"Anna","non-dropping-particle":"","parse-names":false,"suffix":""}],"container-title":"European Journal of Work and Organizational Psychology","id":"ITEM-2","issue":"2","issued":{"date-parts":[["2020","3","3"]]},"page":"294-314","publisher":"Routledge","title":"Affective commitment, trust, and the psychological contract: contributions matter, too!","type":"article-journal","volume":"29"},"uris":["http://www.mendeley.com/documents/?uuid=b56d4ef3-b357-31ca-b992-dac13cab060f"]}],"mendeley":{"formattedCitation":"(A. Agarwal, 2014; Lambert et al., 2020)","plainTextFormattedCitation":"(A. Agarwal, 2014; Lambert et al., 2020)","previouslyFormattedCitation":"(A. Agarwal, 2014; Lambert et al., 2020)"},"properties":{"noteIndex":0},"schema":"https://github.com/citation-style-language/schema/raw/master/csl-citation.json"}</w:instrText>
      </w:r>
      <w:r w:rsidR="00456E63" w:rsidRPr="007138D8">
        <w:fldChar w:fldCharType="separate"/>
      </w:r>
      <w:r w:rsidR="0045295E" w:rsidRPr="007138D8">
        <w:t>(Agarwal, 2014; Lambert et al., 2020)</w:t>
      </w:r>
      <w:r w:rsidR="00456E63" w:rsidRPr="007138D8">
        <w:fldChar w:fldCharType="end"/>
      </w:r>
      <w:r w:rsidR="00710ED0" w:rsidRPr="007138D8">
        <w:t xml:space="preserve">. </w:t>
      </w:r>
      <w:r w:rsidR="005D1404" w:rsidRPr="007138D8">
        <w:t>Thus, t</w:t>
      </w:r>
      <w:r w:rsidRPr="007138D8">
        <w:t>h</w:t>
      </w:r>
      <w:r w:rsidR="00EE6BED" w:rsidRPr="007138D8">
        <w:t>e second objective of this</w:t>
      </w:r>
      <w:r w:rsidRPr="007138D8">
        <w:t xml:space="preserve"> paper </w:t>
      </w:r>
      <w:r w:rsidR="00EE6BED" w:rsidRPr="007138D8">
        <w:t>is to</w:t>
      </w:r>
      <w:r w:rsidR="00E91739" w:rsidRPr="007138D8">
        <w:t xml:space="preserve"> </w:t>
      </w:r>
      <w:r w:rsidRPr="007138D8">
        <w:rPr>
          <w:i/>
        </w:rPr>
        <w:t xml:space="preserve">investigate trust as </w:t>
      </w:r>
      <w:r w:rsidR="0049004F" w:rsidRPr="007138D8">
        <w:rPr>
          <w:i/>
        </w:rPr>
        <w:t xml:space="preserve">a </w:t>
      </w:r>
      <w:r w:rsidRPr="007138D8">
        <w:rPr>
          <w:i/>
        </w:rPr>
        <w:t xml:space="preserve">mediator </w:t>
      </w:r>
      <w:r w:rsidR="0041082D" w:rsidRPr="007138D8">
        <w:rPr>
          <w:i/>
        </w:rPr>
        <w:t>impacting</w:t>
      </w:r>
      <w:r w:rsidRPr="007138D8">
        <w:rPr>
          <w:i/>
        </w:rPr>
        <w:t xml:space="preserve"> the </w:t>
      </w:r>
      <w:r w:rsidR="0041082D" w:rsidRPr="007138D8">
        <w:rPr>
          <w:i/>
        </w:rPr>
        <w:t xml:space="preserve">association of </w:t>
      </w:r>
      <w:r w:rsidRPr="007138D8">
        <w:rPr>
          <w:i/>
        </w:rPr>
        <w:t>PC fulfillment and organizational commitment.</w:t>
      </w:r>
    </w:p>
    <w:p w14:paraId="6F1372AB" w14:textId="2A654531" w:rsidR="00F23319" w:rsidRPr="007138D8" w:rsidRDefault="00296B1B" w:rsidP="00120A34">
      <w:pPr>
        <w:spacing w:line="480" w:lineRule="auto"/>
        <w:ind w:firstLine="360"/>
        <w:jc w:val="both"/>
      </w:pPr>
      <w:r w:rsidRPr="007138D8">
        <w:t>AI</w:t>
      </w:r>
      <w:r w:rsidR="008C57FA" w:rsidRPr="007138D8">
        <w:t xml:space="preserve"> is changing the basis of employment and challenging the nature </w:t>
      </w:r>
      <w:r w:rsidR="0049004F" w:rsidRPr="007138D8">
        <w:t xml:space="preserve">of the </w:t>
      </w:r>
      <w:r w:rsidR="00E118E5" w:rsidRPr="007138D8">
        <w:t>wor</w:t>
      </w:r>
      <w:r w:rsidR="00F23319" w:rsidRPr="007138D8">
        <w:t>ldwide workforc</w:t>
      </w:r>
      <w:r w:rsidR="008C57FA" w:rsidRPr="007138D8">
        <w:t xml:space="preserve">e </w:t>
      </w:r>
      <w:r w:rsidR="00456E63" w:rsidRPr="007138D8">
        <w:fldChar w:fldCharType="begin" w:fldLock="1"/>
      </w:r>
      <w:r w:rsidR="00A64546" w:rsidRPr="007138D8">
        <w:instrText>ADDIN CSL_CITATION {"citationItems":[{"id":"ITEM-1","itemData":{"DOI":"10.1016/J.TECHFORE.2016.08.019","ISSN":"0040-1625","abstract":"We examine how susceptible jobs are to computerisation. To assess this, we begin by implementing a novel methodology to estimate the probability of computerisation for 702 detailed occupations, using a Gaussian process classifier. Based on these estimates, we examine expected impacts of future computerisation on US labour market outcomes, with the primary objective of analysing the number of jobs at risk and the relationship between an occupations probability of computerisation, wages and educational attainment.","author":[{"dropping-particle":"","family":"Frey","given":"Carl Benedikt","non-dropping-particle":"","parse-names":false,"suffix":""},{"dropping-particle":"","family":"Osborne","given":"Michael A.","non-dropping-particle":"","parse-names":false,"suffix":""}],"container-title":"Technological Forecasting and Social Change","id":"ITEM-1","issued":{"date-parts":[["2017","1","1"]]},"page":"254-280","publisher":"North-Holland","title":"The future of employment: How susceptible are jobs to computerisation?","type":"article-journal","volume":"114"},"uris":["http://www.mendeley.com/documents/?uuid=da5952bd-bdb6-3251-88c4-d6fdb361a38f"]}],"mendeley":{"formattedCitation":"(Frey &amp; Osborne, 2017)","plainTextFormattedCitation":"(Frey &amp; Osborne, 2017)","previouslyFormattedCitation":"(Frey &amp; Osborne, 2017)"},"properties":{"noteIndex":0},"schema":"https://github.com/citation-style-language/schema/raw/master/csl-citation.json"}</w:instrText>
      </w:r>
      <w:r w:rsidR="00456E63" w:rsidRPr="007138D8">
        <w:fldChar w:fldCharType="separate"/>
      </w:r>
      <w:r w:rsidR="003D5767" w:rsidRPr="007138D8">
        <w:t>(Frey &amp; Osborne, 2017</w:t>
      </w:r>
      <w:r w:rsidR="00016C3C" w:rsidRPr="007138D8">
        <w:t>; Moin &amp; Zhang, 2024</w:t>
      </w:r>
      <w:r w:rsidR="003D5767" w:rsidRPr="007138D8">
        <w:t>)</w:t>
      </w:r>
      <w:r w:rsidR="00456E63" w:rsidRPr="007138D8">
        <w:fldChar w:fldCharType="end"/>
      </w:r>
      <w:r w:rsidR="008C57FA" w:rsidRPr="007138D8">
        <w:t>. It influence</w:t>
      </w:r>
      <w:r w:rsidR="002274AA" w:rsidRPr="007138D8">
        <w:t>s</w:t>
      </w:r>
      <w:r w:rsidR="008C57FA" w:rsidRPr="007138D8">
        <w:t xml:space="preserve"> affairs and duties while </w:t>
      </w:r>
      <w:r w:rsidR="008C57FA" w:rsidRPr="007138D8">
        <w:lastRenderedPageBreak/>
        <w:t xml:space="preserve">possibly increasing business adequacy. </w:t>
      </w:r>
      <w:r w:rsidR="00796328" w:rsidRPr="007138D8">
        <w:t xml:space="preserve">Automating </w:t>
      </w:r>
      <w:r w:rsidR="00F23319" w:rsidRPr="007138D8">
        <w:t>AI-driven duties</w:t>
      </w:r>
      <w:r w:rsidR="00E91739" w:rsidRPr="007138D8">
        <w:t xml:space="preserve"> </w:t>
      </w:r>
      <w:r w:rsidR="0049004F" w:rsidRPr="007138D8">
        <w:t xml:space="preserve">is </w:t>
      </w:r>
      <w:r w:rsidR="008C57FA" w:rsidRPr="007138D8">
        <w:t xml:space="preserve">anticipated to advance output with </w:t>
      </w:r>
      <w:r w:rsidR="00F23319" w:rsidRPr="007138D8">
        <w:t xml:space="preserve">an </w:t>
      </w:r>
      <w:r w:rsidR="008C57FA" w:rsidRPr="007138D8">
        <w:t xml:space="preserve">extended </w:t>
      </w:r>
      <w:r w:rsidR="00F23319" w:rsidRPr="007138D8">
        <w:t>workforce</w:t>
      </w:r>
      <w:r w:rsidR="008C57FA" w:rsidRPr="007138D8">
        <w:t xml:space="preserve"> and </w:t>
      </w:r>
      <w:r w:rsidR="0049004F" w:rsidRPr="007138D8">
        <w:t xml:space="preserve">a </w:t>
      </w:r>
      <w:r w:rsidR="008C57FA" w:rsidRPr="007138D8">
        <w:t xml:space="preserve">growing desire for customization and </w:t>
      </w:r>
      <w:r w:rsidR="0049004F" w:rsidRPr="007138D8">
        <w:t>high-</w:t>
      </w:r>
      <w:r w:rsidR="008C57FA" w:rsidRPr="007138D8">
        <w:t>value yields.</w:t>
      </w:r>
      <w:r w:rsidR="00E91739" w:rsidRPr="007138D8">
        <w:t xml:space="preserve"> </w:t>
      </w:r>
      <w:r w:rsidR="008C57FA" w:rsidRPr="007138D8">
        <w:t xml:space="preserve">Prevalent acceptance of AI at businesses </w:t>
      </w:r>
      <w:r w:rsidR="0049004F" w:rsidRPr="007138D8">
        <w:t>will expedite the</w:t>
      </w:r>
      <w:r w:rsidR="008C57FA" w:rsidRPr="007138D8">
        <w:t xml:space="preserve"> evolution of growing</w:t>
      </w:r>
      <w:r w:rsidR="00E91739" w:rsidRPr="007138D8">
        <w:t xml:space="preserve"> </w:t>
      </w:r>
      <w:r w:rsidR="00B24007" w:rsidRPr="007138D8">
        <w:t>automatized</w:t>
      </w:r>
      <w:r w:rsidR="008C57FA" w:rsidRPr="007138D8">
        <w:t xml:space="preserve"> work activities</w:t>
      </w:r>
      <w:r w:rsidR="00E91739" w:rsidRPr="007138D8">
        <w:t xml:space="preserve"> </w:t>
      </w:r>
      <w:r w:rsidR="00456E63" w:rsidRPr="007138D8">
        <w:fldChar w:fldCharType="begin" w:fldLock="1"/>
      </w:r>
      <w:r w:rsidR="00494CE5" w:rsidRPr="007138D8">
        <w:instrText>ADDIN CSL_CITATION {"citationItems":[{"id":"ITEM-1","itemData":{"DOI":"10.1016/J.HRMR.2021.100860","ISSN":"1053-4822","abstract":"The current literature on the use of disruptive innovative technologies, such as artificial intelligence (AI) for human resource management (HRM) function, lacks a theoretical basis for understanding. Further, the adoption and implementation of AI-augmented HRM, which holds promise for delivering several operational, relational and transformational benefits, is at best patchy and incomplete. Integrating the technology, organisation and people (TOP) framework with core elements of the theory of innovation assimilation and its impact on a range of AI-Augmented HRM outcomes, or what we refer to as (HRM(AI)), this paper develops a coherent and integrated theoretical framework of HRM(AI) assimilation. Such a framework is timely as several post-adoption challenges, such as the dark side of processual factors in innovation assimilation and system-level factors, which, if unattended, can lead to the opacity of AI applications, thereby affecting the success of any HRM(AI). Our model proposes several testable future research propositions for advancing scholarship in this area. We conclude with implications for theory and practice.","author":[{"dropping-particle":"","family":"Prikshat","given":"Verma","non-dropping-particle":"","parse-names":false,"suffix":""},{"dropping-particle":"","family":"Malik","given":"Ashish","non-dropping-particle":"","parse-names":false,"suffix":""},{"dropping-particle":"","family":"Budhwar","given":"Pawan","non-dropping-particle":"","parse-names":false,"suffix":""}],"container-title":"Human Resource Management Review","id":"ITEM-1","issue":"1","issued":{"date-parts":[["2023","3","1"]]},"page":"100860","publisher":"JAI","title":"AI-augmented HRM: Antecedents, assimilation and multilevel consequences","type":"article-journal","volume":"33"},"uris":["http://www.mendeley.com/documents/?uuid=b7ec96c5-f3d4-35eb-9b52-fcc0c636a4b2"]}],"mendeley":{"formattedCitation":"(Prikshat et al., 2023)","plainTextFormattedCitation":"(Prikshat et al., 2023)","previouslyFormattedCitation":"(Prikshat et al., 2023)"},"properties":{"noteIndex":0},"schema":"https://github.com/citation-style-language/schema/raw/master/csl-citation.json"}</w:instrText>
      </w:r>
      <w:r w:rsidR="00456E63" w:rsidRPr="007138D8">
        <w:fldChar w:fldCharType="separate"/>
      </w:r>
      <w:r w:rsidR="00A64546" w:rsidRPr="007138D8">
        <w:t>(Prikshat et al., 2023)</w:t>
      </w:r>
      <w:r w:rsidR="00456E63" w:rsidRPr="007138D8">
        <w:fldChar w:fldCharType="end"/>
      </w:r>
      <w:r w:rsidR="008C57FA" w:rsidRPr="007138D8">
        <w:t xml:space="preserve">. Thus, </w:t>
      </w:r>
      <w:r w:rsidR="00B24007" w:rsidRPr="007138D8">
        <w:t>it</w:t>
      </w:r>
      <w:r w:rsidR="00F74C7D" w:rsidRPr="007138D8">
        <w:t xml:space="preserve"> i</w:t>
      </w:r>
      <w:r w:rsidR="00B24007" w:rsidRPr="007138D8">
        <w:t>s</w:t>
      </w:r>
      <w:r w:rsidR="008C57FA" w:rsidRPr="007138D8">
        <w:t xml:space="preserve"> important to probe whether increased </w:t>
      </w:r>
      <w:r w:rsidR="0049004F" w:rsidRPr="007138D8">
        <w:t xml:space="preserve">automation </w:t>
      </w:r>
      <w:r w:rsidR="008C57FA" w:rsidRPr="007138D8">
        <w:t>caused by AI improve</w:t>
      </w:r>
      <w:r w:rsidR="005E5CF9" w:rsidRPr="007138D8">
        <w:t>s</w:t>
      </w:r>
      <w:r w:rsidR="008C57FA" w:rsidRPr="007138D8">
        <w:t xml:space="preserve"> work output</w:t>
      </w:r>
      <w:r w:rsidR="005E5CF9" w:rsidRPr="007138D8">
        <w:t>s</w:t>
      </w:r>
      <w:r w:rsidR="008C57FA" w:rsidRPr="007138D8">
        <w:t xml:space="preserve">. There is a consensus that </w:t>
      </w:r>
      <w:r w:rsidR="0049004F" w:rsidRPr="007138D8">
        <w:t>AI and associated automation would impact firm operations and employees</w:t>
      </w:r>
      <w:r w:rsidR="008C57FA" w:rsidRPr="007138D8">
        <w:t xml:space="preserve">. AI-led </w:t>
      </w:r>
      <w:r w:rsidR="00744B93" w:rsidRPr="007138D8">
        <w:t>automatized</w:t>
      </w:r>
      <w:r w:rsidR="008C57FA" w:rsidRPr="007138D8">
        <w:t xml:space="preserve"> modification and </w:t>
      </w:r>
      <w:r w:rsidR="00575D3B" w:rsidRPr="007138D8">
        <w:t>progress steadily cause issues</w:t>
      </w:r>
      <w:r w:rsidR="004368C1" w:rsidRPr="007138D8">
        <w:t>, prompting employees to be displaced and creating</w:t>
      </w:r>
      <w:r w:rsidR="008C57FA" w:rsidRPr="007138D8">
        <w:t xml:space="preserve"> higher redundancy, especially among susceptible clusters.</w:t>
      </w:r>
    </w:p>
    <w:p w14:paraId="5822F186" w14:textId="0A1C31C9" w:rsidR="00E21EB3" w:rsidRPr="007138D8" w:rsidRDefault="008C57FA" w:rsidP="00120A34">
      <w:pPr>
        <w:spacing w:line="480" w:lineRule="auto"/>
        <w:ind w:firstLine="360"/>
        <w:jc w:val="both"/>
        <w:rPr>
          <w:i/>
        </w:rPr>
      </w:pPr>
      <w:r w:rsidRPr="007138D8">
        <w:t>On the contrary, some scholars</w:t>
      </w:r>
      <w:r w:rsidR="0062247E" w:rsidRPr="007138D8">
        <w:t xml:space="preserve"> forecast that AI automation will</w:t>
      </w:r>
      <w:r w:rsidRPr="007138D8">
        <w:t xml:space="preserve"> impact the nature of duties</w:t>
      </w:r>
      <w:r w:rsidR="0049004F" w:rsidRPr="007138D8">
        <w:t>,</w:t>
      </w:r>
      <w:r w:rsidRPr="007138D8">
        <w:t xml:space="preserve"> not employment </w:t>
      </w:r>
      <w:r w:rsidR="00456E63" w:rsidRPr="007138D8">
        <w:fldChar w:fldCharType="begin" w:fldLock="1"/>
      </w:r>
      <w:r w:rsidR="004737A4" w:rsidRPr="007138D8">
        <w:instrText>ADDIN CSL_CITATION {"citationItems":[{"id":"ITEM-1","itemData":{"DOI":"10.1016/J.FUTURES.2017.03.006","ISSN":"0016-3287","abstract":"The impact of the industrial and digital (information) revolutions has, undoubtedly, been substantial on practically all aspects of our society, life, firms and employment. Will the forthcoming AI revolution produce similar, far-reaching effects? By examining analogous inventions of the industrial, digital and AI revolutions, this article claims that the latter is on target and that it would bring extensive changes that will also affect all aspects of our society and life. In addition, its impact on firms and employment will be considerable, resulting in richly interconnected organizations with decision making based on the analysis and exploitation of “big” data and intensified, global competition among firms. People will be capable of buying goods and obtaining services from anywhere in the world using the Internet, and exploiting the unlimited, additional benefits that will open through the widespread usage of AI inventions. The paper concludes that significant competitive advantages will continue to accrue to those utilizing the Internet widely and willing to take entrepreneurial risks in order to turn innovative products/services into worldwide commercial success stories. The greatest challenge facing societies and firms would be utilizing the benefits of availing AI technologies, providing vast opportunities for both new products/services and immense productivity improvements while avoiding the dangers and disadvantages in terms of increased unemployment and greater wealth inequalities.","author":[{"dropping-particle":"","family":"Makridakis","given":"Spyros","non-dropping-particle":"","parse-names":false,"suffix":""}],"container-title":"Futures","id":"ITEM-1","issued":{"date-parts":[["2017","6","1"]]},"page":"46-60","publisher":"Pergamon","title":"The forthcoming Artificial Intelligence (AI) revolution: Its impact on society and firms","type":"article-journal","volume":"90"},"uris":["http://www.mendeley.com/documents/?uuid=8bf82d3c-6883-3abb-b395-827b9a62e328"]}],"mendeley":{"formattedCitation":"(Makridakis, 2017)","plainTextFormattedCitation":"(Makridakis, 2017)","previouslyFormattedCitation":"(Makridakis, 2017)"},"properties":{"noteIndex":0},"schema":"https://github.com/citation-style-language/schema/raw/master/csl-citation.json"}</w:instrText>
      </w:r>
      <w:r w:rsidR="00456E63" w:rsidRPr="007138D8">
        <w:fldChar w:fldCharType="separate"/>
      </w:r>
      <w:r w:rsidR="0090564A" w:rsidRPr="007138D8">
        <w:t>(Makridakis, 2017)</w:t>
      </w:r>
      <w:r w:rsidR="00456E63" w:rsidRPr="007138D8">
        <w:fldChar w:fldCharType="end"/>
      </w:r>
      <w:r w:rsidRPr="007138D8">
        <w:t xml:space="preserve">. </w:t>
      </w:r>
      <w:r w:rsidR="00BB6304" w:rsidRPr="007138D8">
        <w:t>Such</w:t>
      </w:r>
      <w:r w:rsidR="00E91739" w:rsidRPr="007138D8">
        <w:t xml:space="preserve"> </w:t>
      </w:r>
      <w:r w:rsidR="009B6B83" w:rsidRPr="007138D8">
        <w:t>automati</w:t>
      </w:r>
      <w:r w:rsidR="0062247E" w:rsidRPr="007138D8">
        <w:t>on led by AI brings rapid modification, which can improve enterprise ability and originate several shifts in the</w:t>
      </w:r>
      <w:r w:rsidRPr="007138D8">
        <w:t xml:space="preserve"> actions and anticipations of workers, consumers</w:t>
      </w:r>
      <w:r w:rsidR="0049004F" w:rsidRPr="007138D8">
        <w:t>,</w:t>
      </w:r>
      <w:r w:rsidRPr="007138D8">
        <w:t xml:space="preserve"> and other market elements</w:t>
      </w:r>
      <w:r w:rsidR="00E91739" w:rsidRPr="007138D8">
        <w:t xml:space="preserve"> </w:t>
      </w:r>
      <w:r w:rsidR="00456E63" w:rsidRPr="007138D8">
        <w:fldChar w:fldCharType="begin" w:fldLock="1"/>
      </w:r>
      <w:r w:rsidR="0003233C" w:rsidRPr="007138D8">
        <w:instrText>ADDIN CSL_CITATION {"citationItems":[{"id":"ITEM-1","itemData":{"DOI":"10.1016/J.HRMR.2021.100860","ISSN":"1053-4822","abstract":"The current literature on the use of disruptive innovative technologies, such as artificial intelligence (AI) for human resource management (HRM) function, lacks a theoretical basis for understanding. Further, the adoption and implementation of AI-augmented HRM, which holds promise for delivering several operational, relational and transformational benefits, is at best patchy and incomplete. Integrating the technology, organisation and people (TOP) framework with core elements of the theory of innovation assimilation and its impact on a range of AI-Augmented HRM outcomes, or what we refer to as (HRM(AI)), this paper develops a coherent and integrated theoretical framework of HRM(AI) assimilation. Such a framework is timely as several post-adoption challenges, such as the dark side of processual factors in innovation assimilation and system-level factors, which, if unattended, can lead to the opacity of AI applications, thereby affecting the success of any HRM(AI). Our model proposes several testable future research propositions for advancing scholarship in this area. We conclude with implications for theory and practice.","author":[{"dropping-particle":"","family":"Prikshat","given":"Verma","non-dropping-particle":"","parse-names":false,"suffix":""},{"dropping-particle":"","family":"Malik","given":"Ashish","non-dropping-particle":"","parse-names":false,"suffix":""},{"dropping-particle":"","family":"Budhwar","given":"Pawan","non-dropping-particle":"","parse-names":false,"suffix":""}],"container-title":"Human Resource Management Review","id":"ITEM-1","issue":"1","issued":{"date-parts":[["2023","3","1"]]},"page":"100860","publisher":"JAI","title":"AI-augmented HRM: Antecedents, assimilation and multilevel consequences","type":"article-journal","volume":"33"},"uris":["http://www.mendeley.com/documents/?uuid=b7ec96c5-f3d4-35eb-9b52-fcc0c636a4b2"]}],"mendeley":{"formattedCitation":"(Prikshat et al., 2023)","plainTextFormattedCitation":"(Prikshat et al., 2023)","previouslyFormattedCitation":"(Prikshat et al., 2023)"},"properties":{"noteIndex":0},"schema":"https://github.com/citation-style-language/schema/raw/master/csl-citation.json"}</w:instrText>
      </w:r>
      <w:r w:rsidR="00456E63" w:rsidRPr="007138D8">
        <w:fldChar w:fldCharType="separate"/>
      </w:r>
      <w:r w:rsidR="004737A4" w:rsidRPr="007138D8">
        <w:t>(Prikshat et al., 2023)</w:t>
      </w:r>
      <w:r w:rsidR="00456E63" w:rsidRPr="007138D8">
        <w:fldChar w:fldCharType="end"/>
      </w:r>
      <w:r w:rsidRPr="007138D8">
        <w:t xml:space="preserve">. This highlights the notion that </w:t>
      </w:r>
      <w:r w:rsidR="0049004F" w:rsidRPr="007138D8">
        <w:t>AI is increasing job productivity on one side; on the other, it may also reduce workers</w:t>
      </w:r>
      <w:r w:rsidR="00770A8A" w:rsidRPr="007138D8">
        <w:t>’</w:t>
      </w:r>
      <w:r w:rsidR="0049004F" w:rsidRPr="007138D8">
        <w:t xml:space="preserve"> commitment and lower promissory expectations</w:t>
      </w:r>
      <w:r w:rsidR="00770A8A" w:rsidRPr="007138D8">
        <w:t>’</w:t>
      </w:r>
      <w:r w:rsidR="0049004F" w:rsidRPr="007138D8">
        <w:t xml:space="preserve"> features.</w:t>
      </w:r>
      <w:r w:rsidR="00E91739" w:rsidRPr="007138D8">
        <w:t xml:space="preserve"> </w:t>
      </w:r>
      <w:r w:rsidR="00134873" w:rsidRPr="007138D8">
        <w:t xml:space="preserve">Thus, </w:t>
      </w:r>
      <w:r w:rsidR="00134873" w:rsidRPr="007138D8">
        <w:rPr>
          <w:i/>
        </w:rPr>
        <w:t xml:space="preserve">the third objective of this study is to </w:t>
      </w:r>
      <w:r w:rsidR="004107EC" w:rsidRPr="007138D8">
        <w:rPr>
          <w:i/>
        </w:rPr>
        <w:t xml:space="preserve">examine the relationship </w:t>
      </w:r>
      <w:r w:rsidR="00940FDD" w:rsidRPr="007138D8">
        <w:rPr>
          <w:i/>
        </w:rPr>
        <w:t xml:space="preserve">of </w:t>
      </w:r>
      <w:r w:rsidR="00134873" w:rsidRPr="007138D8">
        <w:rPr>
          <w:i/>
        </w:rPr>
        <w:t xml:space="preserve">AI on PC fulfillment, </w:t>
      </w:r>
      <w:r w:rsidR="002B31B6" w:rsidRPr="007138D8">
        <w:rPr>
          <w:i/>
        </w:rPr>
        <w:t>trust</w:t>
      </w:r>
      <w:r w:rsidR="00770A8A" w:rsidRPr="007138D8">
        <w:rPr>
          <w:i/>
        </w:rPr>
        <w:t>,</w:t>
      </w:r>
      <w:r w:rsidR="002B31B6" w:rsidRPr="007138D8">
        <w:rPr>
          <w:i/>
        </w:rPr>
        <w:t xml:space="preserve"> and </w:t>
      </w:r>
      <w:r w:rsidR="00134873" w:rsidRPr="007138D8">
        <w:rPr>
          <w:i/>
        </w:rPr>
        <w:t xml:space="preserve">employee commitment </w:t>
      </w:r>
      <w:r w:rsidR="00770A8A" w:rsidRPr="007138D8">
        <w:rPr>
          <w:i/>
        </w:rPr>
        <w:t>to</w:t>
      </w:r>
      <w:r w:rsidR="00134873" w:rsidRPr="007138D8">
        <w:rPr>
          <w:i/>
        </w:rPr>
        <w:t xml:space="preserve"> enterprise, </w:t>
      </w:r>
      <w:r w:rsidR="004107EC" w:rsidRPr="007138D8">
        <w:rPr>
          <w:i/>
        </w:rPr>
        <w:t xml:space="preserve">especially in changing working settings. </w:t>
      </w:r>
    </w:p>
    <w:p w14:paraId="4F987C6B" w14:textId="1B508DF7" w:rsidR="008C57FA" w:rsidRPr="007138D8" w:rsidRDefault="00FD49D2" w:rsidP="00120A34">
      <w:pPr>
        <w:spacing w:line="480" w:lineRule="auto"/>
        <w:ind w:firstLine="360"/>
        <w:jc w:val="both"/>
      </w:pPr>
      <w:r w:rsidRPr="007138D8">
        <w:t>As a result</w:t>
      </w:r>
      <w:r w:rsidR="008C57FA" w:rsidRPr="007138D8">
        <w:t xml:space="preserve">, </w:t>
      </w:r>
      <w:r w:rsidR="004107EC" w:rsidRPr="007138D8">
        <w:t xml:space="preserve">based on </w:t>
      </w:r>
      <w:r w:rsidR="009F2C55" w:rsidRPr="007138D8">
        <w:t>social exchange</w:t>
      </w:r>
      <w:r w:rsidR="004107EC" w:rsidRPr="007138D8">
        <w:t xml:space="preserve"> theory</w:t>
      </w:r>
      <w:r w:rsidR="00E91739" w:rsidRPr="007138D8">
        <w:t xml:space="preserve"> </w:t>
      </w:r>
      <w:r w:rsidR="00456E63" w:rsidRPr="007138D8">
        <w:fldChar w:fldCharType="begin" w:fldLock="1"/>
      </w:r>
      <w:r w:rsidR="00CF44F9" w:rsidRPr="007138D8">
        <w:instrText>ADDIN CSL_CITATION {"citationItems":[{"id":"ITEM-1","itemData":{"DOI":"10.4324/9780203792643","ISBN":"9781351521208","ISSN":"0038-0296","abstract":"In his landmark study of exchange and power in social life, Peter M. Blau contributes to an understanding of social structure by analyzing the social processes that govern the relations between individuals and groups. The basic question that Blau considers is: How does social life become organized into increasingly complex structures of associations among humans.This analysis, first published in 1964, represents a pioneering contribution to the sociological literature. Blau uses concepts of exchange, reciprocity, imbalance, and power to examine social life and to derive the more complex processes in social structure from the simpler ones. The principles of reciprocity and imbalance are used to derive such processes as power, changes in group structure; and the two major forces that govern the dynamics of complex social structures: the legitimization of organizing authority of increasing scope and the emergence of oppositions along different lines producing conflict and change.","author":[{"dropping-particle":"","family":"Blau","given":"Peter M.","non-dropping-particle":"","parse-names":false,"suffix":""}],"container-title":"Exchange and Power in Social Life","id":"ITEM-1","issued":{"date-parts":[["1964"]]},"number-of-pages":"1-352","publisher":"Wiley Publishers,New York, NY.","title":"Exchange and power in social life","type":"book"},"uris":["http://www.mendeley.com/documents/?uuid=98166f30-539c-3639-b343-dda96e880331"]}],"mendeley":{"formattedCitation":"(Blau, 1964)","plainTextFormattedCitation":"(Blau, 1964)","previouslyFormattedCitation":"(Blau, 1964)"},"properties":{"noteIndex":0},"schema":"https://github.com/citation-style-language/schema/raw/master/csl-citation.json"}</w:instrText>
      </w:r>
      <w:r w:rsidR="00456E63" w:rsidRPr="007138D8">
        <w:fldChar w:fldCharType="separate"/>
      </w:r>
      <w:r w:rsidR="00CF44F9" w:rsidRPr="007138D8">
        <w:t>(Blau, 1964)</w:t>
      </w:r>
      <w:r w:rsidR="00456E63" w:rsidRPr="007138D8">
        <w:fldChar w:fldCharType="end"/>
      </w:r>
      <w:r w:rsidR="004107EC" w:rsidRPr="007138D8">
        <w:t xml:space="preserve">, </w:t>
      </w:r>
      <w:r w:rsidR="008C57FA" w:rsidRPr="007138D8">
        <w:t xml:space="preserve">this research aims to examine the effect of AI-led </w:t>
      </w:r>
      <w:r w:rsidR="00210CE8" w:rsidRPr="007138D8">
        <w:t>automating</w:t>
      </w:r>
      <w:r w:rsidR="008C57FA" w:rsidRPr="007138D8">
        <w:t xml:space="preserve"> progress on the link among PC</w:t>
      </w:r>
      <w:r w:rsidR="004107EC" w:rsidRPr="007138D8">
        <w:t xml:space="preserve"> fulfillment</w:t>
      </w:r>
      <w:r w:rsidR="007E42EF" w:rsidRPr="007138D8">
        <w:t xml:space="preserve">, </w:t>
      </w:r>
      <w:r w:rsidR="009F2C55" w:rsidRPr="007138D8">
        <w:t>trust</w:t>
      </w:r>
      <w:r w:rsidR="0049004F" w:rsidRPr="007138D8">
        <w:t>,</w:t>
      </w:r>
      <w:r w:rsidR="009F2C55" w:rsidRPr="007138D8">
        <w:t xml:space="preserve"> and </w:t>
      </w:r>
      <w:r w:rsidR="007E42EF" w:rsidRPr="007138D8">
        <w:t>worker commitment</w:t>
      </w:r>
      <w:r w:rsidR="00F23319" w:rsidRPr="007138D8">
        <w:t>. It</w:t>
      </w:r>
      <w:r w:rsidR="007E42EF" w:rsidRPr="007138D8">
        <w:t xml:space="preserve"> seek</w:t>
      </w:r>
      <w:r w:rsidR="0049004F" w:rsidRPr="007138D8">
        <w:t>s</w:t>
      </w:r>
      <w:r w:rsidR="007E42EF" w:rsidRPr="007138D8">
        <w:t xml:space="preserve"> to contribute to </w:t>
      </w:r>
      <w:r w:rsidR="009F2C55" w:rsidRPr="007138D8">
        <w:t>fairness, trust, commitment</w:t>
      </w:r>
      <w:r w:rsidR="0049004F" w:rsidRPr="007138D8">
        <w:t>,</w:t>
      </w:r>
      <w:r w:rsidR="009F2C55" w:rsidRPr="007138D8">
        <w:t xml:space="preserve"> and AI literature</w:t>
      </w:r>
      <w:r w:rsidR="007E42EF" w:rsidRPr="007138D8">
        <w:t>.</w:t>
      </w:r>
      <w:r w:rsidR="00882544" w:rsidRPr="007138D8">
        <w:t xml:space="preserve"> More</w:t>
      </w:r>
      <w:r w:rsidR="00770A8A" w:rsidRPr="007138D8">
        <w:t>o</w:t>
      </w:r>
      <w:r w:rsidR="00882544" w:rsidRPr="007138D8">
        <w:t>ver, there ha</w:t>
      </w:r>
      <w:r w:rsidR="00770A8A" w:rsidRPr="007138D8">
        <w:t>ve</w:t>
      </w:r>
      <w:r w:rsidR="00882544" w:rsidRPr="007138D8">
        <w:t xml:space="preserve"> been growing numbers of studies recently published on </w:t>
      </w:r>
      <w:r w:rsidR="00616E70" w:rsidRPr="007138D8">
        <w:t>‘technology influence’</w:t>
      </w:r>
      <w:r w:rsidR="00882544" w:rsidRPr="007138D8">
        <w:t xml:space="preserve"> along</w:t>
      </w:r>
      <w:r w:rsidR="00E91739" w:rsidRPr="007138D8">
        <w:t xml:space="preserve"> </w:t>
      </w:r>
      <w:r w:rsidR="00882544" w:rsidRPr="007138D8">
        <w:t xml:space="preserve">with ongoing calls </w:t>
      </w:r>
      <w:r w:rsidR="00770A8A" w:rsidRPr="007138D8">
        <w:t>to acknowledge</w:t>
      </w:r>
      <w:r w:rsidR="00882544" w:rsidRPr="007138D8">
        <w:t xml:space="preserve"> the importance of this topic and </w:t>
      </w:r>
      <w:r w:rsidR="00616E70" w:rsidRPr="007138D8">
        <w:t>call</w:t>
      </w:r>
      <w:r w:rsidR="00882544" w:rsidRPr="007138D8">
        <w:t xml:space="preserve">s </w:t>
      </w:r>
      <w:r w:rsidR="00616E70" w:rsidRPr="007138D8">
        <w:t>for more research to</w:t>
      </w:r>
      <w:r w:rsidR="00882544" w:rsidRPr="007138D8">
        <w:t xml:space="preserve"> clarify its impact on wider settings </w:t>
      </w:r>
      <w:r w:rsidR="00456E63" w:rsidRPr="007138D8">
        <w:fldChar w:fldCharType="begin" w:fldLock="1"/>
      </w:r>
      <w:r w:rsidR="0000253A" w:rsidRPr="007138D8">
        <w:instrText>ADDIN CSL_CITATION {"citationItems":[{"id":"ITEM-1","itemData":{"DOI":"10.1007/s10796-022-10352-8","ISSN":"1387-3326","abstract":"Artificial intelligence (AI) has increased the ability of organizations to accumulate tacit and explicit knowledge to inform management decision-making. Despite the hype and popularity of AI, there is a noticeable scarcity of research focusing on AI's potential role in enriching and augmenting organizational knowledge. This paper develops a recursive theory of knowledge augmentation in organizations (the KAM model) based on a synthesis of extant literature and a four-year revised canonical action research project. The project aimed to design and implement a human-centric AI (called Project) to solve the lack of integration of tacit and explicit knowledge in a scientific research center (SRC). To explore the patterns of knowledge augmentation in organizations, this study extends Nonaka's SECI (socialization, externalization, combination, and internalization) model by incorporating the human-in-the-loop Informed Artificial Intelligence (IAI) approach. The proposed design offers the possibility to integrate experts' intuition and domain knowledge in AI in an explainable way. The findings show that organizational knowledge can be augmented through a recursive process enabled by the design and implementation of human-in-the-loop IAI. The study has important implications for research and practice.","author":[{"dropping-particle":"","family":"Harfouche","given":"Antoine","non-dropping-particle":"","parse-names":false,"suffix":""},{"dropping-particle":"","family":"Quinio","given":"Bernard","non-dropping-particle":"","parse-names":false,"suffix":""},{"dropping-particle":"","family":"Saba","given":"Mario","non-dropping-particle":"","parse-names":false,"suffix":""},{"dropping-particle":"","family":"Saba","given":"Peter Bou","non-dropping-particle":"","parse-names":false,"suffix":""}],"container-title":"Information Systems Frontiers","id":"ITEM-1","issue":"1","issued":{"date-parts":[["2023","2","26"]]},"page":"55-70","publisher":"Springer","title":"The Recursive Theory of Knowledge Augmentation: Integrating human intuition and knowledge in Artificial Intelligence to augment organizational knowledge","type":"article-journal","volume":"25"},"uris":["http://www.mendeley.com/documents/?uuid=e6d36b37-9a3e-34ba-a9e6-9489f4a839ee"]},{"id":"ITEM-2","itemData":{"DOI":"10.1007/s10796-023-10460-z","ISSN":"1387-3326","abstract":"Artificial Intelligence (AI) tools, applications, and capabilities have received tremendous attention from industry practitioners, scholars, and policymakers. Despite the substantial progress of the literature on AI, there is a considerable scarcity of research investigating the effects of AI capability, considering the importance of a data-driven culture and whether a data-driven culture truly mediates the relationship between AI capability and firm performance from a sustainable development perspective. Anchored by the resource-based theory (RBT), we developed a high-order model of AI capability and its resources (tangible, intangible, and human). We used a two-stage approach, with PLS-SEM in the first and fsQCA in the second. The findings from the first step suggest that AI capability directly impacts firm performance and that data-driven culture mediates the relationship between AI capability and firm performance. The results from the second step indicated that different configurations of AI resources could be considered for firms to achieve high performance but that AI infrastructure is a crucial resource. Our study advances the literature on AI capability and sustainable development goals. Similarly, it contributes to moving the RBT theory forward by suggesting that AI capability is a paramount variable that substantially influences firm performance. Simultaneously, it is harmoniously connected with SDG 9 (industry, innovation, and infrastructure) and SDG 12 (responsible consumption and production).","author":[{"dropping-particle":"","family":"Fosso Wamba","given":"Samuel","non-dropping-particle":"","parse-names":false,"suffix":""},{"dropping-particle":"","family":"Queiroz","given":"Maciel M.","non-dropping-particle":"","parse-names":false,"suffix":""},{"dropping-particle":"","family":"Pappas","given":"Ilias O.","non-dropping-particle":"","parse-names":false,"suffix":""},{"dropping-particle":"","family":"Sullivan","given":"Yulia","non-dropping-particle":"","parse-names":false,"suffix":""}],"container-title":"Information Systems Frontiers","id":"ITEM-2","issued":{"date-parts":[["2024","1","4"]]},"page":"1-15","publisher":"Springer","title":"Artificial Intelligence Capability and Firm Performance: A Sustainable Development Perspective by the Mediating Role of Data-Driven Culture","type":"article-journal"},"uris":["http://www.mendeley.com/documents/?uuid=7e660490-de28-39cc-92ba-259f5dd0e9dd"]},{"id":"ITEM-3","itemData":{"DOI":"10.1007/s10796-022-10300-6","ISSN":"1387-3326","abstract":"This paper engages with the emerging field of Artificial Intelligence (AI) governance wishing to contribute to the relevant literature from three angles grounded in international human rights law, Law and Technology, Science and Technology Studies (STS) and theories of technology. Focusing on the shift from ethics to governance, it offers a bird-eye overview of the developments in AI governance, focusing on the comparison between ethical principles and binding rules for the governance of AI, and critically reviewing the latest regulatory developments. Secondly, focusing on the role of human rights, it takes the argument that human rights offer a more robust and effective framework a step further, arguing for the necessity to extend human rights obligations to also directly apply to private actors in the context of AI governance. Finally, it offers insights for AI governance borrowing from the Internet Governance history and the broader technology governance field.","author":[{"dropping-particle":"","family":"Koniakou","given":"Vasiliki","non-dropping-particle":"","parse-names":false,"suffix":""}],"container-title":"Information Systems Frontiers","id":"ITEM-3","issue":"1","issued":{"date-parts":[["2023","2","28"]]},"page":"71-102","publisher":"Springer","title":"From the “rush to ethics” to the “race for governance” in Artificial Intelligence","type":"article-journal","volume":"25"},"uris":["http://www.mendeley.com/documents/?uuid=ca57d1f2-e885-38c4-b7e0-5dcb541061b8"]},{"id":"ITEM-4","itemData":{"DOI":"10.1007/s10796-022-10279-0","ISSN":"1387-3326","abstract":"&lt;p&gt;Artificial intelligence (AI) and blockchain are the two disruptive technologies emerging from the Fourth Industrial Revolution (IR4.0) that have introduced radical shifts in the industry. The amalgamation of AI and blockchain holds tremendous potential to create new business models enabled through digitalization. Although research on the application and convergence of AI and blockchain exists, our understanding of the utility of its integration for business remains fragmented. To address this gap, this study aims to characterize the applications and benefits of integrated AI and blockchain platforms across different verticals of business. Using bibliometric analysis, this study reveals the most influential articles on the subject based on their publications, citations, and importance in the intellectual network. Using content analysis, this study sheds light on the subject’s intellectual structure, which is underpinned by four major thematic clusters focusing on supply chains, healthcare, secure transactions, and finance and accounting. The study concludes with 10 application areas in business that can benefit from these technologies.&lt;/p&gt;","author":[{"dropping-particle":"","family":"Kumar","given":"Satish","non-dropping-particle":"","parse-names":false,"suffix":""},{"dropping-particle":"","family":"Lim","given":"Weng Marc","non-dropping-particle":"","parse-names":false,"suffix":""},{"dropping-particle":"","family":"Sivarajah","given":"Uthayasankar","non-dropping-particle":"","parse-names":false,"suffix":""},{"dropping-particle":"","family":"Kaur","given":"Jaspreet","non-dropping-particle":"","parse-names":false,"suffix":""}],"container-title":"Information Systems Frontiers","id":"ITEM-4","issue":"2","issued":{"date-parts":[["2022","4","12"]]},"page":"871-896","publisher":"Springer","title":"Artificial Intelligence and Blockchain Integration in Business: Trends from a Bibliometric-Content Analysis","type":"article-journal","volume":"25"},"uris":["http://www.mendeley.com/documents/?uuid=9f6d154c-954a-3179-88ac-72184525474a"]},{"id":"ITEM-5","itemData":{"DOI":"10.1007/s10796-022-10276-3","ISSN":"1387-3326","abstract":"Responsible Artificial Intelligence (AI) has recently gained a lot of attention, especially in the last few years. Scholars have conducted systematic literature reviews to gain more knowledge about responsible AI. However, no study has collected and evaluated the most significant barriers to responsible AI. We filled this gap in the literature by identifying eleven barriers and categorized them, using the Technology-Organization-Environment framework, into three categories. We collected data from seven experts and used the analytical hierarchy process to evaluate the importance of the barriers. The results indicated that technology, as a category, is the most important. The findings also recommended that data quality is the most vital among all eleven barriers. We offered eleven propositions as a theoretical contribution for future researchers in terms of conceptual development. We discussed the implications of the findings for research and practice.","author":[{"dropping-particle":"","family":"Merhi","given":"Mohammad I.","non-dropping-particle":"","parse-names":false,"suffix":""}],"container-title":"Information Systems Frontiers","id":"ITEM-5","issue":"3","issued":{"date-parts":[["2023","6","20"]]},"page":"1147-1160","publisher":"Springer","title":"An Assessment of the Barriers Impacting Responsible Artificial Intelligence","type":"article-journal","volume":"25"},"uris":["http://www.mendeley.com/documents/?uuid=abc52545-8091-3a46-8831-5d7b7f9a7689"]},{"id":"ITEM-6","itemData":{"DOI":"10.1007/s10796-022-10249-6","ISSN":"1387-3326","abstract":"The study utilises the International Labor Organization’s SMEs COVID-19 pandemic business risks scale to determine whether Artificial Intelligence (AI) applications are associated with reduced business risks for SMEs. A new 10-item scale was developed to capture the use of AI applications in core services such as marketing and sales, pricing and cash flow. Data were collected from 317 SMEs between April and June 2020, with follow-up data gathered between October and December 2020 in London, England. AI applications to target consumers online, offer cash flow forecasting and facilitate HR activities are associated with reduced business risks caused by the COVID-19 pandemic for both small and medium enterprises. The study indicates that AI enables SMEs to boost their dynamic capabilities by leveraging technology to meet new types of demand, move at speed to pivot business operations, boost efficiency and thus, reduce their business risks.","author":[{"dropping-particle":"","family":"Drydakis","given":"Nick","non-dropping-particle":"","parse-names":false,"suffix":""}],"container-title":"Information Systems Frontiers","id":"ITEM-6","issue":"4","issued":{"date-parts":[["2022","8","4"]]},"page":"1223-1247","publisher":"Springer","title":"Artificial Intelligence and Reduced SMEs’ Business Risks. A Dynamic Capabilities Analysis During the COVID-19 Pandemic","type":"article-journal","volume":"24"},"uris":["http://www.mendeley.com/documents/?uuid=8cfd9554-c1a5-3dab-b807-1297eb512c7f"]},{"id":"ITEM-7","itemData":{"DOI":"10.1007/s10796-022-10317-x","ISSN":"1387-3326","abstract":"&lt;p&gt;Cutting-edge technologies like big data analytics (BDA), artificial intelligence (AI), quantum computing, blockchain, and digital twins have a profound impact on the sustainability of the production system. In addition, it is argued that turbulence in technology could negatively impact the adoption of these technologies and adversely impact the sustainability of the production system of the firm. The present study has demonstrated that the role of technological turbulence as a moderator could impact the relationships between the sustainability the of production system with its predictors. The study further analyses the mediating role of operational sustainability which could impact the firm performance. A theoretical model has been developed that is underpinned by dynamic capability view (DCV) theory and firm absorptive capacity theory. This model was verified by PLS-SEM with 412 responses from various manufacturing firms in India. There exists a positive and significant influence of AI and other cutting-edge technologies for keeping the production system sustainable.&lt;/p&gt;","author":[{"dropping-particle":"","family":"Chatterjee","given":"Sheshadri","non-dropping-particle":"","parse-names":false,"suffix":""},{"dropping-particle":"","family":"Chaudhuri","given":"Ranjan","non-dropping-particle":"","parse-names":false,"suffix":""},{"dropping-particle":"","family":"Kamble","given":"Sachin","non-dropping-particle":"","parse-names":false,"suffix":""},{"dropping-particle":"","family":"Gupta","given":"Shivam","non-dropping-particle":"","parse-names":false,"suffix":""},{"dropping-particle":"","family":"Sivarajah","given":"Uthayasankar","non-dropping-particle":"","parse-names":false,"suffix":""}],"container-title":"Information Systems Frontiers","id":"ITEM-7","issue":"5","issued":{"date-parts":[["2023","10","30"]]},"page":"1779-1794","publisher":"Springer","title":"Adoption of Artificial Intelligence and Cutting-Edge Technologies for Production System Sustainability: A Moderator-Mediation Analysis","type":"article-journal","volume":"25"},"uris":["http://www.mendeley.com/documents/?uuid=6e1028b0-00ab-3316-b063-369cdb381ceb"]},{"id":"ITEM-8","itemData":{"DOI":"10.1007/s10796-021-10186-w","ISSN":"1387-3326","abstract":"&lt;p&gt;Artificial Intelligence (AI) are a wide-ranging set of technologies that promise several advantages for organizations in terms off added business value. Over the past few years, organizations are increasingly turning to AI in order to gain business value following a deluge of data and a strong increase in computational capacity. Nevertheless, organizations are still struggling to adopt and leverage AI in their operations. The lack of a coherent understanding of how AI technologies create business value, and what type of business value is expected, therefore necessitates a holistic understanding. This study provides a systematic literature review that attempts to explain how organizations can leverage AI technologies in their operations and elucidate the value-generating mechanisms. Our analysis synthesizes the current literature and highlights: (1) the key enablers and inhibitors of AI adoption and use; (2) the typologies of AI use in the organizational setting; and (3) the first- and second-order effects of AI. The paper concludes with an identification of the gaps in the literature and develops a research agenda that identifies areas that need to be addressed by future studies.&lt;/p&gt;","author":[{"dropping-particle":"","family":"Enholm","given":"Ida Merete","non-dropping-particle":"","parse-names":false,"suffix":""},{"dropping-particle":"","family":"Papagiannidis","given":"Emmanouil","non-dropping-particle":"","parse-names":false,"suffix":""},{"dropping-particle":"","family":"Mikalef","given":"Patrick","non-dropping-particle":"","parse-names":false,"suffix":""},{"dropping-particle":"","family":"Krogstie","given":"John","non-dropping-particle":"","parse-names":false,"suffix":""}],"container-title":"Information Systems Frontiers","id":"ITEM-8","issue":"5","issued":{"date-parts":[["2022","10","25"]]},"page":"1709-1734","publisher":"Springer","title":"Artificial Intelligence and Business Value: a Literature Review","type":"article-journal","volume":"24"},"uris":["http://www.mendeley.com/documents/?uuid=f500b496-e202-30da-b8bc-83305e2a85d3"]},{"id":"ITEM-9","itemData":{"DOI":"10.1007/s10796-023-10372-y","ISSN":"1387-3326","author":[{"dropping-particle":"","family":"Samtani","given":"Sagar","non-dropping-particle":"","parse-names":false,"suffix":""},{"dropping-particle":"","family":"Zhao","given":"Ziming","non-dropping-particle":"","parse-names":false,"suffix":""},{"dropping-particle":"","family":"Krishnan","given":"Ram","non-dropping-particle":"","parse-names":false,"suffix":""}],"container-title":"Information Systems Frontiers","id":"ITEM-9","issue":"2","issued":{"date-parts":[["2023","2","18"]]},"page":"425-429","publisher":"Springer","title":"Secure Knowledge Management and Cybersecurity in the Era of Artificial Intelligence","type":"article-journal","volume":"25"},"uris":["http://www.mendeley.com/documents/?uuid=94f29018-0a55-3438-b109-9a9dfcc0470c"]},{"id":"ITEM-10","itemData":{"DOI":"10.1007/s10796-022-10365-3","ISSN":"1387-3326","author":[{"dropping-particle":"","family":"Dennehy","given":"Denis","non-dropping-particle":"","parse-names":false,"suffix":""},{"dropping-particle":"","family":"Griva","given":"Anastasia","non-dropping-particle":"","parse-names":false,"suffix":""},{"dropping-particle":"","family":"Pouloudi","given":"Nancy","non-dropping-particle":"","parse-names":false,"suffix":""},{"dropping-particle":"","family":"Dwivedi","given":"Yogesh K.","non-dropping-particle":"","parse-names":false,"suffix":""},{"dropping-particle":"","family":"Mäntymäki","given":"Matti","non-dropping-particle":"","parse-names":false,"suffix":""},{"dropping-particle":"","family":"Pappas","given":"Ilias O.","non-dropping-particle":"","parse-names":false,"suffix":""}],"container-title":"Information Systems Frontiers","id":"ITEM-10","issue":"1","issued":{"date-parts":[["2023","2","23"]]},"page":"1-7","publisher":"Springer","title":"Artificial Intelligence (AI) and Information Systems: Perspectives to Responsible AI","type":"article-journal","volume":"25"},"uris":["http://www.mendeley.com/documents/?uuid=61c3b8e6-63e2-3e9c-9fd4-29e3b2920b83"]},{"id":"ITEM-11","itemData":{"DOI":"10.1007/s10796-021-10219-4","ISSN":"1387-3326","abstract":"Data-driven predictions have become an inseparable part of business decisions. Artificial Intelligence (AI) has started helping the product and support teams perform more accurate experiments in various business settings. This study proposes a framework for businesses based on inductive learnings related to success and barriers shared on social media platforms. Our goal is to analyse the signals emerging from these conversational opinions from the early adoption of AI, with a focus towards facilitators and barriers faced by teams. Factors like efficiency, innovation, business research, product novelty, manual intervention, adaptability, emotion, support, personal growth, experiential learning, fear of failure and fear of upgradation have been identified based on an exploratory study and then a confirmatory study. We present the learnings through a roadmap for practitioners. This study contributes to the IS literature by delineating AI as a determinant of success and introduces a lot of organizational factors into the model.","author":[{"dropping-particle":"","family":"Kar","given":"Arpan Kumar","non-dropping-particle":"","parse-names":false,"suffix":""},{"dropping-particle":"","family":"Kushwaha","given":"Amit Kumar","non-dropping-particle":"","parse-names":false,"suffix":""}],"container-title":"Information Systems Frontiers","id":"ITEM-11","issue":"4","issued":{"date-parts":[["2023","8","9"]]},"page":"1351-1374","publisher":"Springer","title":"Facilitators and Barriers of Artificial Intelligence Adoption in Business – Insights from Opinions Using Big Data Analytics","type":"article-journal","volume":"25"},"uris":["http://www.mendeley.com/documents/?uuid=07261573-317e-3f69-828a-caa4cd6cc0e2"]},{"id":"ITEM-12","itemData":{"DOI":"10.1007/s10796-022-10293-2","ISSN":"1387-3326","abstract":"Artificial intelligence (AI) transits from merely adopted technology to fueling everyday decision-making systems from medication to navigation. With this combination of AI in decision-making systems (ADMS), the present study explores how text-based users' data from social media helps organize the users' perspectives of ADMS? To investigate our research questions, we used a framework consisting of three phases, exploratory, confirmatory, and validatory. We applied hierarchy clustering and topic modeling in the exploratory study, hypothesis building, and empirical analysis during the confirmatory study and support vector machine (SVM) in the validatory study. Our findings suggest that users are primarily concerned about the risk involved in using ADMS. Factors like accountability, self-efficacy, knowledge of ADMS individuals' attitudes towards ADMS impact the perception of ADMS among individuals. This study's theoretical and practical implications have great scope as ADMS is still in its elementary stage.","author":[{"dropping-particle":"","family":"Kushwaha","given":"Amit Kumar","non-dropping-particle":"","parse-names":false,"suffix":""},{"dropping-particle":"","family":"Pharswan","given":"Ruchika","non-dropping-particle":"","parse-names":false,"suffix":""},{"dropping-particle":"","family":"Kumar","given":"Prashant","non-dropping-particle":"","parse-names":false,"suffix</w:instrText>
      </w:r>
      <w:r w:rsidR="0000253A" w:rsidRPr="007138D8">
        <w:rPr>
          <w:lang w:val="fr-FR"/>
        </w:rPr>
        <w:instrText>":""},{"dropping-particle":"","family":"Kar","given":"Arpan Kumar","non-dropping-particle":"","parse-names":false,"suffix":""}],"container-title":"Information Systems Frontiers","id":"ITEM-12","issue":"3","issued":{"date-parts":[["2023","6","28"]]},"page":"1241-1260","publisher":"Springer","title":"How Do Users Feel When They Use Artificial Intelligence for Decision Making? A Framework for Assessing Users’ Perception","type":"article-journal","volume":"25"},"uris":["http://www.mendeley.com/documents/?uuid=e30826e7-7a1f-3b86-9514-d3688129b2ee"]}],"mendeley":{"formattedCitation":"(Chatterjee et al., 2023; Dennehy et al., 2023; Drydakis, 2022; Enholm et al., 2022; Fosso Wamba et al., 2024; Harfouche et al., 2023; Kar &amp; Kushwaha, 2023; Koniakou, 2023; Kumar et al., 2022; Kushwaha et al., 2023; Merhi, 2023; Samtani et al., 2023)","plainTextFormattedCitation":"(Chatterjee et al., 2023; Dennehy et al., 2023; Drydakis, 2022; Enholm et al., 2022; Fosso Wamba et al., 2024; Harfouche et al., 2023; Kar &amp; Kushwaha, 2023; Koniakou, 2023; Kumar et al., 2022; Kushwaha et al., 2023; Merhi, 2023; Samtani et al., 2023)","previouslyFormattedCitation":"(Chatterjee et al., 2023; Dennehy et al., 2023; Drydakis, 2022; Enholm et al., 2022; Fosso Wamba et al., 2024; Harfouche et al., 2023; Kar &amp; Kushwaha, 2023; Koniakou, 2023; Kumar et al., 2022; Merhi, 2023; Samtani et al., 2023)"},"properties":{"noteIndex":0},"schema":"https://github.com/citation-style-language/schema/raw/master/csl-citation.json"}</w:instrText>
      </w:r>
      <w:r w:rsidR="00456E63" w:rsidRPr="007138D8">
        <w:fldChar w:fldCharType="separate"/>
      </w:r>
      <w:r w:rsidR="0000253A" w:rsidRPr="007138D8">
        <w:rPr>
          <w:lang w:val="fr-FR"/>
        </w:rPr>
        <w:t>(</w:t>
      </w:r>
      <w:r w:rsidR="00B61B2F" w:rsidRPr="007138D8">
        <w:rPr>
          <w:lang w:val="fr-FR"/>
        </w:rPr>
        <w:t>Alnsour</w:t>
      </w:r>
      <w:r w:rsidR="00050BE9" w:rsidRPr="007138D8">
        <w:rPr>
          <w:lang w:val="fr-FR"/>
        </w:rPr>
        <w:t xml:space="preserve"> et al., 2023; </w:t>
      </w:r>
      <w:r w:rsidR="001E3A67" w:rsidRPr="007138D8">
        <w:rPr>
          <w:lang w:val="fr-FR"/>
        </w:rPr>
        <w:t xml:space="preserve">Bankins &amp; Formosa, 2020; </w:t>
      </w:r>
      <w:r w:rsidR="0000253A" w:rsidRPr="007138D8">
        <w:rPr>
          <w:lang w:val="fr-FR"/>
        </w:rPr>
        <w:t xml:space="preserve">Chatterjee et al., 2023; </w:t>
      </w:r>
      <w:r w:rsidR="007E260F" w:rsidRPr="007138D8">
        <w:rPr>
          <w:lang w:val="fr-FR"/>
        </w:rPr>
        <w:t xml:space="preserve">Chen et al., 2023; </w:t>
      </w:r>
      <w:r w:rsidR="0000253A" w:rsidRPr="007138D8">
        <w:rPr>
          <w:lang w:val="fr-FR"/>
        </w:rPr>
        <w:t xml:space="preserve">Dennehy et al., 2023; Drydakis, 2022; </w:t>
      </w:r>
      <w:r w:rsidR="004478D4" w:rsidRPr="007138D8">
        <w:rPr>
          <w:lang w:val="fr-FR"/>
        </w:rPr>
        <w:t xml:space="preserve">Du et al., 2022; </w:t>
      </w:r>
      <w:r w:rsidR="0000253A" w:rsidRPr="007138D8">
        <w:rPr>
          <w:lang w:val="fr-FR"/>
        </w:rPr>
        <w:t xml:space="preserve">Enholm et </w:t>
      </w:r>
      <w:r w:rsidR="0000253A" w:rsidRPr="007138D8">
        <w:rPr>
          <w:lang w:val="fr-FR"/>
        </w:rPr>
        <w:lastRenderedPageBreak/>
        <w:t xml:space="preserve">al., 2022; Fosso Wamba et al., 2024; Harfouche et al., 2023; </w:t>
      </w:r>
      <w:r w:rsidR="00C34D6B" w:rsidRPr="007138D8">
        <w:rPr>
          <w:lang w:val="fr-FR"/>
        </w:rPr>
        <w:t xml:space="preserve">Harfouche, Quinio, &amp; Bugiotti, 2023; </w:t>
      </w:r>
      <w:r w:rsidR="00AC4750" w:rsidRPr="007138D8">
        <w:rPr>
          <w:lang w:val="fr-FR"/>
        </w:rPr>
        <w:t xml:space="preserve">Hasan et al., 2023; </w:t>
      </w:r>
      <w:r w:rsidR="00B8352A" w:rsidRPr="007138D8">
        <w:rPr>
          <w:lang w:val="fr-FR"/>
        </w:rPr>
        <w:t xml:space="preserve">Hossain et al., 2022; </w:t>
      </w:r>
      <w:r w:rsidR="0000253A" w:rsidRPr="007138D8">
        <w:rPr>
          <w:lang w:val="fr-FR"/>
        </w:rPr>
        <w:t xml:space="preserve">Kar &amp; Kushwaha, 2023; Koniakou, 2023; Kumar et al., 2022; Kushwaha et al., 2023; </w:t>
      </w:r>
      <w:r w:rsidR="00E840DA" w:rsidRPr="007138D8">
        <w:rPr>
          <w:lang w:val="fr-FR"/>
        </w:rPr>
        <w:t xml:space="preserve">Li et al., 2022; </w:t>
      </w:r>
      <w:r w:rsidR="001E3A67" w:rsidRPr="007138D8">
        <w:rPr>
          <w:lang w:val="fr-FR"/>
        </w:rPr>
        <w:t xml:space="preserve">Löffert &amp; Diehl, 2023; </w:t>
      </w:r>
      <w:r w:rsidR="0000253A" w:rsidRPr="007138D8">
        <w:rPr>
          <w:lang w:val="fr-FR"/>
        </w:rPr>
        <w:t xml:space="preserve">Merhi, 2023; </w:t>
      </w:r>
      <w:r w:rsidR="00E17359" w:rsidRPr="007138D8">
        <w:rPr>
          <w:lang w:val="fr-FR"/>
        </w:rPr>
        <w:t>Moin &amp; Zhang, 2024</w:t>
      </w:r>
      <w:r w:rsidR="0055114A" w:rsidRPr="007138D8">
        <w:rPr>
          <w:lang w:val="fr-FR"/>
        </w:rPr>
        <w:t xml:space="preserve">; </w:t>
      </w:r>
      <w:r w:rsidR="0000253A" w:rsidRPr="007138D8">
        <w:rPr>
          <w:lang w:val="fr-FR"/>
        </w:rPr>
        <w:t>Samtani et al., 2023</w:t>
      </w:r>
      <w:r w:rsidR="00093BF3" w:rsidRPr="007138D8">
        <w:rPr>
          <w:lang w:val="fr-FR"/>
        </w:rPr>
        <w:t xml:space="preserve">; </w:t>
      </w:r>
      <w:r w:rsidR="0055114A" w:rsidRPr="007138D8">
        <w:rPr>
          <w:lang w:val="fr-FR"/>
        </w:rPr>
        <w:t xml:space="preserve">Tseng, Lo, &amp; Chen, 2023; </w:t>
      </w:r>
      <w:r w:rsidR="00093BF3" w:rsidRPr="007138D8">
        <w:rPr>
          <w:lang w:val="fr-FR"/>
        </w:rPr>
        <w:t>Tursunbayeva &amp; Gal, 2024</w:t>
      </w:r>
      <w:r w:rsidR="0000253A" w:rsidRPr="007138D8">
        <w:rPr>
          <w:lang w:val="fr-FR"/>
        </w:rPr>
        <w:t>)</w:t>
      </w:r>
      <w:r w:rsidR="00456E63" w:rsidRPr="007138D8">
        <w:fldChar w:fldCharType="end"/>
      </w:r>
      <w:r w:rsidR="00882544" w:rsidRPr="007138D8">
        <w:rPr>
          <w:lang w:val="fr-FR"/>
        </w:rPr>
        <w:t xml:space="preserve">. </w:t>
      </w:r>
      <w:r w:rsidR="00882544" w:rsidRPr="007138D8">
        <w:t>Thus</w:t>
      </w:r>
      <w:r w:rsidR="00770A8A" w:rsidRPr="007138D8">
        <w:t>,</w:t>
      </w:r>
      <w:r w:rsidR="00882544" w:rsidRPr="007138D8">
        <w:t xml:space="preserve"> our research </w:t>
      </w:r>
      <w:r w:rsidR="00616E70" w:rsidRPr="007138D8">
        <w:t xml:space="preserve">also seeks to </w:t>
      </w:r>
      <w:r w:rsidR="001073E5" w:rsidRPr="007138D8">
        <w:t>respond to</w:t>
      </w:r>
      <w:r w:rsidR="00882544" w:rsidRPr="007138D8">
        <w:t xml:space="preserve"> those </w:t>
      </w:r>
      <w:r w:rsidR="00616E70" w:rsidRPr="007138D8">
        <w:t>recent</w:t>
      </w:r>
      <w:r w:rsidR="00882544" w:rsidRPr="007138D8">
        <w:t xml:space="preserve"> calls</w:t>
      </w:r>
      <w:r w:rsidR="00616E70" w:rsidRPr="007138D8">
        <w:t xml:space="preserve"> and provide a comprehensive view of technology </w:t>
      </w:r>
      <w:r w:rsidR="00770A8A" w:rsidRPr="007138D8">
        <w:t>i</w:t>
      </w:r>
      <w:r w:rsidR="00616E70" w:rsidRPr="007138D8">
        <w:t xml:space="preserve">n </w:t>
      </w:r>
      <w:r w:rsidR="00E21EB3" w:rsidRPr="007138D8">
        <w:t>broa</w:t>
      </w:r>
      <w:r w:rsidR="00616E70" w:rsidRPr="007138D8">
        <w:t>der settings.</w:t>
      </w:r>
    </w:p>
    <w:p w14:paraId="27E9ED70" w14:textId="77777777" w:rsidR="00E21EB3" w:rsidRPr="007138D8" w:rsidRDefault="00E21EB3" w:rsidP="00120A34">
      <w:pPr>
        <w:spacing w:line="480" w:lineRule="auto"/>
        <w:ind w:firstLine="360"/>
        <w:jc w:val="both"/>
      </w:pPr>
      <w:r w:rsidRPr="007138D8">
        <w:t xml:space="preserve">Specifically, drawing upon social exchange theory (Blau, 1964), this study investigates the relationship between Psychological Contract (PC) fulfillment and organizational commitment, with trust serving as a mediator and Artificial Intelligence (AI) as a moderator. Results indicate a positive association between PC fulfillment and organizational commitment, mediated by trust, while AI adoption attenuates this relationship. The paper contributes to organizational commitment literature by elucidating factors influencing commitment and the reciprocal nature of employer-employee relationships. It extends PC fulfillment scholarship by exploring its consequences, particularly organizational commitment, and highlights trust as a crucial mediator in this association. Moreover, the study broadens understanding of AI’s role, suggesting its potential to disrupt traditional job outcomes. These findings underscore the importance of trust in fostering organizational commitment amid evolving work environments, emphasizing the need for organizations to fulfill promissory expectations to engender </w:t>
      </w:r>
      <w:r w:rsidR="004368C1" w:rsidRPr="007138D8">
        <w:t>employee trust and commitment</w:t>
      </w:r>
      <w:r w:rsidRPr="007138D8">
        <w:t>.</w:t>
      </w:r>
    </w:p>
    <w:p w14:paraId="5446AFFD" w14:textId="77777777" w:rsidR="00FD49D2" w:rsidRPr="007138D8" w:rsidRDefault="00FD49D2" w:rsidP="00120A34">
      <w:pPr>
        <w:spacing w:line="480" w:lineRule="auto"/>
        <w:ind w:firstLine="360"/>
        <w:jc w:val="both"/>
      </w:pPr>
      <w:r w:rsidRPr="007138D8">
        <w:t xml:space="preserve">The rest of the paper unfolds in the following structure. The following section presents a literature review. Section </w:t>
      </w:r>
      <w:r w:rsidR="00CF578F" w:rsidRPr="007138D8">
        <w:t>4</w:t>
      </w:r>
      <w:r w:rsidRPr="007138D8">
        <w:t xml:space="preserve"> outlines the research methodology. Section </w:t>
      </w:r>
      <w:r w:rsidR="00CF578F" w:rsidRPr="007138D8">
        <w:t>5</w:t>
      </w:r>
      <w:r w:rsidRPr="007138D8">
        <w:t xml:space="preserve"> details the results. Sections </w:t>
      </w:r>
      <w:r w:rsidR="00CF578F" w:rsidRPr="007138D8">
        <w:t>6</w:t>
      </w:r>
      <w:r w:rsidRPr="007138D8">
        <w:t xml:space="preserve"> and </w:t>
      </w:r>
      <w:r w:rsidR="00CF578F" w:rsidRPr="007138D8">
        <w:t>7</w:t>
      </w:r>
      <w:r w:rsidRPr="007138D8">
        <w:t xml:space="preserve"> discuss the research contributions and practical implications. The last section concludes with limitations and future research directions. </w:t>
      </w:r>
    </w:p>
    <w:p w14:paraId="36DA4FA2" w14:textId="77777777" w:rsidR="00E21EB3" w:rsidRPr="007138D8" w:rsidRDefault="00E21EB3" w:rsidP="00120A34">
      <w:pPr>
        <w:jc w:val="both"/>
        <w:rPr>
          <w:b/>
        </w:rPr>
      </w:pPr>
      <w:r w:rsidRPr="007138D8">
        <w:rPr>
          <w:b/>
        </w:rPr>
        <w:br w:type="page"/>
      </w:r>
    </w:p>
    <w:p w14:paraId="266D1E03" w14:textId="5E4E5A08" w:rsidR="00120A34" w:rsidRPr="007138D8" w:rsidRDefault="00F11719" w:rsidP="00120A34">
      <w:pPr>
        <w:spacing w:line="480" w:lineRule="auto"/>
        <w:jc w:val="both"/>
        <w:rPr>
          <w:b/>
        </w:rPr>
      </w:pPr>
      <w:r w:rsidRPr="007138D8">
        <w:rPr>
          <w:b/>
          <w:sz w:val="28"/>
          <w:szCs w:val="28"/>
        </w:rPr>
        <w:lastRenderedPageBreak/>
        <w:t xml:space="preserve">2. </w:t>
      </w:r>
      <w:r w:rsidR="00CA6F9A" w:rsidRPr="007138D8">
        <w:rPr>
          <w:b/>
          <w:sz w:val="28"/>
          <w:szCs w:val="28"/>
        </w:rPr>
        <w:t xml:space="preserve">Theoretical </w:t>
      </w:r>
      <w:r w:rsidR="00E21EB3" w:rsidRPr="007138D8">
        <w:rPr>
          <w:b/>
          <w:sz w:val="28"/>
          <w:szCs w:val="28"/>
        </w:rPr>
        <w:t>U</w:t>
      </w:r>
      <w:r w:rsidR="00CA6F9A" w:rsidRPr="007138D8">
        <w:rPr>
          <w:b/>
          <w:sz w:val="28"/>
          <w:szCs w:val="28"/>
        </w:rPr>
        <w:t>nderpinning</w:t>
      </w:r>
      <w:r w:rsidR="00A365D2" w:rsidRPr="007138D8">
        <w:rPr>
          <w:b/>
          <w:sz w:val="28"/>
          <w:szCs w:val="28"/>
        </w:rPr>
        <w:t xml:space="preserve">: </w:t>
      </w:r>
      <w:r w:rsidR="00120A34" w:rsidRPr="007138D8">
        <w:rPr>
          <w:b/>
          <w:sz w:val="28"/>
          <w:szCs w:val="28"/>
        </w:rPr>
        <w:t>Social Exchange Theory</w:t>
      </w:r>
    </w:p>
    <w:p w14:paraId="43252A3D" w14:textId="6EE5A87A" w:rsidR="00120A34" w:rsidRPr="007138D8" w:rsidRDefault="00120A34" w:rsidP="00120A34">
      <w:pPr>
        <w:spacing w:line="480" w:lineRule="auto"/>
        <w:jc w:val="both"/>
      </w:pPr>
      <w:r w:rsidRPr="007138D8">
        <w:t xml:space="preserve">According to the social exchange theory (SET), the benefits of social exchange are compared to the potential advantages of other exchange interactions, such as those obtained from a different type of trade or a different partner. Consequently, the decision to maintain or terminate an existing exchange relationship is determined by the relative advantage of the connection (Lambe et al., 2001). In both the foundational works on SET (Blau, 1964) and the evaluations of the theory in the context of B2B, trust is considered </w:t>
      </w:r>
      <w:r w:rsidR="00F23319" w:rsidRPr="007138D8">
        <w:t>one of SET</w:t>
      </w:r>
      <w:r w:rsidR="00423685" w:rsidRPr="007138D8">
        <w:t>’</w:t>
      </w:r>
      <w:r w:rsidR="00F23319" w:rsidRPr="007138D8">
        <w:t>s most crucial aspects</w:t>
      </w:r>
      <w:r w:rsidRPr="007138D8">
        <w:t xml:space="preserve"> (Smith &amp; Barclay, 1997). Trust is the belief that trade is reliable and that parties will fulfill their commitments (Lambe et al., 2001). Arrow (1974) states that trust is a vital facilitator of a social system. Typically, trust is developed over time through repeated and positive trade interactions (</w:t>
      </w:r>
      <w:proofErr w:type="spellStart"/>
      <w:r w:rsidRPr="007138D8">
        <w:t>Cropanzano</w:t>
      </w:r>
      <w:proofErr w:type="spellEnd"/>
      <w:r w:rsidRPr="007138D8">
        <w:t>&amp; Mitchell, 2005).</w:t>
      </w:r>
    </w:p>
    <w:p w14:paraId="03D23523" w14:textId="755ABF0B" w:rsidR="00120A34" w:rsidRPr="007138D8" w:rsidRDefault="00120A34" w:rsidP="00EB0D8E">
      <w:pPr>
        <w:spacing w:line="480" w:lineRule="auto"/>
        <w:ind w:firstLine="360"/>
        <w:jc w:val="both"/>
      </w:pPr>
      <w:r w:rsidRPr="007138D8">
        <w:t xml:space="preserve">Homans (1969) expanded his research on Social Exchange Theory (SET) by integrating concepts from sociology and behavioral psychology, emphasizing the necessity for further investigation. Meanwhile, Anderson et al. (1969) highlighted the economic implications of the theory. In 1973, Goode suggested that role theory and exchange theory were convergent. Emerson (1976a) argued that SET should be viewed as a framework encompassing various theories rather than a standalone theory. Various aspects such as commitment (Bishop et al., 2000), organizational citizenship behaviors (Organ, 1990), supervisory and organizational support (Ladd </w:t>
      </w:r>
      <w:r w:rsidR="00611C3D" w:rsidRPr="007138D8">
        <w:t>&amp;</w:t>
      </w:r>
      <w:r w:rsidRPr="007138D8">
        <w:t xml:space="preserve"> Henry, 2000), and justice (Tepper </w:t>
      </w:r>
      <w:r w:rsidR="00611C3D" w:rsidRPr="007138D8">
        <w:t>&amp;</w:t>
      </w:r>
      <w:r w:rsidRPr="007138D8">
        <w:t xml:space="preserve"> Taylor, 2003) have been examined through the lens of SET. Mitchell et al. (2012) introduced the concept of a social life cycle, focusing on events and transactions between parties. </w:t>
      </w:r>
      <w:proofErr w:type="spellStart"/>
      <w:r w:rsidRPr="007138D8">
        <w:t>Cropanzano</w:t>
      </w:r>
      <w:proofErr w:type="spellEnd"/>
      <w:r w:rsidRPr="007138D8">
        <w:t xml:space="preserve"> et al. (2017) introduced the term </w:t>
      </w:r>
      <w:r w:rsidR="0011181F" w:rsidRPr="007138D8">
        <w:t>“</w:t>
      </w:r>
      <w:r w:rsidRPr="007138D8">
        <w:t>initiating action</w:t>
      </w:r>
      <w:r w:rsidR="0011181F" w:rsidRPr="007138D8">
        <w:t>”</w:t>
      </w:r>
      <w:r w:rsidRPr="007138D8">
        <w:t xml:space="preserve"> to describe the actions of the first actor, which can be categorized as positive or negative. Positive initiating actions include justice (</w:t>
      </w:r>
      <w:proofErr w:type="spellStart"/>
      <w:r w:rsidRPr="007138D8">
        <w:t>Cropanzano</w:t>
      </w:r>
      <w:proofErr w:type="spellEnd"/>
      <w:r w:rsidR="00EB0D8E" w:rsidRPr="007138D8">
        <w:t>&amp;</w:t>
      </w:r>
      <w:r w:rsidRPr="007138D8">
        <w:t xml:space="preserve"> Rupp, 2008) and </w:t>
      </w:r>
      <w:r w:rsidRPr="007138D8">
        <w:lastRenderedPageBreak/>
        <w:t xml:space="preserve">organizational support (Riggle et al., 2009), while negative actions may involve incivility (Andersson </w:t>
      </w:r>
      <w:r w:rsidR="00611C3D" w:rsidRPr="007138D8">
        <w:t>&amp;</w:t>
      </w:r>
      <w:r w:rsidRPr="007138D8">
        <w:t xml:space="preserve"> Pearson, 1999; Pearson et al., 2005), abusive supervision (Tepper et al., 2009), and bullying (Rayner </w:t>
      </w:r>
      <w:r w:rsidR="00183A2B" w:rsidRPr="007138D8">
        <w:t>&amp;</w:t>
      </w:r>
      <w:proofErr w:type="spellStart"/>
      <w:r w:rsidRPr="007138D8">
        <w:t>Keashly</w:t>
      </w:r>
      <w:proofErr w:type="spellEnd"/>
      <w:r w:rsidRPr="007138D8">
        <w:t xml:space="preserve">, 2005). The response elicited from the recipient can be classified as behavioral and relational. Successful exchanges can </w:t>
      </w:r>
      <w:r w:rsidR="00F23319" w:rsidRPr="007138D8">
        <w:t>transform</w:t>
      </w:r>
      <w:r w:rsidRPr="007138D8">
        <w:t xml:space="preserve"> an initial economic exchange into a social exchange relationship (</w:t>
      </w:r>
      <w:proofErr w:type="spellStart"/>
      <w:r w:rsidRPr="007138D8">
        <w:t>Cropanzano</w:t>
      </w:r>
      <w:proofErr w:type="spellEnd"/>
      <w:r w:rsidRPr="007138D8">
        <w:t xml:space="preserve"> et al., 2017). Lyons and Scott (2012) introduced the concept of </w:t>
      </w:r>
      <w:r w:rsidR="0011181F" w:rsidRPr="007138D8">
        <w:t>“</w:t>
      </w:r>
      <w:r w:rsidRPr="007138D8">
        <w:t>homeomorphic reciprocity,</w:t>
      </w:r>
      <w:r w:rsidR="0011181F" w:rsidRPr="007138D8">
        <w:t>”</w:t>
      </w:r>
      <w:r w:rsidR="00423685" w:rsidRPr="007138D8">
        <w:t xml:space="preserve"> </w:t>
      </w:r>
      <w:r w:rsidR="00F23319" w:rsidRPr="007138D8">
        <w:t>highlighting</w:t>
      </w:r>
      <w:r w:rsidRPr="007138D8">
        <w:t xml:space="preserve"> that an employee</w:t>
      </w:r>
      <w:r w:rsidR="0011181F" w:rsidRPr="007138D8">
        <w:t>’</w:t>
      </w:r>
      <w:r w:rsidRPr="007138D8">
        <w:t>s receipt of help or harm is contingent upon their engagement in beneficial or harmful actions. Moreover, the exchange of behaviors between an employee and a coworker should be reciprocal, where providing help without harm results in support, and engaging in harm without help leads to harm in return.</w:t>
      </w:r>
    </w:p>
    <w:p w14:paraId="689A71D9" w14:textId="19220084" w:rsidR="00381675" w:rsidRPr="007138D8" w:rsidRDefault="00381675" w:rsidP="00120A34">
      <w:pPr>
        <w:spacing w:line="480" w:lineRule="auto"/>
        <w:jc w:val="both"/>
      </w:pPr>
      <w:r w:rsidRPr="007138D8">
        <w:rPr>
          <w:b/>
          <w:sz w:val="28"/>
          <w:szCs w:val="28"/>
        </w:rPr>
        <w:t xml:space="preserve">3. Model </w:t>
      </w:r>
      <w:r w:rsidR="00A365D2" w:rsidRPr="007138D8">
        <w:rPr>
          <w:b/>
          <w:sz w:val="28"/>
          <w:szCs w:val="28"/>
        </w:rPr>
        <w:t>Construction</w:t>
      </w:r>
      <w:r w:rsidR="00366005" w:rsidRPr="007138D8">
        <w:rPr>
          <w:b/>
          <w:sz w:val="28"/>
          <w:szCs w:val="28"/>
        </w:rPr>
        <w:t xml:space="preserve"> and Hypothesis </w:t>
      </w:r>
      <w:r w:rsidR="00A365D2" w:rsidRPr="007138D8">
        <w:rPr>
          <w:b/>
          <w:sz w:val="28"/>
          <w:szCs w:val="28"/>
        </w:rPr>
        <w:t>Development</w:t>
      </w:r>
    </w:p>
    <w:p w14:paraId="480D48E2" w14:textId="2209EB94" w:rsidR="00E91739" w:rsidRPr="007138D8" w:rsidRDefault="00381675" w:rsidP="00423685">
      <w:pPr>
        <w:spacing w:line="480" w:lineRule="auto"/>
        <w:jc w:val="both"/>
        <w:rPr>
          <w:b/>
        </w:rPr>
      </w:pPr>
      <w:r w:rsidRPr="007138D8">
        <w:rPr>
          <w:b/>
        </w:rPr>
        <w:t>3</w:t>
      </w:r>
      <w:r w:rsidR="00F11719" w:rsidRPr="007138D8">
        <w:rPr>
          <w:b/>
        </w:rPr>
        <w:t>.</w:t>
      </w:r>
      <w:r w:rsidRPr="007138D8">
        <w:rPr>
          <w:b/>
        </w:rPr>
        <w:t>1</w:t>
      </w:r>
      <w:r w:rsidR="00423685" w:rsidRPr="007138D8">
        <w:rPr>
          <w:b/>
        </w:rPr>
        <w:t xml:space="preserve"> </w:t>
      </w:r>
      <w:r w:rsidR="00E91739" w:rsidRPr="007138D8">
        <w:rPr>
          <w:b/>
        </w:rPr>
        <w:t>PC Fulfillment and Organizational Commitment</w:t>
      </w:r>
    </w:p>
    <w:p w14:paraId="3C32C64A" w14:textId="77777777" w:rsidR="00A365D2" w:rsidRPr="007138D8" w:rsidRDefault="00A365D2" w:rsidP="00A365D2">
      <w:pPr>
        <w:spacing w:line="480" w:lineRule="auto"/>
        <w:jc w:val="both"/>
      </w:pPr>
      <w:r w:rsidRPr="007138D8">
        <w:t xml:space="preserve">Promissory expectations are workers’ feelings regarding their association with their employer. Promissory expectation has two types: transactional and relational </w:t>
      </w:r>
      <w:r w:rsidRPr="007138D8">
        <w:fldChar w:fldCharType="begin" w:fldLock="1"/>
      </w:r>
      <w:r w:rsidRPr="007138D8">
        <w:instrText>ADDIN CSL_CITATION {"citationItems":[{"id":"ITEM-1","itemData":{"DOI":"10.1002/9780470745267.ch3","author":[{"dropping-particle":"","family":"Conway","given":"Neil","non-dropping-particle":"","parse-names":false,"suffix":""},{"dropping-particle":"","family":"Briner","given":"Rob B.","non-dropping-particle":"","parse-names":false,"suffix":""}],"container-title":"International Review of Industrial and Organizational Psychology","id":"ITEM-1","issued":{"date-parts":[["2009","4","17"]]},"page":"71-130","publisher":"Wiley","title":"Fifty Years of Psychological Contract Research: What Do We Know and What are the Main Challenges?","type":"chapter"},"uris":["http://www.mendeley.com/documents/?uuid=4804be4f-8fef-34df-ba1b-7e5761a639d3"]}],"mendeley":{"formattedCitation":"(Conway &amp; Briner, 2009)","plainTextFormattedCitation":"(Conway &amp; Briner, 2009)","previouslyFormattedCitation":"(Conway &amp; Briner, 2009)"},"properties":{"noteIndex":0},"schema":"https://github.com/citation-style-language/schema/raw/master/csl-citation.json"}</w:instrText>
      </w:r>
      <w:r w:rsidRPr="007138D8">
        <w:fldChar w:fldCharType="separate"/>
      </w:r>
      <w:r w:rsidRPr="007138D8">
        <w:t>(Conway &amp; Briner, 2009)</w:t>
      </w:r>
      <w:r w:rsidRPr="007138D8">
        <w:fldChar w:fldCharType="end"/>
      </w:r>
      <w:r w:rsidRPr="007138D8">
        <w:t xml:space="preserve">. Transactional dealings are defined by brief time and financial schemes, with less mutual participation in the life and actions of each one, emphasizing solely material outputs. Workers only put effort into getting their salary. On the contrary, relational dealings are defined by mutual accord with sharing or both social-cognitive and financial aspects. The association between workers and organization is based on long-period, open-ended involvement that facilitates employees to build and progress with that organization </w:t>
      </w:r>
      <w:r w:rsidRPr="007138D8">
        <w:fldChar w:fldCharType="begin" w:fldLock="1"/>
      </w:r>
      <w:r w:rsidRPr="007138D8">
        <w:instrText>ADDIN CSL_CITATION {"citationItems":[{"id":"ITEM-1","itemData":{"DOI":"10.1016/J.JVB.2007.10.005","ISSN":"0001-8791","abstract":"The aim of this study was to examine the influence of age in the relation between psychological contract breach and the development of job attitudes. Based on affective events, social exchange, and lifespan theory, we hypothesized that (1) psychological contract breach would be related negatively to job attitudes, and (2) that age would moderate these relations. The hypotheses were tested by means of a meta-analysis of k=60 studies, using Weighted Least Squares estimation. Our results supported both hypotheses for the outcomes trust and organizational commitment. However, for job satisfaction the moderating influence of age was in the unexpected direction. The relations between contract breach and trust and organizational commitment were indeed stronger for younger workers, whereas the relation between contract breach and job satisfaction was stronger for older workers. The implications are discussed, and a research agenda is presented.","author":[{"dropping-particle":"","family":"Bal","given":"P. Matthijs","non-dropping-particle":"","parse-names":false,"suffix":""},{"dropping-particle":"","family":"Lange","given":"Annet H.","non-dropping-particle":"De","parse-names":false,"suffix":""},{"dropping-particle":"","family":"Jansen","given":"Paul G.W.","non-dropping-particle":"","parse-names":false,"suffix":""},{"dropping-particle":"","family":"Velde","given":"Mandy E.G.","non-dropping-particle":"Van Der","parse-names":false,"suffix":""}],"container-title":"Journal of Vocational Behavior","id":"ITEM-1","issue":"1","issued":{"date-parts":[["2008","2","1"]]},"page":"143-158","publisher":"Academic Press","title":"Psychological contract breach and job attitudes: A meta-analysis of age as a moderator","type":"article-journal","volume":"72"},"uris":["http://www.mendeley.com/documents/?uuid=b2ae5ddc-f47a-3f90-b1d2-b05d5c8998c6"]}],"mendeley":{"formattedCitation":"(Bal et al., 2008)","plainTextFormattedCitation":"(Bal et al., 2008)","previouslyFormattedCitation":"(Bal et al., 2008)"},"properties":{"noteIndex":0},"schema":"https://github.com/citation-style-language/schema/raw/master/csl-citation.json"}</w:instrText>
      </w:r>
      <w:r w:rsidRPr="007138D8">
        <w:fldChar w:fldCharType="separate"/>
      </w:r>
      <w:r w:rsidRPr="007138D8">
        <w:t>(Bal et al., 2008)</w:t>
      </w:r>
      <w:r w:rsidRPr="007138D8">
        <w:fldChar w:fldCharType="end"/>
      </w:r>
      <w:r w:rsidRPr="007138D8">
        <w:t>. Due to this reason, relational dealings are linked with mutually favorable consequences for the organization and employees.</w:t>
      </w:r>
    </w:p>
    <w:p w14:paraId="397861C4" w14:textId="77777777" w:rsidR="00A365D2" w:rsidRPr="007138D8" w:rsidRDefault="00A365D2" w:rsidP="00A365D2">
      <w:pPr>
        <w:spacing w:line="480" w:lineRule="auto"/>
        <w:ind w:firstLine="360"/>
        <w:jc w:val="both"/>
      </w:pPr>
      <w:r w:rsidRPr="007138D8">
        <w:lastRenderedPageBreak/>
        <w:t xml:space="preserve">In contrast, transactional dealings due to material and short-term emphasis are linked with unfavorable consequences. Lowering the transactional facets of promissory expectation is helpful for employers as workers with these types of dealings are less devoted to the employer’s objectives </w:t>
      </w:r>
      <w:r w:rsidRPr="007138D8">
        <w:fldChar w:fldCharType="begin" w:fldLock="1"/>
      </w:r>
      <w:r w:rsidRPr="007138D8">
        <w:instrText>ADDIN CSL_CITATION {"citationItems":[{"id":"ITEM-1","itemData":{"DOI":"10.1108/CCSM-07-2020-0137","ISSN":"2059-5794","abstract":"This paper contains a meta-analysis of the psychological contract literature published in the last two decades. The aim of this paper was to investigate the moderating role of national culture in the individual-level relationships between psychological contract breach (PCB) and two important work outcomes, namely job performance (in-role and organizational citizenship behaviors) and turnover (actual and intended).,After an extensive literature search, 134 studies were found which matched the authors’ aim. The authors then incorporated national cultural scores based on the GLOBE study to include country-level scores to identify how the PCB relationships with these four outcomes vary across cultures.,The findings indicate that national cultural practices moderated the associations between PCB and the four outcomes, yet, no significant moderations for uncertainty avoidance practices.,While existing research has examined the impact of the breach on work outcomes such as job performance and turnover, there are few empirical studies that examine how national cultural practices influence the relationships between psychological contract breach and job performance and turnover. The authors address this need by investigating and creating a deeper insight into how cultural practices such as institutional collectivism, performance-orientation, power-distance, future orientation and gender egalitarianism moderate the relationships between PCB and job performance and turnover.","author":[{"dropping-particle":"","family":"Jayaweera","given":"A. Thushel","non-dropping-particle":"","parse-names":false,"suffix":""},{"dropping-particle":"","family":"Bal","given":"Matthijs","non-dropping-particle":"","parse-names":false,"suffix":""},{"dropping-particle":"","family":"Chudzikowski","given":"Katharina","non-dropping-particle":"","parse-names":false,"suffix":""},{"dropping-particle":"","family":"Jong","given":"Simon","non-dropping-particle":"de","parse-names":false,"suffix":""}],"container-title":"Cross Cultural &amp; Strategic Management","id":"ITEM-1","issue":"3","issued":{"date-parts":[["2021","7","1"]]},"page":"574-599","publisher":"Emerald Publishing Limited","title":"Moderating effects of national culture on the psychological contract breach and outcome relationship: a meta-analysis","type":"article-journal","volume":"28"},"uris":["http://www.mendeley.com/documents/?uuid=c2d51e82-6a88-385f-9c3a-5c476538b1bd"]}],"mendeley":{"formattedCitation":"(Jayaweera et al., 2021)","plainTextFormattedCitation":"(Jayaweera et al., 2021)","previouslyFormattedCitation":"(Jayaweera et al., 2021)"},"properties":{"noteIndex":0},"schema":"https://github.com/citation-style-language/schema/raw/master/csl-citation.json"}</w:instrText>
      </w:r>
      <w:r w:rsidRPr="007138D8">
        <w:fldChar w:fldCharType="separate"/>
      </w:r>
      <w:r w:rsidRPr="007138D8">
        <w:t>(Jayaweera et al., 2021)</w:t>
      </w:r>
      <w:r w:rsidRPr="007138D8">
        <w:fldChar w:fldCharType="end"/>
      </w:r>
      <w:r w:rsidRPr="007138D8">
        <w:t xml:space="preserve">. Building and remodeling relational promissory expectations facilitate workers to become more devoted to employers’ goals and involved in the job </w:t>
      </w:r>
      <w:r w:rsidRPr="007138D8">
        <w:fldChar w:fldCharType="begin" w:fldLock="1"/>
      </w:r>
      <w:r w:rsidRPr="007138D8">
        <w:instrText>ADDIN CSL_CITATION {"citationItems":[{"id":"ITEM-1","itemData":{"DOI":"10.1016/J.JVB.2007.10.005","ISSN":"0001-8791","abstract":"The aim of this study was to examine the influence of age in the relation between psychological contract breach and the development of job attitudes. Based on affective events, social exchange, and lifespan theory, we hypothesized that (1) psychological contract breach would be related negatively to job attitudes, and (2) that age would moderate these relations. The hypotheses were tested by means of a meta-analysis of k=60 studies, using Weighted Least Squares estimation. Our results supported both hypotheses for the outcomes trust and organizational commitment. However, for job satisfaction the moderating influence of age was in the unexpected direction. The relations between contract breach and trust and organizational commitment were indeed stronger for younger workers, whereas the relation between contract breach and job satisfaction was stronger for older workers. The implications are discussed, and a research agenda is presented.","author":[{"dropping-particle":"","family":"Bal","given":"P. Matthijs","non-dropping-particle":"","parse-names":false,"suffix":""},{"dropping-particle":"","family":"Lange","given":"Annet H.","non-dropping-particle":"De","parse-names":false,"suffix":""},{"dropping-particle":"","family":"Jansen","given":"Paul G.W.","non-dropping-particle":"","parse-names":false,"suffix":""},{"dropping-particle":"","family":"Velde","given":"Mandy E.G.","non-dropping-particle":"Van Der","parse-names":false,"suffix":""}],"container-title":"Journal of Vocational Behavior","id":"ITEM-1","issue":"1","issued":{"date-parts":[["2008","2","1"]]},"page":"143-158","publisher":"Academic Press","title":"Psychological contract breach and job attitudes: A meta-analysis of age as a moderator","type":"article-journal","volume":"72"},"uris":["http://www.mendeley.com/documents/?uuid=b2ae5ddc-f47a-3f90-b1d2-b05d5c8998c6"]}],"mendeley":{"formattedCitation":"(Bal et al., 2008)","plainTextFormattedCitation":"(Bal et al., 2008)","previouslyFormattedCitation":"(Bal et al., 2008)"},"properties":{"noteIndex":0},"schema":"https://github.com/citation-style-language/schema/raw/master/csl-citation.json"}</w:instrText>
      </w:r>
      <w:r w:rsidRPr="007138D8">
        <w:fldChar w:fldCharType="separate"/>
      </w:r>
      <w:r w:rsidRPr="007138D8">
        <w:t>(Bal et al., 2008)</w:t>
      </w:r>
      <w:r w:rsidRPr="007138D8">
        <w:fldChar w:fldCharType="end"/>
      </w:r>
      <w:r w:rsidRPr="007138D8">
        <w:t xml:space="preserve">. Violating promissory expectations or employers’ dealings produces unfavorable cognitive and behavioral outputs </w:t>
      </w:r>
      <w:r w:rsidRPr="007138D8">
        <w:fldChar w:fldCharType="begin" w:fldLock="1"/>
      </w:r>
      <w:r w:rsidRPr="007138D8">
        <w:rPr>
          <w:rFonts w:hint="eastAsia"/>
        </w:rPr>
        <w:instrText>ADDIN CSL_CITATION {"citationItems":[{"id":"ITEM-1","itemData":{"DOI":"10.1111/ijsa.12379","ISSN":"0965-075X","author":[{"dropping-particle":"","family":"Liang","given":"Huai‐Liang","non-dropping-particle":"","parse-names":false,"suffix":""}],"container-t</w:instrText>
      </w:r>
      <w:r w:rsidRPr="007138D8">
        <w:instrText>itle":"International Journal of Selection and Assessment","id":"ITEM-1","issue":"4","issued":{"date-parts":[["2022","12","25"]]},"page":"614-624","publisher":"John Wiley &amp; Sons, Ltd","title":"Façade creation as a mediator of the influence of psychological contract breach on employee behaviors","type":"article-journal","volume":"30"},"uris":["http://www.mendeley.com/documents/?uuid=a7cba31d-70d5-30f0-a528-b321261a536e"]}],"mendeley":{"formattedCitation":"(Liang, 2022)","plainTextFormattedCitation":"(Liang, 2022)","previouslyFormattedCitation":"(Liang, 2022)"},"properties":{"noteIndex":0},"schema":"https://github.com/citation-style-language/schema/raw/master/csl-citation.json"}</w:instrText>
      </w:r>
      <w:r w:rsidRPr="007138D8">
        <w:fldChar w:fldCharType="separate"/>
      </w:r>
      <w:r w:rsidRPr="007138D8">
        <w:t>(Liang, 2022)</w:t>
      </w:r>
      <w:r w:rsidRPr="007138D8">
        <w:fldChar w:fldCharType="end"/>
      </w:r>
      <w:r w:rsidRPr="007138D8">
        <w:t xml:space="preserve">, such as lower commitment, dissatisfaction, and distrust—unsatisfactory workers’ feelings screen PC violations by not achieving them fully. </w:t>
      </w:r>
    </w:p>
    <w:p w14:paraId="7767E542" w14:textId="2EBD9135" w:rsidR="00E91739" w:rsidRPr="007138D8" w:rsidRDefault="00E91739" w:rsidP="00A365D2">
      <w:pPr>
        <w:spacing w:line="480" w:lineRule="auto"/>
        <w:ind w:firstLine="360"/>
        <w:jc w:val="both"/>
      </w:pPr>
      <w:r w:rsidRPr="007138D8">
        <w:t xml:space="preserve">PC breach lowers the degree of trust between workers and the organization. As work trust depends on the association between worker and organization, a PC breach can destroy workers’ wellness, </w:t>
      </w:r>
      <w:r w:rsidR="00366005" w:rsidRPr="007138D8">
        <w:t>negatively impacting</w:t>
      </w:r>
      <w:r w:rsidRPr="007138D8">
        <w:t xml:space="preserve"> firm productivity </w:t>
      </w:r>
      <w:r w:rsidRPr="007138D8">
        <w:fldChar w:fldCharType="begin" w:fldLock="1"/>
      </w:r>
      <w:r w:rsidRPr="007138D8">
        <w:instrText>ADDIN CSL_CITATION {"citationItems":[{"id":"ITEM-1","itemData":{"DOI":"10.1016/J.JBUSRES.2021.06.008","ISSN":"0148-2963","abstract":"While there is an increasing awareness of the importance of developing successful business-to-business relationships, little research has explored the dark side of these relationships. We drew upon the concept of psychological contract, underpinned by social exchange theory to examine breach and the dark side of business-to-business relationships. We conducted in-depth interviews with 24 consultants in the UK and found that breach could take varying forms, resulting in differing levels of intensity of the dark side. The four theoretical categories of breach were classified as minor infractions, negative disruptions, intensified adverse events, and intolerable transgressions, which correspond to low, moderate, high, and very high levels of the dark side of business-to-business relationships, respectively. The dark side behavioral outcomes were identified as self-adjusting, renegotiating, escalating, and departing. We develop a set of research propositions, integrating and extending the business-to-business and psychological contract literature. We also highlight key implications for theory and practice.","author":[{"dropping-particle":"","family":"Gillani","given":"Alvina","non-dropping-particle":"","parse-names":false,"suffix":""},{"dropping-particle":"","family":"Kutaula","given":"Smirti","non-dropping-particle":"","parse-names":false,"suffix":""},{"dropping-particle":"","family":"Budhwar","given":"Pawan S.","non-dropping-particle":"","parse-names":false,"suffix":""}],"container-title":"Journal of Business Research","id":"ITEM-1","issued":{"date-parts":[["2021","9","1"]]},"page":"631-641","publisher":"Elsevier","title":"Psychological contract breach: Unraveling the dark side of business-to-business relationships","type":"article-journal","volume":"134"},"uris":["http://www.mendeley.com/documents/?uuid=d3b1908e-ffda-37b0-a37c-abb554f5b01f"]}],"mendeley":{"formattedCitation":"(Gillani et al., 2021)","plainTextFormattedCitation":"(Gillani et al., 2021)","previouslyFormattedCitation":"(Gillani et al., 2021)"},"properties":{"noteIndex":0},"schema":"https://github.com/citation-style-language/schema/raw/master/csl-citation.json"}</w:instrText>
      </w:r>
      <w:r w:rsidRPr="007138D8">
        <w:fldChar w:fldCharType="separate"/>
      </w:r>
      <w:r w:rsidRPr="007138D8">
        <w:t>(Gillani et al., 2021)</w:t>
      </w:r>
      <w:r w:rsidRPr="007138D8">
        <w:fldChar w:fldCharType="end"/>
      </w:r>
      <w:r w:rsidRPr="007138D8">
        <w:t xml:space="preserve">. In contrast, favorable PC fulfillment aids employers with workers’ dedication and job contentment </w:t>
      </w:r>
      <w:r w:rsidRPr="007138D8">
        <w:fldChar w:fldCharType="begin" w:fldLock="1"/>
      </w:r>
      <w:r w:rsidRPr="007138D8">
        <w:instrText>ADDIN CSL_CITATION {"citationItems":[{"id":"ITEM-1","itemData":{"DOI":"10.1108/PR-02-2012-0019","ISSN":"0048-3486","abstract":"– The purpose of this paper is to examine the effects of contextual variables – organisational justice (procedural justice, interactional justice and psychological contract) and trust – on work engagement. , – The paper reports a quantitative study of 323 managers working in manufacturing and pharmaceutical organisations based in western India. Drawing from social exchange theory, this paper tests the mediating role of trust in the justice-engagement relationship. The paper also investigates the effect of work engagement on employees' innovative work behaviour. , – Results suggest that procedural justice, interactional justice and psychological contract fulfilment are positively related to work engagement with trust as the mediating element. Engagement significantly influences employees' innovative work behaviour , – The data were collected cross-sectionally, which means that causal inferences must be made with caution. Moreover, the data were collected from a single source. Nevertheless, the findings have implications for contemporary leadership and organisational psychology research and practice in a novel geographic context. , – This study is one of the rare attempts to examine the influence of three justice variables and trust on work engagement. The study also contributes in terms of its context. With an increasing number of multinationals starting operations in India, an understanding of employee motivation has become an important concern. This research examines engagement levels of Indian managerial employees.","author":[{"dropping-particle":"","family":"A. Agarwal","given":"Upasna","non-dropping-particle":"","parse-names":false,"suffix":""}],"container-title":"Personnel Review","id":"ITEM-1","issue":"1","issued":{"date-parts":[["2014","1","28"]]},"page":"41-73","publisher":"Emerald Group Publishing Limited","title":"Linking justice, trust and innovative work behaviour to work engagement","type":"article-journal","volume":"43"},"uris":["http://www.mendeley.com/documents/?uuid=ccfbf13c-6194-3f03-a7c6-b5233829627d"]},{"id":"ITEM-2","itemData":{"DOI":"10.1016/J.JBUSRES.2020.08.018","ISSN":"0148-2963","abstract":"This research examines the tension between the aims of the United Nations’ Sustainable Development Goal 8 (SDG 8), to promote productive employment and decent work, and the adoption of Artificial Intelligence (AI). Our findings are based on the analysis of 232 survey results, where we tested the effects of AI adoption on workers’ psychological contract, engagement and trust. We find that psychological contracts had a significant, positive effect on job engagement and on trust. Yet, with AI adoption, the positive effect of psychological contracts fell significantly. A further re-examination of the extant literature leads us to posit that AI adoption fosters the creation of a third type of psychological contract, which we term “Alienational”. Whereas SDG 8 is premised on strengthening relational contracts between an organization and its employees, the adoption of AI has the opposite effect, detracting from the very nature of decent work.","author":[{"dropping-particle":"","family":"Braganza","given":"Ashley","non-dropping-particle":"","parse-names":false,"suffix":""},{"dropping-particle":"","family":"Chen","given":"Weifeng","non-dropping-particle":"","parse-names":false,"suffix":""},{"dropping-particle":"","family":"Canhoto","given":"Ana","non-dropping-particle":"","parse-names":false,"suffix":""},{"dropping-particle":"","family":"Sap","given":"Serap","non-dropping-particle":"","parse-names":false,"suffix":""}],"container-title":"Journal of Business Research","id":"ITEM-2","issued":{"date-parts":[["2021","7","1"]]},"page":"485-494","publisher":"Elsevier","title":"Productive employment and decent work: The impact of AI adoption on psychological contracts, job engagement and employee trust","type":"article-journal","volume":"131"},"uris":["http://www.mendeley.com/documents/?uuid=52151464-ad6e-300a-94e7-44f8c5f151d3"]}],"mendeley":{"formattedCitation":"(A. Agarwal, 2014; Braganza et al., 2021)","plainTextFormattedCitation":"(A. Agarwal, 2014; Braganza et al., 2021)","previouslyFormattedCitation":"(A. Agarwal, 2014; Braganza et al., 2021)"},"properties":{"noteIndex":0},"schema":"https://github.com/citation-style-language/schema/raw/master/csl-citation.json"}</w:instrText>
      </w:r>
      <w:r w:rsidRPr="007138D8">
        <w:fldChar w:fldCharType="separate"/>
      </w:r>
      <w:r w:rsidRPr="007138D8">
        <w:t>(Agarwal, 2014; Braganza et al., 2021)</w:t>
      </w:r>
      <w:r w:rsidRPr="007138D8">
        <w:fldChar w:fldCharType="end"/>
      </w:r>
      <w:r w:rsidRPr="007138D8">
        <w:t xml:space="preserve">. When workers’ assurances have been matched, workers likely perform better as per the understanding of promissory expectations </w:t>
      </w:r>
      <w:r w:rsidRPr="007138D8">
        <w:fldChar w:fldCharType="begin" w:fldLock="1"/>
      </w:r>
      <w:r w:rsidRPr="007138D8">
        <w:instrText>ADDIN CSL_CITATION {"citationItems":[{"id":"ITEM-1","itemData":{"DOI":"10.1146/annurev-orgpsych-012218-015212","ISSN":"2327-0608","abstract":"&lt;p&gt;We provide a review of psychological contract research, beginning with past conceptualizations and empirical evidence. We tailor this retrospective look by reviewing the antecedents and outcomes associated with psychological contract breach and discussing the dominant theoretical explanations for the breach-outcome relationship. This synthesis of past evidence provides the foundation for reviewing the present emerging and developing themes in psychological contract research. This discussion is organized around the expansion of resources exchanged and the antecedents of contract breach and outcomes, moving beyond reciprocity as an underpinning explanation. We highlight the practical implications of research to date on psychological contracts and end with directions for future research to include the need for greater attention given to ideological currency, employee health, polycontextual approaches, the role of psychological needs, and post-breach/violation.&lt;/p&gt;","author":[{"dropping-particle":"","family":"Coyle-Shapiro","given":"Jacqueline A.-M.","non-dropping-particle":"","parse-names":false,"suffix":""},{"dropping-particle":"","family":"Pereira Costa","given":"Sandra","non-dropping-particle":"","parse-names":false,"suffix":""},{"dropping-particle":"","family":"Doden","given":"Wiebke","non-dropping-particle":"","parse-names":false,"suffix":""},{"dropping-particle":"","family":"Chang","given":"Chiachi","non-dropping-particle":"","parse-names":false,"suffix":""}],"container-title":"Annual Review of Organizational Psychology and Organizational Behavior","id":"ITEM-1","issue":"1","issued":{"date-parts":[["2019","1","21"]]},"page":"145-169","publisher":" Annual Reviews ","title":"Psychological Contracts: Past, Present, and Future","type":"article-journal","volume":"6"},"uris":["http://www.mendeley.com/documents/?uuid=33815c04-570a-3377-a73a-e68644e4471e"]},{"id":"ITEM-2","itemData":{"DOI":"10.1108/CCSM-07-2020-0137","ISSN":"2059-5794","abstract":"This paper contains a meta-analysis of the psychological contract literature published in the last two decades. The aim of this paper was to investigate the moderating role of national culture in the individual-level relationships between psychological contract breach (PCB) and two important work outcomes, namely job performance (in-role and organizational citizenship behaviors) and turnover (actual and intended).,After an extensive literature search, 134 studies were found which matched the authors’ aim. The authors then incorporated national cultural scores based on the GLOBE study to include country-level scores to identify how the PCB relationships with these four outcomes vary across cultures.,The findings indicate that national cultural practices moderated the associations between PCB and the four outcomes, yet, no significant moderations for uncertainty avoidance practices.,While existing research has examined the impact of the breach on work outcomes such as job performance and turnover, there are few empirical studies that examine how national cultural practices influence the relationships between psychological contract breach and job performance and turnover. The authors address this need by investigating and creating a deeper insight into how cultural practices such as institutional collectivism, performance-orientation, power-distance, future orientation and gender egalitarianism moderate the relationships between PCB and job performance and turnover.","author":[{"dropping-particle":"","family":"Jayaweera","given":"A. Thushel","non-dropping-particle":"","parse-names":false,"suffix":""},{"dropping-particle":"","family":"Bal","given":"Matthijs","non-dropping-particle":"","parse-names":false,"suffix":""},{"dropping-particle":"","family":"Chudzikowski","given":"Katharina","non-dropping-particle":"","parse-names":false,"suffix":""},{"dropping-particle":"","family":"Jong","given":"Simon","non-dropping-particle":"de","parse-names":false,"suffix":""}],"container-title":"Cross Cultural &amp; Strategic Management","id":"ITEM-2","issue":"3","issued":{"date-parts":[["2021","7","1"]]},"page":"574-599","publisher":"Emerald Publishing Limited","title":"Moderating effects of national culture on the psychological contract breach and outcome relationship: a meta-analysis","type":"article-journal","volume":"28"},"uris":["http://www.mendeley.com/documents/?uuid=c2d51e82-6a88-385f-9c3a-5c476538b1bd"]}],"mendeley":{"formattedCitation":"(Coyle-Shapiro et al., 2019; Jayaweera et al., 2021)","plainTextFormattedCitation":"(Coyle-Shapiro et al., 2019; Jayaweera et al., 2021)","previouslyFormattedCitation":"(Coyle-Shapiro et al., 2019; Jayaweera et al., 2021)"},"properties":{"noteIndex":0},"schema":"https://github.com/citation-style-language/schema/raw/master/csl-citation.json"}</w:instrText>
      </w:r>
      <w:r w:rsidRPr="007138D8">
        <w:fldChar w:fldCharType="separate"/>
      </w:r>
      <w:r w:rsidRPr="007138D8">
        <w:t>(Coyle-Shapiro et al., 2019; Jayaweera et al., 2021)</w:t>
      </w:r>
      <w:r w:rsidRPr="007138D8">
        <w:fldChar w:fldCharType="end"/>
      </w:r>
      <w:r w:rsidRPr="007138D8">
        <w:t xml:space="preserve">. Accordingly, organizational commitment is payback for meeting the assurances </w:t>
      </w:r>
      <w:r w:rsidRPr="007138D8">
        <w:fldChar w:fldCharType="begin" w:fldLock="1"/>
      </w:r>
      <w:r w:rsidRPr="007138D8">
        <w:instrText>ADDIN CSL_CITATION {"citationItems":[{"id":"ITEM-1","itemData":{"DOI":"10.1177/0149206305279602","ISSN":"0149-2063","abstract":"&lt;p&gt;Social exchange theory (SET) is one the most influential conceptual paradigms in organizational behavior. Despite its usefulness, theoretical ambiguities within SET remain. As a consequence, tests of the model, as well as its applications, tend to rely on an incompletely specified set of ideas. The authors address conceptual difficulties and highlight areas in need of additional research. In so doing, they pay special attention to four issues: (a) the roots of the conceptual ambiguities, (b) norms and rules of exchange, (c) nature of the resources being exchanged, and (d) social exchange relationships.&lt;/p&gt;","author":[{"dropping-particle":"","family":"Cropanzano","given":"Russell","non-dropping-particle":"","parse-names":false,"suffix":""},{"dropping-particle":"","family":"Mitchell","given":"Marie S.","non-dropping-particle":"","parse-names":false,"suffix":""}],"container-title":"Journal of Management","id":"ITEM-1","issue":"6","issued":{"date-parts":[["2005","12","1"]]},"page":"874-900","publisher":"Sage PublicationsSage CA: Thousand Oaks, CA","title":"Social Exchange Theory: An Interdisciplinary Review","type":"article-journal","volume":"31"},"uris":["http://www.mendeley.com/documents/?uuid=f8157064-a3db-3eb3-80e1-daa4671593c6"]}],"mendeley":{"formattedCitation":"(Cropanzano &amp; Mitchell, 2005)","plainTextFormattedCitation":"(Cropanzano &amp; Mitchell, 2005)","previouslyFormattedCitation":"(Cropanzano &amp; Mitchell, 2005)"},"properties":{"noteIndex":0},"schema":"https://github.com/citation-style-language/schema/raw/master/csl-citation.json"}</w:instrText>
      </w:r>
      <w:r w:rsidRPr="007138D8">
        <w:fldChar w:fldCharType="separate"/>
      </w:r>
      <w:r w:rsidRPr="007138D8">
        <w:t>(Cropanzano &amp; Mitchell, 2005)</w:t>
      </w:r>
      <w:r w:rsidRPr="007138D8">
        <w:fldChar w:fldCharType="end"/>
      </w:r>
      <w:r w:rsidRPr="007138D8">
        <w:t xml:space="preserve">. Thus, assessing PC fulfillment as a cause of organizational commitment is reasonable. Social reciprocity in work associations is perhaps generated via the employer’s fair conduct of its workers </w:t>
      </w:r>
      <w:r w:rsidRPr="007138D8">
        <w:fldChar w:fldCharType="begin" w:fldLock="1"/>
      </w:r>
      <w:r w:rsidRPr="007138D8">
        <w:instrText>ADDIN CSL_CITATION {"citationItems":[{"id":"ITEM-1","itemData":{"DOI":"10.1002/9780470745267.ch3","author":[{"dropping-particle":"","family":"Conway","given":"Neil","non-dropping-particle":"","parse-names":false,"suffix":""},{"dropping-particle":"","family":"Briner","given":"Rob B.","non-dropping-particle":"","parse-names":false,"suffix":""}],"container-title":"International Review of Industrial and Organizational Psychology","id":"ITEM-1","issued":{"date-parts":[["2009","4","17"]]},"page":"71-130","publisher":"Wiley","title":"Fifty Years of Psychological Contract Research: What Do We Know and What are the Main Challenges?","type":"chapter"},"uris":["http://www.mendeley.com/documents/?uuid=4804be4f-8fef-34df-ba1b-7e5761a639d3"]}],"mendeley":{"formattedCitation":"(Conway &amp; Briner, 2009)","plainTextFormattedCitation":"(Conway &amp; Briner, 2009)","previouslyFormattedCitation":"(Conway &amp; Briner, 2009)"},"properties":{"noteIndex":0},"schema":"https://github.com/citation-style-language/schema/raw/master/csl-citation.json"}</w:instrText>
      </w:r>
      <w:r w:rsidRPr="007138D8">
        <w:fldChar w:fldCharType="separate"/>
      </w:r>
      <w:r w:rsidRPr="007138D8">
        <w:t>(Conway &amp; Briner, 2009)</w:t>
      </w:r>
      <w:r w:rsidRPr="007138D8">
        <w:fldChar w:fldCharType="end"/>
      </w:r>
      <w:r w:rsidRPr="007138D8">
        <w:t xml:space="preserve">. Workers consider being treated relatively by fulfilling psychological requirements, including affiliation, self-respect, and life worthwhile </w:t>
      </w:r>
      <w:r w:rsidRPr="007138D8">
        <w:fldChar w:fldCharType="begin" w:fldLock="1"/>
      </w:r>
      <w:r w:rsidRPr="007138D8">
        <w:instrText>ADDIN CSL_CITATION {"citationItems":[{"id":"ITEM-1","itemData":{"DOI":"10.1016/J.JVB.2007.10.005","ISSN":"0001-8791","abstract":"The aim of this study was to examine the influence of age in the relation between psychological contract breach and the development of job attitudes. Based on affective events, social exchange, and lifespan theory, we hypothesized that (1) psychological contract breach would be related negatively to job attitudes, and (2) that age would moderate these relations. The hypotheses were tested by means of a meta-analysis of k=60 studies, using Weighted Least Squares estimation. Our results supported both hypotheses for the outcomes trust and organizational commitment. However, for job satisfaction the moderating influence of age was in the unexpected direction. The relations between contract breach and trust and organizational commitment were indeed stronger for younger workers, whereas the relation between contract breach and job satisfaction was stronger for older workers. The implications are discussed, and a research agenda is presented.","author":[{"dropping-particle":"","family":"Bal","given":"P. Matthijs","non-dropping-particle":"","parse-names":false,"suffix":""},{"dropping-particle":"","family":"Lange","given":"Annet H.","non-dropping-particle":"De","parse-names":false,"suffix":""},{"dropping-particle":"","family":"Jansen","given":"Paul G.W.","non-dropping-particle":"","parse-names":false,"suffix":""},{"dropping-particle":"","family":"Velde","given":"Mandy E.G.","non-dropping-particle":"Van Der","parse-names":false,"suffix":""}],"container-title":"Journal of Vocational Behavior","id":"ITEM-1","issue":"1","issued":{"date-parts":[["2008","2","1"]]},"page":"143-158","publisher":"Academic Press","title":"Psychological contract breach and job attitudes: A meta-analysis of age as a moderator","type":"article-journal","volume":"72"},"uris":["http://www.mendeley.com/documents/?uuid=b2ae5ddc-f47a-3f90-b1d2-b05d5c8998c6"]}],"mendeley":{"formattedCitation":"(Bal et al., 2008)","plainTextFormattedCitation":"(Bal et al., 2008)","previouslyFormattedCitation":"(Bal et al., 2008)"},"properties":{"noteIndex":0},"schema":"https://github.com/citation-style-language/schema/raw/master/csl-citation.json"}</w:instrText>
      </w:r>
      <w:r w:rsidRPr="007138D8">
        <w:fldChar w:fldCharType="separate"/>
      </w:r>
      <w:r w:rsidRPr="007138D8">
        <w:t>(Bal et al., 2008)</w:t>
      </w:r>
      <w:r w:rsidRPr="007138D8">
        <w:fldChar w:fldCharType="end"/>
      </w:r>
      <w:r w:rsidRPr="007138D8">
        <w:t xml:space="preserve">. This conduct on the part of the employer generates a duty on the part of workers to pay back the good conduct of the employer. When the firm offers fair conduct, the workforce will pay back because the workforce counts on paying back. In this view, organizational commitment is an exchange for what the employer has offered. </w:t>
      </w:r>
      <w:r w:rsidRPr="007138D8">
        <w:lastRenderedPageBreak/>
        <w:t>Hence, it is anticipated that a favorable association will be determined between PC fulfillment and workers’ commitment. Thus, we propose the following hypothesis:</w:t>
      </w:r>
    </w:p>
    <w:p w14:paraId="67D31AF2" w14:textId="77777777" w:rsidR="00E91739" w:rsidRPr="007138D8" w:rsidRDefault="00E91739" w:rsidP="00E91739">
      <w:pPr>
        <w:spacing w:line="480" w:lineRule="auto"/>
        <w:jc w:val="both"/>
      </w:pPr>
      <w:r w:rsidRPr="007138D8">
        <w:rPr>
          <w:b/>
          <w:bCs/>
        </w:rPr>
        <w:t>H1</w:t>
      </w:r>
      <w:r w:rsidRPr="007138D8">
        <w:t xml:space="preserve">: </w:t>
      </w:r>
      <w:r w:rsidRPr="007138D8">
        <w:rPr>
          <w:i/>
          <w:iCs/>
        </w:rPr>
        <w:t>PC fulfillment has a positive relationship with organizational commitment</w:t>
      </w:r>
      <w:r w:rsidRPr="007138D8">
        <w:t>.</w:t>
      </w:r>
    </w:p>
    <w:p w14:paraId="080E7B8F" w14:textId="40A5D7FD" w:rsidR="002B5845" w:rsidRPr="007138D8" w:rsidRDefault="00E91739" w:rsidP="00423685">
      <w:pPr>
        <w:spacing w:line="480" w:lineRule="auto"/>
        <w:jc w:val="both"/>
        <w:rPr>
          <w:b/>
        </w:rPr>
      </w:pPr>
      <w:r w:rsidRPr="007138D8">
        <w:rPr>
          <w:b/>
        </w:rPr>
        <w:t xml:space="preserve">3.2 </w:t>
      </w:r>
      <w:r w:rsidR="002B5845" w:rsidRPr="007138D8">
        <w:rPr>
          <w:b/>
        </w:rPr>
        <w:t xml:space="preserve">AI </w:t>
      </w:r>
      <w:r w:rsidR="00261014" w:rsidRPr="007138D8">
        <w:rPr>
          <w:b/>
        </w:rPr>
        <w:t>A</w:t>
      </w:r>
      <w:r w:rsidR="002B5845" w:rsidRPr="007138D8">
        <w:rPr>
          <w:b/>
        </w:rPr>
        <w:t xml:space="preserve">cceptance, </w:t>
      </w:r>
      <w:r w:rsidR="00193853" w:rsidRPr="007138D8">
        <w:rPr>
          <w:b/>
        </w:rPr>
        <w:t>W</w:t>
      </w:r>
      <w:r w:rsidR="00182E29" w:rsidRPr="007138D8">
        <w:rPr>
          <w:b/>
        </w:rPr>
        <w:t xml:space="preserve">ork </w:t>
      </w:r>
      <w:r w:rsidR="00193853" w:rsidRPr="007138D8">
        <w:rPr>
          <w:b/>
        </w:rPr>
        <w:t>T</w:t>
      </w:r>
      <w:r w:rsidR="00182E29" w:rsidRPr="007138D8">
        <w:rPr>
          <w:b/>
        </w:rPr>
        <w:t>rust</w:t>
      </w:r>
      <w:r w:rsidR="00261014" w:rsidRPr="007138D8">
        <w:rPr>
          <w:b/>
        </w:rPr>
        <w:t>,</w:t>
      </w:r>
      <w:r w:rsidR="00182E29" w:rsidRPr="007138D8">
        <w:rPr>
          <w:b/>
        </w:rPr>
        <w:t xml:space="preserve"> and </w:t>
      </w:r>
      <w:r w:rsidR="00193853" w:rsidRPr="007138D8">
        <w:rPr>
          <w:b/>
        </w:rPr>
        <w:t>O</w:t>
      </w:r>
      <w:r w:rsidR="002B5845" w:rsidRPr="007138D8">
        <w:rPr>
          <w:b/>
        </w:rPr>
        <w:t>rganizat</w:t>
      </w:r>
      <w:r w:rsidR="00CB3782" w:rsidRPr="007138D8">
        <w:rPr>
          <w:b/>
        </w:rPr>
        <w:t xml:space="preserve">ional </w:t>
      </w:r>
      <w:r w:rsidR="00193853" w:rsidRPr="007138D8">
        <w:rPr>
          <w:b/>
        </w:rPr>
        <w:t>C</w:t>
      </w:r>
      <w:r w:rsidR="00CB3782" w:rsidRPr="007138D8">
        <w:rPr>
          <w:b/>
        </w:rPr>
        <w:t xml:space="preserve">ommitment </w:t>
      </w:r>
    </w:p>
    <w:p w14:paraId="2EA6DBBE" w14:textId="5A3A39AD" w:rsidR="002B5845" w:rsidRPr="007138D8" w:rsidRDefault="002B5845" w:rsidP="00120A34">
      <w:pPr>
        <w:spacing w:line="480" w:lineRule="auto"/>
        <w:jc w:val="both"/>
      </w:pPr>
      <w:r w:rsidRPr="007138D8">
        <w:t xml:space="preserve">Organizational commitment has received notable consideration from scholars and professionals </w:t>
      </w:r>
      <w:r w:rsidR="00456E63" w:rsidRPr="007138D8">
        <w:fldChar w:fldCharType="begin" w:fldLock="1"/>
      </w:r>
      <w:r w:rsidR="001E32D1" w:rsidRPr="007138D8">
        <w:instrText>ADDIN CSL_CITATION {"citationItems":[{"id":"ITEM-1","itemData":{"DOI":"10.1016/J.JVB.2004.07.002","ISSN":"0001-8791","abstract":"Although the three-component model of organizational commitment by Meyer and Allen (1991) posits that an employee can experience the three components concurrently, previous research has been largely variable-centered, looking at the antecedents and outcomes of each component separately. Two studies explored how the three components combine to create distinct “profiles” of commitment and the implications of different profiles. In Study 1, six clusters were identified using k-means cluster analysis. These were labeled as the Highly committed, Non-committed, Neutral, Affective dominant, Continuance dominant and the Affective–Normative dominant profiles. Analysis of variance results indicated that the Highly committed, Affective–Normative dominant and the Affective dominant profiles demonstrated the most desirable job behaviors. The Non-committed profile showed the least desirable outcomes, followed by the Continuance dominant profile. Study 2 largely replicated these findings. The results suggest that affective commitment is the primary driver of positive outcomes, especially when combined with low levels of continuance commitment.","author":[{"dropping-particle":"","family":"Wasti","given":"S. Arzu","non-dropping-particle":"","parse-names":false,"suffix":""}],"container-title":"Journal of Vocational Behavior","id":"ITEM-1","issue":"2","issued":{"date-parts":[["2005","10","1"]]},"page":"290-308","publisher":"Academic Press","title":"Commitment profiles: Combinations of organizational commitment forms and job outcomes","type":"article-journal","volume":"67"},"uris":["http://www.mendeley.com/documents/?uuid=adc99110-a650-398a-8c49-514bb0c9d531"]},{"id":"ITEM-2","itemData":{"DOI":"10.1111/1464-0597.00075","ISSN":"0269-994X","author":[{"dropping-particle":"","family":"Lee","given":"Kibeom","non-dropping-particle":"","parse-names":false,"suffix":""},{"dropping-particle":"","family":"Allen","given":"Natalie J.","non-dropping-particle":"","parse-names":false,"suffix":""},{"dropping-particle":"","family":"Meyer","given":"John P.","non-dropping-particle":"","parse-names":false,"suffix":""},{"dropping-particle":"","family":"Rhee","given":"Ky</w:instrText>
      </w:r>
      <w:r w:rsidR="001E32D1" w:rsidRPr="007138D8">
        <w:rPr>
          <w:rFonts w:hint="eastAsia"/>
        </w:rPr>
        <w:instrText>ung‐Yong","non-dropping-particle":"","parse-names":false,"suffix":""}],"container-title":"Applied Psychology","id":"ITEM-2","issue":"4","issued":{"date-parts":[["2001","10","21"]]},"page":"596-614","publisher":"John Wiley &amp; Sons, Ltd","title":"The Three‐C</w:instrText>
      </w:r>
      <w:r w:rsidR="001E32D1" w:rsidRPr="007138D8">
        <w:instrText>omponent Model of Organisational Commitment: An Application to South Korea","type":"article-journal","volume":"50"},"uris":["http://www.mendeley.com/documents/?uuid=f716eded-4e1f-3634-a3b0-e60cbba2fe58"]},{"id":"ITEM-3","itemData":{"DOI":"10.1016/S0001-8791(02)00063-5","ISSN":"0001-8791","abstract":"This study examined the construct validity of Meyer and Allen’s (1991) three-component model of organizational commitment in a Chinese context and compared levels of OC between the Chinese sample and previously published data from Canada and South Korea. In a study of 226 Chinese employees in six foreign-invested companies, a five-factor oblique model, which included both substantive and method factors, fit the data best. However, the three-component model had a reasonably good fit. The proposed antecedents of each of the three principal OC dimensions tended to associate most strongly with their respective scales. Affective commitment and normative commitment significantly predicted job satisfaction and all three components predicted turnover intention, although associations between continuance commitment and these outcomes were moderated by normative commitment. Finally, we found that normative and affective commitment were significantly higher in the Chinese sample than in previously published samples from Canada and South Korea. Continuance commitment in the Chinese sample was lower than the Canadian and Korean samples. Implications of these findings are discussed in more detail.","author":[{"dropping-particle":"","family":"Cheng","given":"Yuqiu","non-dropping-particle":"","parse-names":false,"suffix":""},{"dropping-particle":"","family":"Stockdale","given":"Margaret S","non-dropping-particle":"","parse-names":false,"suffix":""}],"container-title":"Journal of Vocational Behavior","id":"ITEM-3","issue":"3","issued":{"date-parts":[["2003","6","1"]]},"page":"465-489","publisher":"Academic Press","title":"The validity of the three-component model of organizational commitment in a Chinese context","type":"article-journal","volume":"62"},"uris":["http://www.mendeley.com/documents/?uuid=0001fcf8-b88e-394f-b608-ca3c88d83551"]}],"mendeley":{"formattedCitation":"(Cheng &amp; Stockdale, 2003; Lee et al., 2001; Wasti, 2005)","plainTextFormattedCitation":"(Cheng &amp; Stockdale, 2003; Lee et al., 2001; Wasti, 2005)","previouslyFormattedCitation":"(Cheng &amp; Stockdale, 2003; Lee et al., 2001; Wasti, 2005)"},"properties":{"noteIndex":0},"schema":"https://github.com/citation-style-language/schema/raw/master/csl-citation.json"}</w:instrText>
      </w:r>
      <w:r w:rsidR="00456E63" w:rsidRPr="007138D8">
        <w:fldChar w:fldCharType="separate"/>
      </w:r>
      <w:r w:rsidR="002B1849" w:rsidRPr="007138D8">
        <w:t>(Cheng &amp; Stockdale, 2003; Lee et al., 2001; Wasti, 2005)</w:t>
      </w:r>
      <w:r w:rsidR="00456E63" w:rsidRPr="007138D8">
        <w:fldChar w:fldCharType="end"/>
      </w:r>
      <w:r w:rsidRPr="007138D8">
        <w:t xml:space="preserve">. </w:t>
      </w:r>
      <w:r w:rsidR="00145658" w:rsidRPr="007138D8">
        <w:t>Organizational</w:t>
      </w:r>
      <w:r w:rsidRPr="007138D8">
        <w:t xml:space="preserve"> commitment refers to wo</w:t>
      </w:r>
      <w:r w:rsidR="00145658" w:rsidRPr="007138D8">
        <w:t>rkers</w:t>
      </w:r>
      <w:r w:rsidR="00770A8A" w:rsidRPr="007138D8">
        <w:t>’</w:t>
      </w:r>
      <w:r w:rsidR="00145658" w:rsidRPr="007138D8">
        <w:t xml:space="preserve"> consequences that improve</w:t>
      </w:r>
      <w:r w:rsidRPr="007138D8">
        <w:t xml:space="preserve"> employer value with greater monetary benefits </w:t>
      </w:r>
      <w:r w:rsidR="00456E63" w:rsidRPr="007138D8">
        <w:fldChar w:fldCharType="begin" w:fldLock="1"/>
      </w:r>
      <w:r w:rsidR="001E32D1" w:rsidRPr="007138D8">
        <w:instrText>ADDIN CSL_CITATION {"citationItems":[{"id":"ITEM-1","itemData":{"DOI":"10.1006/JVBE.2001.1842","ISSN":"0001-8791","abstract":"The authors conducted meta-analyses to assess (a) relations among affective, continuance, and normative commitment to the organization and (b) relations between the three forms of commitment and variables identified as their antecedents, correlates, and consequences in Meyer and Allen's (1991) Three-Component Model. They found that the three forms of commitment are related yet distinguishable from one another as well as from job satisfaction, job involvement, and occupational commitment. Affective and continuance commitment generally correlated as expected with their hypothesized antecedent variables; no unique antecedents of normative commitment were identified. Also, as expected, all three forms of commitment related negatively to withdrawal cognition and turnover, and affective commitment had the strongest and most favorable correlations with organization-relevant (attendance, performance, and organizational citizenship behavior) and employee-relevant (stress and work–family conflict) outcomes. Normative commitment was also associated with desirable outcomes, albeit not as strongly. Continuance commitment was unrelated, or related negatively, to these outcomes. Comparisons of studies conducted within and outside North America revealed considerable similarity yet suggested that more systematic primary research concerning cultural differences is warranted.","author":[{"dropping-particle":"","family":"Meyer","given":"John P.","non-dropping-particle":"","parse-names":false,"suffix":""},{"dropping-particle":"","family":"Stanley","given":"David J.","non-dropping-particle":"","parse-names":false,"suffix":""},{"dropping-particle":"","family":"Herscovitch","given":"Lynne","non-dropping-particle":"","parse-names":false,"suffix":""},{"dropping-particle":"","family":"Topolnytsky","given":"Laryssa","non-dropping-particle":"","parse-names":false,"suffix":""}],"container-title":"Journal of Vocational Behavior","id":"ITEM-1","issue":"1","issued":{"date-parts":[["2002","8","1"]]},"page":"20-52","publisher":"Academic Press","title":"Affective, Continuance, and Normative Commitment to the Organization: A Meta-analysis of Antecedents, Correlates, and Consequences","type":"article-journal","volume":"61"},"uris":["http://www.mendeley.com/documents/?uuid=138a8dd4-ef13-3c72-acca-acaf8c037a9c"]}],"mendeley":{"formattedCitation":"(Meyer et al., 2002)","plainTextFormattedCitation":"(Meyer et al., 2002)","previouslyFormattedCitation":"(Meyer et al., 2002)"},"properties":{"noteIndex":0},"schema":"https://github.com/citation-style-language/schema/raw/master/csl-citation.json"}</w:instrText>
      </w:r>
      <w:r w:rsidR="00456E63" w:rsidRPr="007138D8">
        <w:fldChar w:fldCharType="separate"/>
      </w:r>
      <w:r w:rsidR="001E32D1" w:rsidRPr="007138D8">
        <w:t>(Meyer et al., 2002)</w:t>
      </w:r>
      <w:r w:rsidR="00456E63" w:rsidRPr="007138D8">
        <w:fldChar w:fldCharType="end"/>
      </w:r>
      <w:r w:rsidRPr="007138D8">
        <w:t xml:space="preserve">. </w:t>
      </w:r>
      <w:r w:rsidR="001E32D1" w:rsidRPr="007138D8">
        <w:t>Organizational</w:t>
      </w:r>
      <w:r w:rsidR="00145658" w:rsidRPr="007138D8">
        <w:t xml:space="preserve"> commitment</w:t>
      </w:r>
      <w:r w:rsidR="00423685" w:rsidRPr="007138D8">
        <w:t xml:space="preserve"> </w:t>
      </w:r>
      <w:r w:rsidR="001E32D1" w:rsidRPr="007138D8">
        <w:t xml:space="preserve">is a </w:t>
      </w:r>
      <w:r w:rsidRPr="007138D8">
        <w:t xml:space="preserve">unique facet </w:t>
      </w:r>
      <w:r w:rsidR="0057171F" w:rsidRPr="007138D8">
        <w:t>involving affective, normative, and continuance parts</w:t>
      </w:r>
      <w:r w:rsidRPr="007138D8">
        <w:t xml:space="preserve"> linked with </w:t>
      </w:r>
      <w:r w:rsidR="0057171F" w:rsidRPr="007138D8">
        <w:t xml:space="preserve">a </w:t>
      </w:r>
      <w:r w:rsidRPr="007138D8">
        <w:t>person</w:t>
      </w:r>
      <w:r w:rsidR="00B44737" w:rsidRPr="007138D8">
        <w:t>’</w:t>
      </w:r>
      <w:r w:rsidRPr="007138D8">
        <w:t xml:space="preserve">s productivity. Workers </w:t>
      </w:r>
      <w:r w:rsidR="00F23319" w:rsidRPr="007138D8">
        <w:t>who are exceptionally committed to their jobs are usually strongly associated with their employers</w:t>
      </w:r>
      <w:r w:rsidRPr="007138D8">
        <w:t xml:space="preserve"> and work with greater passion </w:t>
      </w:r>
      <w:r w:rsidR="00456E63" w:rsidRPr="007138D8">
        <w:fldChar w:fldCharType="begin" w:fldLock="1"/>
      </w:r>
      <w:r w:rsidR="00B87A9E" w:rsidRPr="007138D8">
        <w:instrText>ADDIN CSL_CITATION {"citationItems":[{"id":"ITEM-1","itemData":{"DOI":"10.1016/1053-4822(91)90011-Z","ISSN":"1053-4822","abstract":"Diversity in the conceptualization and measurement of organizational commitment has made it difficult to interpret the results of an accumulating body of research. In this article, we go beyond the existing distinction between attitudinal and behavioral commitment and argue that commitment, as a psychological state, has at least three separable components reflecting (a) a desire (affective commitment), (b) a need (continuance commitment), and (c) an obligation (normative commitment) to maintain employment in an organization. Each component is considered to develop as a function of different antecedents and to have different implications for on-the-job behavior. The aim of this reconceptualization is to aid in the synthesis of existing research and to serve as a framework for future research.","author":[{"dropping-particle":"","family":"Meyer","given":"John P.","non-dropping-particle":"","parse-names":false,"suffix":""},{"dropping-particle":"","family":"Allen","given":"Natalie J.","non-dropping-particle":"","parse-names":false,"suffix":""}],"container-title":"Human Resource Management Review","id":"ITEM-1","issue":"1","issued":{"date-parts":[["1991","3","1"]]},"page":"61-89","publisher":"JAI","title":"A three-component conceptualization of organizational commitment","type":"article-journal","volume":"1"},"uris":["http://www.mendeley.com/documents/?uuid=529ec7f6-26bc-332b-986f-5aec57e94987"]},{"id":"ITEM-2","itemData":{"DOI":"10.1006/JVBE.1996.0043","ISSN":"0001-8791","abstract":"Within the past few years, several studies have used the Affective, Continuance, and Normative Commitment Scales (Allen &amp; Meyer, 1990; Meyer &amp; Allen, 1984, 1991) to assess organizational commitment. The purpose of this paper is to review and evaluate the body of evidence relevant to the construct validity of these measures. Although some empirical questions remain at issue, the overall results strongly support the continued use of the scales in substantive research.","author":[{"dropping-particle":"","family":"Allen","given":"Natalie J.","non-dropping-particle":"","parse-names":false,"suffix":""},{"dropping-particle":"","family":"Meyer","given":"John P.","non-dropping-particle":"","parse-names":false,"suffix":""}],"container-title":"Journal of Vocational Behavior","id":"ITEM-2","issue":"3","issued":{"date-parts":[["1996","12","1"]]},"page":"252-276","publisher":"Academic Press","title":"Affective, Continuance, and Normative Commitment to the Organization: An Examination of Construct Validity","type":"article-journal","volume":"49"},"uris":["http://www.mendeley.com/documents/?uuid=ab5bd0a0-1141-3749-a4d5-051835dd69cd"]}],"mendeley":{"formattedCitation":"(Allen &amp; Meyer, 1996; Meyer &amp; Allen, 1991)","plainTextFormattedCitation":"(Allen &amp; Meyer, 1996; Meyer &amp; Allen, 1991)","previouslyFormattedCitation":"(Allen &amp; Meyer, 1996; Meyer &amp; Allen, 1991)"},"properties":{"noteIndex":0},"schema":"https://github.com/citation-style-language/schema/raw/master/csl-citation.json"}</w:instrText>
      </w:r>
      <w:r w:rsidR="00456E63" w:rsidRPr="007138D8">
        <w:fldChar w:fldCharType="separate"/>
      </w:r>
      <w:r w:rsidR="006B68F2" w:rsidRPr="007138D8">
        <w:t>(Allen &amp; Meyer, 1996; Meyer &amp; Allen, 1991)</w:t>
      </w:r>
      <w:r w:rsidR="00456E63" w:rsidRPr="007138D8">
        <w:fldChar w:fldCharType="end"/>
      </w:r>
      <w:r w:rsidRPr="007138D8">
        <w:t>. Studies examining the causes of organizational commitment are scant, espe</w:t>
      </w:r>
      <w:r w:rsidR="0014373D" w:rsidRPr="007138D8">
        <w:t>cially in changing job settings</w:t>
      </w:r>
      <w:r w:rsidR="00423685" w:rsidRPr="007138D8">
        <w:t xml:space="preserve"> </w:t>
      </w:r>
      <w:r w:rsidR="00456E63" w:rsidRPr="007138D8">
        <w:fldChar w:fldCharType="begin" w:fldLock="1"/>
      </w:r>
      <w:r w:rsidR="007705CF" w:rsidRPr="007138D8">
        <w:instrText>ADDIN CSL_CITATION {"citationItems":[{"id":"ITEM-1","itemData":{"DOI":"10.1108/JABS-08-2021-0356","ISSN":"1558-7894","abstract":"This paper aims to examine the effect of procedural justice on affective commitment, through the mediating of organizational trust and job satisfaction.,Data were collected from 305 executives working in eight large cement organizations through a standardized questionnaire. Confirmatory factor analysis, structural equation modelling and mediation analysis were performed to examine the relationship.,Procedural justice significantly influenced job satisfaction and organizational trust directly. Organizational trust and job satisfaction are partially mediated by organizational justice and affective commitment. Interestingly, procedural justice does not influence affective commitment directly.,Procedural justice and affective commitment are crucial aspects of an organization. Limited research has been conducted linking procedural justice, organizational trust, job satisfaction and affective commitment. This study was conducted in the South Asian country of India, where power-distance prevails","author":[{"dropping-particle":"","family":"Pathardikar","given":"Avinash D.","non-dropping-particle":"","parse-names":false,"suffix":""},{"dropping-particle":"","family":"Mishra","given":"Praveen Kumar","non-dropping-particle":"","parse-names":false,"suffix":""},{"dropping-particle":"","family":"Sahu","given":"Sangeeta","non-dropping-particle":"","parse-names":false,"suffix":""}],"container-title":"Journal of Asia Business Studies","id":"ITEM-1","issue":"2","issued":{"date-parts":[["2023","2","28"]]},"page":"371-384","publisher":"Emerald Publishing Limited","title":"Procedural justice influencing affective commitment: mediating role of organizational trust and job satisfaction","type":"article-journal","volume":"17"},"uris":["http://www.mendeley.com/documents/?uuid=97bf9797-04d8-3ae1-b77c-3645727995d8"]},{"id":"ITEM-2","itemData":{"DOI":"10.1108/PR-03-2020-0144","ISSN":"0048-3486","abstract":"Drawing from the deontic justice theory and the social exchange theory, the purpose of this study attempts to identify the relationship between perceived corporate social responsibility (CSR) and employees' affective commitment, mediated through organizational trust. Furthermore, the authors seek to understand how the attitude of employees toward the importance of CSR, moderates the aforementioned relationship.,The respondents for this descriptive study were drawn from a sample of 500 employees working in manufacturing companies in India. Self-reporting questionnaires were administered among the respondents, who were selected through the judgment sampling method. Measurement model analysis was done using IBM AMOS 21.0 and path analytic procedures using PROCESS 3.0 macro was used to test the proposed hypotheses.,Results revealed that there is a significant indirect effect of all three dimensions of CSR on affective commitment, through organizational trust. The conditional indirect effects varied significantly, and it was identified that both employee-CSR and customer-CSR had a significant indirect effect on employee affective commitment. However, social/nonsocial CSR did not have a conditional indirect effect on affective commitment, through attitude toward the importance of CSR and organizational trust.,The cross-sectional nature of the study does not allow inference of causality and pose limitations for generalization of results. Though the limitation of common method bias is inherent in studies with self-reporting measures, the authors adopted several procedural remedies to minimize its effect. The study results, particularly the role of attitude toward the importance of CSR need to be tested among employees in different industry sectors. Future studies should examine the same theoretical model in different nations, where CSR activities are not mandated by law.,This study is pioneering in conceptualizing and empirically testing a theoretical model that examined the combined influence of perceived CSR, employees' attitude toward the importance of CSR and organizational trust on their affective commitment toward the organization. This study extends the literature by examining the indirect/mechanisms linking CSR and employees' affective commitment. Exploring more on the employee individual differences and its influence on organizational outcomes will definitely improve individual and organizational functioning.","author":[{"dropping-particle":"","family":"George","given":"Nimmy A.","non-dropping-particle":"","parse-names":false,"suffix":""},{"dropping-particle":"","family":"Aboobaker","given":"Nimitha","non-dropping-particle":"","parse-names":false,"suffix":""},{"dropping-particle":"","family":"Edward","given":"Manoj","non-dropping-particle":"","parse-names":false,"suffix":""}],"container-title":"Personnel Review","id":"ITEM-2","issue":"4","issued":{"date-parts":[["2021","6","22"]]},"page":"1093-1111","publisher":"Emerald Publishing Limited","title":"Corporate social responsibility, organizational trust and commitment: a moderated mediation model","type":"article-journal","volume":"50"},"uris":["http://www.mendeley.com/documents/?uuid=349146ee-21e0-37f2-90e4-877ff05b6826"]}],"mendeley":{"formattedCitation":"(George et al., 2021; Pathardikar et al., 2023)","plainTextFormattedCitation":"(George et al., 2021; Pathardikar et al., 2023)","previouslyFormattedCitation":"(George et al., 2021; Pathardikar et al., 2023)"},"properties":{"noteIndex":0},"schema":"https://github.com/citation-style-language/schema/raw/master/csl-citation.json"}</w:instrText>
      </w:r>
      <w:r w:rsidR="00456E63" w:rsidRPr="007138D8">
        <w:fldChar w:fldCharType="separate"/>
      </w:r>
      <w:r w:rsidR="007705CF" w:rsidRPr="007138D8">
        <w:t>(George et al., 2021; Pathardikar et al., 2023)</w:t>
      </w:r>
      <w:r w:rsidR="00456E63" w:rsidRPr="007138D8">
        <w:fldChar w:fldCharType="end"/>
      </w:r>
      <w:r w:rsidRPr="007138D8">
        <w:t xml:space="preserve">. </w:t>
      </w:r>
      <w:r w:rsidR="00F23319" w:rsidRPr="007138D8">
        <w:t>Examining the causes of organizational commitment is significa</w:t>
      </w:r>
      <w:r w:rsidRPr="007138D8">
        <w:t>nt becau</w:t>
      </w:r>
      <w:r w:rsidR="006E37C1" w:rsidRPr="007138D8">
        <w:t>se uncommitted workers increase</w:t>
      </w:r>
      <w:r w:rsidRPr="007138D8">
        <w:t xml:space="preserve"> the costs </w:t>
      </w:r>
      <w:r w:rsidR="0057171F" w:rsidRPr="007138D8">
        <w:t xml:space="preserve">to </w:t>
      </w:r>
      <w:r w:rsidRPr="007138D8">
        <w:t>employer</w:t>
      </w:r>
      <w:r w:rsidR="0057171F" w:rsidRPr="007138D8">
        <w:t>s</w:t>
      </w:r>
      <w:r w:rsidR="00423685" w:rsidRPr="007138D8">
        <w:t xml:space="preserve"> </w:t>
      </w:r>
      <w:r w:rsidR="00456E63" w:rsidRPr="007138D8">
        <w:fldChar w:fldCharType="begin" w:fldLock="1"/>
      </w:r>
      <w:r w:rsidR="00675F81" w:rsidRPr="007138D8">
        <w:instrText>ADDIN CSL_CITATION {"citationItems":[{"id":"ITEM-1","itemData":{"DOI":"10.1108/MRR-06-2012-0136","ISSN":"2040-8269","abstract":"– The aim of this article is to examine the relationships between authentic leadership and organizational deviance and to test the moderating effects of trust and psychological contract violation on that relationship., – Data were collected from ten state universities in Turkey. The sample included 848 lecturers and their department chairs chosen randomly. Moderated hierarchical regression was used to examine the moderating roles of trust and psychological contract violation on the authentic leadership and organizational deviance relationship., – The results show that authentic leadership is negatively and significantly correlated with organizational deviance. In addition, the results of the hierarchical multiple regression analyses support the moderating effects of employee trust and psychological contract violation with regard to the relationship between authentic leadership and organizational deviance., – Given that authentic leadership is associated with valued organizational outcomes such as lower workplace deviance, higher followers' commitment, job satisfaction and citizenship behaviors, organizational efforts to foster au</w:instrText>
      </w:r>
      <w:r w:rsidR="00675F81" w:rsidRPr="007138D8">
        <w:rPr>
          <w:rFonts w:hint="eastAsia"/>
        </w:rPr>
        <w:instrText>thentic leadership should prove fruitful. Moreover, focusing on efforts to improve leader‐follower relationship and to create a trust‐based work environment could increase the likelihood that authentic leadership will lower level of workplace deviance., – This study contributes to the research on authentic leadership and workplace deviance by showing that trust and psychological contract are relevant affect‐related variables in determining the importance of authentic leadership perception to subordinate w</w:instrText>
      </w:r>
      <w:r w:rsidR="00675F81" w:rsidRPr="007138D8">
        <w:instrText>orkplace deviance. Furthermore, by incorporating trust and psychological contract (for the first time), it is a response to recent calls for integration of authentic leadership, organizational deviance, trust and psychological contract literatures (Gardne</w:instrText>
      </w:r>
      <w:r w:rsidR="00675F81" w:rsidRPr="007138D8">
        <w:rPr>
          <w:rFonts w:hint="eastAsia"/>
        </w:rPr>
        <w:instrText>r et al.; Ilies et al.). These calls have contended that trust and high quality leader‐follower relations are fundamental to linking authentic leader behavior to follower behaviors, yet to date empirical evidence does not exist.","author":[{"dropping-part</w:instrText>
      </w:r>
      <w:r w:rsidR="00675F81" w:rsidRPr="007138D8">
        <w:instrText>icle":"","family":"Erkutlu","given":"Hakan","non-dropping-particle":"","parse-names":false,"suffix":""},{"dropping-particle":"","family":"Chafra","given":"Jamel","non-dropping-particle":"","parse-names":false,"suffix":""}],"container-title":"Management Research Review","id":"ITEM-1","issue":"9","issued":{"date-parts":[["2013","8","2"]]},"page":"828-848","publisher":"Emerald Group Publishing Limited","title":"Effects of trust and psychological contract violation on authentic leadership and organizational deviance","type":"article-journal","volume":"36"},"uris":["http://www.mendeley.com/documents/?uuid=46cc4d2f-9499-363f-989e-4e0db1f1bd68"]}],"mendeley":{"formattedCitation":"(Erkutlu &amp; Chafra, 2013)","plainTextFormattedCitation":"(Erkutlu &amp; Chafra, 2013)","previouslyFormattedCitation":"(Erkutlu &amp; Chafra, 2013)"},"properties":{"noteIndex":0},"schema":"https://github.com/citation-style-language/schema/raw/master/csl-citation.json"}</w:instrText>
      </w:r>
      <w:r w:rsidR="00456E63" w:rsidRPr="007138D8">
        <w:fldChar w:fldCharType="separate"/>
      </w:r>
      <w:r w:rsidR="00EF0EC4" w:rsidRPr="007138D8">
        <w:t>(Erkutlu &amp; Chafra, 2013)</w:t>
      </w:r>
      <w:r w:rsidR="00456E63" w:rsidRPr="007138D8">
        <w:fldChar w:fldCharType="end"/>
      </w:r>
      <w:r w:rsidRPr="007138D8">
        <w:t xml:space="preserve">.  There is some agreement among business scholars that organizational commitment has a key effect on </w:t>
      </w:r>
      <w:r w:rsidR="006E37C1" w:rsidRPr="007138D8">
        <w:t xml:space="preserve">work </w:t>
      </w:r>
      <w:r w:rsidRPr="007138D8">
        <w:t xml:space="preserve">satisfaction and productivity consequences </w:t>
      </w:r>
      <w:r w:rsidR="00456E63" w:rsidRPr="007138D8">
        <w:fldChar w:fldCharType="begin" w:fldLock="1"/>
      </w:r>
      <w:r w:rsidR="00AF24BE" w:rsidRPr="007138D8">
        <w:instrText>ADDIN CSL_CITATION {"citationItems":[{"id":"ITEM-1","itemData":{"DOI":"10.1016/J.JBUSRES.2003.10.004","ISSN":"0148-2963","abstract":"This article presents a meta-analysis that includes studies conducted over the past 25 years across 14 countries and a mix of selling and nonselling situations. Findings indicate that the relationship between organizational commitment and job performance is positive and stronger for sales employees than for nonsales employees. Stronger correlations between organizational commitment and job performance are found for collectivist compared to individualistic cultures. The results are discussed in terms of implications for future sales force performance research.","author":[{"dropping-particle":"","family":"Jaramillo","given":"Fernando","non-dropping-particle":"","parse-names":false,"suffix":""},{"dropping-particle":"","family":"Mulki","given":"Jay Prakash","non-dropping-particle":"","parse-names":false,"suffix":""},{"dropping-particle":"","family":"Marshall","given":"Greg W.","non-dropping-particle":"","parse-names":false,"suffix":""}],"container-title":"Journal of Business Research","id":"ITEM-1","issue":"6","issued":{"date-parts":[["2005","6","1"]]},"page":"705-714","publisher":"Elsevier","title":"A meta-analysis of the relationship between organizational commitment and salesperson job performance: 25 years of research","type":"article-journal","volume":"58"},"uris":["http://www.mendeley.com/documents/?uuid=57da49f5-8729-33f6-8718-72659cfedfe4"]}],"mendeley":{"formattedCitation":"(Jaramillo et al., 2005)","plainTextFormattedCitation":"(Jaramillo et al., 2005)","previouslyFormattedCitation":"(Jaramillo et al., 2005)"},"properties":{"noteIndex":0},"schema":"https://github.com/citation-style-language/schema/raw/master/csl-citation.json"}</w:instrText>
      </w:r>
      <w:r w:rsidR="00456E63" w:rsidRPr="007138D8">
        <w:fldChar w:fldCharType="separate"/>
      </w:r>
      <w:r w:rsidR="00675F81" w:rsidRPr="007138D8">
        <w:t>(Jaramillo et al., 2005)</w:t>
      </w:r>
      <w:r w:rsidR="00456E63" w:rsidRPr="007138D8">
        <w:fldChar w:fldCharType="end"/>
      </w:r>
      <w:r w:rsidRPr="007138D8">
        <w:t xml:space="preserve">. Workers with </w:t>
      </w:r>
      <w:r w:rsidR="006E37C1" w:rsidRPr="007138D8">
        <w:t>high</w:t>
      </w:r>
      <w:r w:rsidRPr="007138D8">
        <w:t xml:space="preserve"> commitment level</w:t>
      </w:r>
      <w:r w:rsidR="0057171F" w:rsidRPr="007138D8">
        <w:t>s</w:t>
      </w:r>
      <w:r w:rsidRPr="007138D8">
        <w:t xml:space="preserve"> have greater satisfaction with </w:t>
      </w:r>
      <w:r w:rsidR="0057171F" w:rsidRPr="007138D8">
        <w:t>self-</w:t>
      </w:r>
      <w:r w:rsidRPr="007138D8">
        <w:t xml:space="preserve">fulfillment to their employer </w:t>
      </w:r>
      <w:r w:rsidR="00456E63" w:rsidRPr="007138D8">
        <w:fldChar w:fldCharType="begin" w:fldLock="1"/>
      </w:r>
      <w:r w:rsidR="00D95BBF" w:rsidRPr="007138D8">
        <w:instrText>ADDIN CSL_CITATION {"citationItems":[{"id":"ITEM-1","itemData":{"DOI":"10.1108/ER-05-2020-0223","ISSN":"0142-5455","abstract":"This paper examines the extent to which investment in human capital (HC) influences employee well-being, focusing on companies in the Basque Country in Northern Spain. Specifically, it analyzes the effects of worker perceptions of high-involvement work system (HIWS) on job satisfaction (JS) and affective commitment (AC), directly and through the mediating role of trust in management. This trust mediating role was also explored by analyzing the isolated effects of high-involvement work processes (power, information, reward and knowledge [PIRK] enhancing practices) on JS and AC.,The structural equation modeling (SEM) approach was used on a sample of 2,199 employees from 425 organizations working in different industries. As the study was performed at the organizational level, aggregation was conducted first.,The findings revealed that trust partially mediated the relationship between HIWS and JS, although AC was directly predicted by the system. In contrast, a trust mediating role was confirmed in the relationship between all PIRK processes, JS and AC.,This study highlights the “hinge” role of trust in linking high-involvement work practices (HIWPs) as an approach to assess HC in organizations and well-being at work. It further conceptualizes HIWS via a PIRK model and operationalizes it through systemic and dimensional approach.","author":[{"dropping-particle":"","family":"Uribetxebarria","given":"Urtzi","non-dropping-particle":"","parse-names":false,"suffix":""},{"dropping-particle":"","family":"Gago","given":"Mónica","non-dropping-particle":"","parse-names":false,"suffix":""},{"dropping-particle":"","family":"Legarra","given":"Maite","non-dropping-particle":"","parse-names":false,"suffix":""},{"dropping-particle":"","family":"Elorza","given":"Unai","non-dropping-particle":"","parse-names":false,"suffix":""}],"container-title":"Employee Relations: The International Journal","id":"ITEM-1","issue":"4","issued":{"date-parts":[["2021","6","8"]]},"page":"842-857","publisher":"Emerald Publishing Limited","title":"The link between HIWPs and well-being at work: the mediating role of trust","type":"article-journal","volume":"43"},"uris":["http://www.mendeley.com/documents/?uuid=70230153-3a13-36fe-b47b-2018fff5d73c"]}],"mendeley":{"formattedCitation":"(Uribetxebarria et al., 2021)","plainTextFormattedCitation":"(Uribetxebarria et al., 2021)","previouslyFormattedCitation":"(Uribetxebarria et al., 2021)"},"properties":{"noteIndex":0},"schema":"https://github.com/citation-style-language/schema/raw/master/csl-citation.json"}</w:instrText>
      </w:r>
      <w:r w:rsidR="00456E63" w:rsidRPr="007138D8">
        <w:fldChar w:fldCharType="separate"/>
      </w:r>
      <w:r w:rsidR="00AF24BE" w:rsidRPr="007138D8">
        <w:t>(Uribetxebarria et al., 2021)</w:t>
      </w:r>
      <w:r w:rsidR="00456E63" w:rsidRPr="007138D8">
        <w:fldChar w:fldCharType="end"/>
      </w:r>
      <w:r w:rsidRPr="007138D8">
        <w:t>.</w:t>
      </w:r>
    </w:p>
    <w:p w14:paraId="5248C3BE" w14:textId="06C37FBD" w:rsidR="00863CB6" w:rsidRPr="007138D8" w:rsidRDefault="002B5845" w:rsidP="00120A34">
      <w:pPr>
        <w:spacing w:line="480" w:lineRule="auto"/>
        <w:ind w:firstLine="360"/>
        <w:jc w:val="both"/>
      </w:pPr>
      <w:r w:rsidRPr="007138D8">
        <w:t xml:space="preserve">Trust is the assurance </w:t>
      </w:r>
      <w:r w:rsidR="0057171F" w:rsidRPr="007138D8">
        <w:t xml:space="preserve">of the </w:t>
      </w:r>
      <w:r w:rsidRPr="007138D8">
        <w:t>other party</w:t>
      </w:r>
      <w:r w:rsidR="00770A8A" w:rsidRPr="007138D8">
        <w:t>’</w:t>
      </w:r>
      <w:r w:rsidRPr="007138D8">
        <w:t xml:space="preserve">s credibility and trustworthiness. In </w:t>
      </w:r>
      <w:r w:rsidR="0057171F" w:rsidRPr="007138D8">
        <w:t xml:space="preserve">the </w:t>
      </w:r>
      <w:r w:rsidRPr="007138D8">
        <w:t>job context, trust is defined as workers</w:t>
      </w:r>
      <w:r w:rsidR="00770A8A" w:rsidRPr="007138D8">
        <w:t>’</w:t>
      </w:r>
      <w:r w:rsidRPr="007138D8">
        <w:t xml:space="preserve"> favorable </w:t>
      </w:r>
      <w:r w:rsidR="001522DB" w:rsidRPr="007138D8">
        <w:t>anticipation from organizations</w:t>
      </w:r>
      <w:r w:rsidRPr="007138D8">
        <w:t xml:space="preserve"> established on ability and integrity </w:t>
      </w:r>
      <w:r w:rsidR="00456E63" w:rsidRPr="007138D8">
        <w:fldChar w:fldCharType="begin" w:fldLock="1"/>
      </w:r>
      <w:r w:rsidR="00E11063" w:rsidRPr="007138D8">
        <w:instrText>ADDIN CSL_CITATION {"citationItems":[{"id":"ITEM-1","itemData":{"DOI":"10.2307/258792","ISSN":"03637425","author":[{"dropping-particle":"","family":"Mayer","given":"Roger C.","non-dropping-particle":"","parse-names":false,"suffix":""},{"dropping-particle":"","family":"Davis","given":"James H.","non-dropping-particle":"","parse-names":false,"suffix":""},{"dropping-particle":"","family":"Schoorman","given":"F. David","non-dropping-particle":"","parse-names":false,"suffix":""}],"container-title":"The Academy of Management Review","id":"ITEM-1","issue":"3","issued":{"date-parts":[["1995","7"]]},"page":"709","title":"An Integrative Model of Organizational Trust","type":"article-journal","volume":"20"},"uris":["http://www.mendeley.com/documents/?uuid=0818f3a4-e7b6-3f42-860c-d4196522b675"]},{"id":"ITEM-2","itemData":{"DOI":"10.1146/annurev-orgpsych-012420-083025","ISSN":"2327-0608","abstract":"&lt;p&gt;Over the past quarter century, trust has emerged as a core concept in organizational psychology and organizational behavior. We review the body of research amassed over that period using a field evolutionary lens and identify two “waves” that have shaped and progressed the field in specific and important ways: Wave 1, establishing foundational building blocks; Wave 2, questioning assumptions and examining alternatives. For each wave, we identify what has been learned and identify key questions that still need to be addressed. We also suggest researchers will need to evolve the fundamental questions asked in order to maintain the momentum of the literature into the next quarter century, and we speculate about what these might look like. Finally, as a result of recent organizational developments and societal disruptions, we anticipate the emergence of a third wave, aimed at examining their implications for trust in the workplace.&lt;/p&gt;","author":[{"dropping-particle":"","family":"Dirks","given":"Kurt T.","non-dropping-particle":"","parse-names":false,"suffix":""},{"dropping-particle":"","family":"Jong","given":"Bart","non-dropping-particle":"de","parse-names":false,"suffix":""}],"container-title":"Annual Review of Organizational Psychology and Organizational Behavior","id":"ITEM-2","issue":"1","issued":{"date-parts":[["2022","1","21"]]},"page":"247-276","publisher":" Annual Reviews ","title":"Trust Within the Workplace: A Review of Two Waves of Research and a Glimpse of the Third","type":"article-journal","volume":"9"},"uris":["http://www.mendeley.com/documents/?uuid=fb53ab80-7de4-32c5-85fa-df5a432c9bc0"]}],"mendeley":{"formattedCitation":"(Dirks &amp; de Jong, 2022; Mayer et al., 1995)","plainTextFormattedCitation":"(Dirks &amp; de Jong, 2022; Mayer et al., 1995)","previouslyFormattedCitation":"(Dirks &amp; de Jong, 2022; Mayer et al., 1995)"},"properties":{"noteIndex":0},"schema":"https://github.com/citation-style-language/schema/raw/master/csl-citation.json"}</w:instrText>
      </w:r>
      <w:r w:rsidR="00456E63" w:rsidRPr="007138D8">
        <w:fldChar w:fldCharType="separate"/>
      </w:r>
      <w:r w:rsidR="00E11063" w:rsidRPr="007138D8">
        <w:t>(Dirks &amp; de Jong, 2022; Mayer et al., 1995)</w:t>
      </w:r>
      <w:r w:rsidR="00456E63" w:rsidRPr="007138D8">
        <w:fldChar w:fldCharType="end"/>
      </w:r>
      <w:r w:rsidRPr="007138D8">
        <w:t xml:space="preserve">. Trust is vital to stop workers from </w:t>
      </w:r>
      <w:r w:rsidR="0057171F" w:rsidRPr="007138D8">
        <w:t xml:space="preserve">violating </w:t>
      </w:r>
      <w:r w:rsidRPr="007138D8">
        <w:t xml:space="preserve">dealings. Because of worldwide disturbance and </w:t>
      </w:r>
      <w:r w:rsidR="001522DB" w:rsidRPr="007138D8">
        <w:t>automating</w:t>
      </w:r>
      <w:r w:rsidRPr="007138D8">
        <w:t xml:space="preserve"> progress, employers are responding rapidly to persist in the market. Consequently, employer or work trust becomes even </w:t>
      </w:r>
      <w:r w:rsidR="0057171F" w:rsidRPr="007138D8">
        <w:t xml:space="preserve">more </w:t>
      </w:r>
      <w:r w:rsidRPr="007138D8">
        <w:t xml:space="preserve">significant </w:t>
      </w:r>
      <w:r w:rsidR="0057171F" w:rsidRPr="007138D8">
        <w:t>in accomplishing</w:t>
      </w:r>
      <w:r w:rsidRPr="007138D8">
        <w:t xml:space="preserve"> favorable firm consequences </w:t>
      </w:r>
      <w:r w:rsidR="00456E63" w:rsidRPr="007138D8">
        <w:fldChar w:fldCharType="begin" w:fldLock="1"/>
      </w:r>
      <w:r w:rsidR="00762D91" w:rsidRPr="007138D8">
        <w:instrText>ADDIN CSL_CITATION {"citationItems":[{"id":"ITEM-1","itemData":{"DOI":"10.1007/s12144-017-9632-6","ISSN":"1046-1310","abstract":"Justice-trust relationship has been well acknowledged in the organizational behavior research so far. However, the existing research on justice-trust paid little attention to the process-dynamics of trust formation in the newcomer employees (Colquitt and Rodell in Academy of Management Journal, 54(6), 1183–1206, Colquitt and Rodell 2011; Schoorman et al. in Academy of Management Review, 32(2), 344,354, Schoorman et al. 2007). The present study intends to unfold the trust formation phenomena of the newcomer employees where organizational justice perception leads to trust through organizational trustworthiness. Interactions between the dimensions of organizational justice perception and trustworthiness towards trust are the focal point of the study. We further propose that a moderated mediation model explains the trust formation phenomena comprehensively. Findings suggests that supervisor referent interpersonal justice moderates the indirect relationship between organizational justice and trust. Procedural and interactional justice also have significant relationships with trust through all the three dimensions of trustworthiness. The results indicated a full mediation for procedural justice and a partial mediation for interactional justice. The findings have important theoretical implications for uncertainty management, and psychological contract fulfillment theory.","author":[{"dropping-particle":"","family":"Mittal","given":"Shashank","non-dropping-particle":"","parse-names":false,"suffix":""},{"dropping-particle":"","family":"Shubham","given":"","non-dropping-particle":"","parse-names":false,"suffix":""},{"dropping-particle":"","family":"Sengupta","given":"Atri","non-dropping-particle":"","parse-names":false,"suffix":""}],"container-title":"Current Psychology","id":"ITEM-1","issue":"3","issued":{"date-parts":[["2019","6","22"]]},"page":"737-748","publisher":"Springer","title":"Multidimensionality in Organizational Justice-Trust Relationship for Newcomer Employees: a Moderated-Mediation Model","type":"article-journal","volume":"38"},"uris":["http://www.mendeley.com/documents/?uuid=3acd2f5f-9527-3fda-902b-1b03030017ec"]}],"mendeley":{"formattedCitation":"(Mittal et al., 2019)","plainTextFormattedCitation":"(Mittal et al., 2019)","previouslyFormattedCitation":"(Mittal et al., 2019)"},"properties":{"noteIndex":0},"schema":"https://github.com/citation-style-language/schema/raw/master/csl-citation.json"}</w:instrText>
      </w:r>
      <w:r w:rsidR="00456E63" w:rsidRPr="007138D8">
        <w:fldChar w:fldCharType="separate"/>
      </w:r>
      <w:r w:rsidR="009B5A84" w:rsidRPr="007138D8">
        <w:t>(Mittal et al., 2019)</w:t>
      </w:r>
      <w:r w:rsidR="00456E63" w:rsidRPr="007138D8">
        <w:fldChar w:fldCharType="end"/>
      </w:r>
      <w:r w:rsidRPr="007138D8">
        <w:t xml:space="preserve">. </w:t>
      </w:r>
      <w:r w:rsidR="00456773" w:rsidRPr="007138D8">
        <w:t xml:space="preserve">Trust is vital </w:t>
      </w:r>
      <w:r w:rsidR="00456773" w:rsidRPr="007138D8">
        <w:lastRenderedPageBreak/>
        <w:t>in all areas of daily life. It connects companionship, aids agreement, lowers trade costs</w:t>
      </w:r>
      <w:r w:rsidR="00423685" w:rsidRPr="007138D8">
        <w:t>,</w:t>
      </w:r>
      <w:r w:rsidR="00456773" w:rsidRPr="007138D8">
        <w:t xml:space="preserve"> and eases political disagreements. </w:t>
      </w:r>
      <w:r w:rsidR="001E7427" w:rsidRPr="007138D8">
        <w:t xml:space="preserve">Trust positively predicts consequences such as common way, OCB, </w:t>
      </w:r>
      <w:r w:rsidR="00624ED8" w:rsidRPr="007138D8">
        <w:t xml:space="preserve">and </w:t>
      </w:r>
      <w:r w:rsidR="001E7427" w:rsidRPr="007138D8">
        <w:t>workers</w:t>
      </w:r>
      <w:r w:rsidR="00770A8A" w:rsidRPr="007138D8">
        <w:t>’</w:t>
      </w:r>
      <w:r w:rsidR="001E7427" w:rsidRPr="007138D8">
        <w:t xml:space="preserve"> faithfulness. </w:t>
      </w:r>
      <w:r w:rsidR="00456773" w:rsidRPr="007138D8">
        <w:t xml:space="preserve">Higher work trust </w:t>
      </w:r>
      <w:r w:rsidR="0057171F" w:rsidRPr="007138D8">
        <w:t>positively impacts</w:t>
      </w:r>
      <w:r w:rsidR="00456773" w:rsidRPr="007138D8">
        <w:t xml:space="preserve"> communication quality</w:t>
      </w:r>
      <w:r w:rsidR="00423685" w:rsidRPr="007138D8">
        <w:t xml:space="preserve"> </w:t>
      </w:r>
      <w:r w:rsidR="00456773" w:rsidRPr="007138D8">
        <w:t xml:space="preserve">and troubleshooting between workers and between workers and employers. </w:t>
      </w:r>
      <w:r w:rsidR="001E7427" w:rsidRPr="007138D8">
        <w:t>Trust in employer</w:t>
      </w:r>
      <w:r w:rsidR="0057171F" w:rsidRPr="007138D8">
        <w:t>s</w:t>
      </w:r>
      <w:r w:rsidR="001E7427" w:rsidRPr="007138D8">
        <w:t xml:space="preserve"> is also a key factor </w:t>
      </w:r>
      <w:r w:rsidR="00140483" w:rsidRPr="007138D8">
        <w:t xml:space="preserve">that can generate </w:t>
      </w:r>
      <w:r w:rsidR="009327BF" w:rsidRPr="007138D8">
        <w:t>organizational</w:t>
      </w:r>
      <w:r w:rsidR="001E7427" w:rsidRPr="007138D8">
        <w:t xml:space="preserve"> commitment</w:t>
      </w:r>
      <w:r w:rsidR="00423685" w:rsidRPr="007138D8">
        <w:t xml:space="preserve"> </w:t>
      </w:r>
      <w:r w:rsidR="00456E63" w:rsidRPr="007138D8">
        <w:fldChar w:fldCharType="begin" w:fldLock="1"/>
      </w:r>
      <w:r w:rsidR="00CF52EF" w:rsidRPr="007138D8">
        <w:instrText>ADDIN CSL_CITATION {"citationItems":[{"id":"ITEM-1","itemData":{"DOI":"10.1037/0021-9010.92.4.909","ISSN":"0021-9010","PMID":"17638454","abstract":"The trust literature distinguishes trustworthiness (the ability, benevolence, and integrity of a trustee) and trust propensity (a dispositional willingness to rely on others) from trust (the intention to accept vulnerability to a trustee based on positive expectations of his or her actions). Although this distinction has clarified some confusion in the literature, it remains unclear (a) which trust antecedents have the strongest relationships with trust and (b) whether trust fully mediates the effects of trustworthiness and trust propensity on behavioral outcomes. Our meta-analysis of 132 independent samples summarized the relationships between the trust variables and both risk taking and job performance (task performance, citizenship behavior, counterproductive behavior). Meta-analytic structural equation modeling supported a partial mediation model wherein trustworthiness and trust propensity explained incremental variance in the behavioral outcomes when trust was controlled. Further analyses revealed that the trustworthiness dimensions also predicted affective commitment, which had unique relationships with the outcomes when controlling for trust. These results generalized across different types of trust measures (i.e., positive expectations measures, willingness-to-be-vulnerable measures, and direct measures) and different trust referents (i.e., leaders, coworkers).","author":[{"dropping-particle":"","family":"Colquitt","given":"Jason A","non-dropping-particle":"","parse-names":false,"suffix":""},{"dropping-particle":"","family":"Scott","given":"Brent A","non-dropping-particle":"","parse-names":false,"suffix":""},{"dropping-particle":"","family":"LePine","given":"Jeffery A","non-dropping-particle":"","parse-names":false,"suffix":""}],"container-title":"The Journal of applied psychology","id":"ITEM-1","issue":"4","issued":{"date-parts":[["2007","7"]]},"page":"909-27","publisher":"J Appl Psychol","title":"Trust, trustworthiness, and trust propensity: a meta-analytic test of their unique relationships with risk taking and job performance.","type":"article-journal","volume":"92"},"uris":["http://www.mendeley.com/documents/?uuid=e60957ea-6d7e-32cf-8444-53cb8b48393d"]},{"id":"ITEM-2","itemData":{"DOI":"10.5465/amj.2007.0572","ISSN":"0001-4273","abstract":"Despite a significant amount of theoretical and empirical attention, the connection between justice and trust remains poorly understood. Our study utilized Mayer, Davis, and Schoorman's (1995) dist...","author":[{"dropping-particle":"","family":"Colquitt","given":"Jason A.","non-dropping-particle":"","parse-names":false,"suffix":""},{"dropping-particle":"","family":"Rodell","given":"Jessica B.","non-dropping-particle":"","parse-names":false,"suffix":""}],"container-title":"Academy of Management Journal","id":"ITEM-2","issue":"6","issued":{"date-parts":[["2011","12","27"]]},"page":"1183-1206","publisher":" Academy of Management Briarcliff Manor, NY ","title":"Justice, Trust, and Trustworthiness: A Longitudinal Analysis Integrating Three Theoretical Perspectives","type":"article-journal","volume":"54"},"uris":["http://www.mendeley.com/documents/?uuid=49d9c132-337c-365b-8078-b440e764bb13"]}],"mendeley":{"formattedCitation":"(Colquitt et al., 2007; Colquitt &amp; Rodell, 2011)","plainTextFormattedCitation":"(Colquitt et al., 2007; Colquitt &amp; Rodell, 2011)","previouslyFormattedCitation":"(Colquitt et al., 2007; Colquitt &amp; Rodell, 2011)"},"properties":{"noteIndex":0},"schema":"https://github.com/citation-style-language/schema/raw/master/csl-citation.json"}</w:instrText>
      </w:r>
      <w:r w:rsidR="00456E63" w:rsidRPr="007138D8">
        <w:fldChar w:fldCharType="separate"/>
      </w:r>
      <w:r w:rsidR="003A6BF7" w:rsidRPr="007138D8">
        <w:t>(Colquitt et al., 2007; Colquitt &amp; Rodell, 2011)</w:t>
      </w:r>
      <w:r w:rsidR="00456E63" w:rsidRPr="007138D8">
        <w:fldChar w:fldCharType="end"/>
      </w:r>
      <w:r w:rsidR="001E7427" w:rsidRPr="007138D8">
        <w:t xml:space="preserve">. </w:t>
      </w:r>
    </w:p>
    <w:p w14:paraId="4C8A20F2" w14:textId="40911ED6" w:rsidR="00F23319" w:rsidRPr="007138D8" w:rsidRDefault="001E7427" w:rsidP="00120A34">
      <w:pPr>
        <w:spacing w:line="480" w:lineRule="auto"/>
        <w:ind w:firstLine="360"/>
        <w:jc w:val="both"/>
      </w:pPr>
      <w:r w:rsidRPr="007138D8">
        <w:t>When workers devote their strength</w:t>
      </w:r>
      <w:r w:rsidR="0057171F" w:rsidRPr="007138D8">
        <w:t>,</w:t>
      </w:r>
      <w:r w:rsidRPr="007138D8">
        <w:t xml:space="preserve"> they make sure they </w:t>
      </w:r>
      <w:r w:rsidR="00F23319" w:rsidRPr="007138D8">
        <w:t>put</w:t>
      </w:r>
      <w:r w:rsidR="00423685" w:rsidRPr="007138D8">
        <w:t xml:space="preserve"> </w:t>
      </w:r>
      <w:r w:rsidR="0062247E" w:rsidRPr="007138D8">
        <w:t>their spirit into</w:t>
      </w:r>
      <w:r w:rsidR="00634192" w:rsidRPr="007138D8">
        <w:t xml:space="preserve"> making </w:t>
      </w:r>
      <w:r w:rsidR="0057171F" w:rsidRPr="007138D8">
        <w:t xml:space="preserve">the </w:t>
      </w:r>
      <w:r w:rsidR="00634192" w:rsidRPr="007138D8">
        <w:t xml:space="preserve">right choice </w:t>
      </w:r>
      <w:r w:rsidRPr="007138D8">
        <w:t xml:space="preserve">in </w:t>
      </w:r>
      <w:r w:rsidR="0057171F" w:rsidRPr="007138D8">
        <w:t xml:space="preserve">the </w:t>
      </w:r>
      <w:r w:rsidRPr="007138D8">
        <w:t>facilitation of employer</w:t>
      </w:r>
      <w:r w:rsidR="0057171F" w:rsidRPr="007138D8">
        <w:t>s</w:t>
      </w:r>
      <w:r w:rsidR="00423685" w:rsidRPr="007138D8">
        <w:t xml:space="preserve"> </w:t>
      </w:r>
      <w:r w:rsidR="00634192" w:rsidRPr="007138D8">
        <w:t xml:space="preserve">and </w:t>
      </w:r>
      <w:r w:rsidR="0062247E" w:rsidRPr="007138D8">
        <w:t>will not</w:t>
      </w:r>
      <w:r w:rsidR="00634192" w:rsidRPr="007138D8">
        <w:t xml:space="preserve"> be fooled. </w:t>
      </w:r>
      <w:r w:rsidR="0067043F" w:rsidRPr="007138D8">
        <w:t xml:space="preserve">Trust aids workers </w:t>
      </w:r>
      <w:r w:rsidR="0057171F" w:rsidRPr="007138D8">
        <w:t xml:space="preserve">in </w:t>
      </w:r>
      <w:r w:rsidR="0067043F" w:rsidRPr="007138D8">
        <w:t>making those choices</w:t>
      </w:r>
      <w:r w:rsidRPr="007138D8">
        <w:t>. If workers</w:t>
      </w:r>
      <w:r w:rsidR="00423685" w:rsidRPr="007138D8">
        <w:t xml:space="preserve"> </w:t>
      </w:r>
      <w:r w:rsidR="00F23319" w:rsidRPr="007138D8">
        <w:t>believe</w:t>
      </w:r>
      <w:r w:rsidR="00423685" w:rsidRPr="007138D8">
        <w:t xml:space="preserve"> </w:t>
      </w:r>
      <w:r w:rsidR="0057171F" w:rsidRPr="007138D8">
        <w:t xml:space="preserve">in </w:t>
      </w:r>
      <w:r w:rsidRPr="007138D8">
        <w:t>employer</w:t>
      </w:r>
      <w:r w:rsidR="0057171F" w:rsidRPr="007138D8">
        <w:t>s</w:t>
      </w:r>
      <w:r w:rsidRPr="007138D8">
        <w:t xml:space="preserve">, it </w:t>
      </w:r>
      <w:r w:rsidR="00B96F26" w:rsidRPr="007138D8">
        <w:t>encourages</w:t>
      </w:r>
      <w:r w:rsidR="00D66FEF" w:rsidRPr="007138D8">
        <w:t xml:space="preserve"> them to devote </w:t>
      </w:r>
      <w:r w:rsidR="0057171F" w:rsidRPr="007138D8">
        <w:t xml:space="preserve">themselves </w:t>
      </w:r>
      <w:r w:rsidR="00D66FEF" w:rsidRPr="007138D8">
        <w:t xml:space="preserve">completely to </w:t>
      </w:r>
      <w:r w:rsidR="0057171F" w:rsidRPr="007138D8">
        <w:t xml:space="preserve">their </w:t>
      </w:r>
      <w:r w:rsidR="00D66FEF" w:rsidRPr="007138D8">
        <w:t>job</w:t>
      </w:r>
      <w:r w:rsidR="0057171F" w:rsidRPr="007138D8">
        <w:t>s</w:t>
      </w:r>
      <w:r w:rsidR="00D66FEF" w:rsidRPr="007138D8">
        <w:t>. On the contrary</w:t>
      </w:r>
      <w:r w:rsidRPr="007138D8">
        <w:t xml:space="preserve">, </w:t>
      </w:r>
      <w:r w:rsidR="00D66FEF" w:rsidRPr="007138D8">
        <w:t>in the absence of trust</w:t>
      </w:r>
      <w:r w:rsidRPr="007138D8">
        <w:t>, workers</w:t>
      </w:r>
      <w:r w:rsidR="00423685" w:rsidRPr="007138D8">
        <w:t xml:space="preserve"> </w:t>
      </w:r>
      <w:r w:rsidR="0057171F" w:rsidRPr="007138D8">
        <w:t xml:space="preserve">spend </w:t>
      </w:r>
      <w:r w:rsidR="00D66FEF" w:rsidRPr="007138D8">
        <w:t xml:space="preserve">plenty of </w:t>
      </w:r>
      <w:r w:rsidR="00B96F26" w:rsidRPr="007138D8">
        <w:t>periods</w:t>
      </w:r>
      <w:r w:rsidR="00D66FEF" w:rsidRPr="007138D8">
        <w:t xml:space="preserve"> shielding themselves</w:t>
      </w:r>
      <w:r w:rsidR="00B96F26" w:rsidRPr="007138D8">
        <w:t>.</w:t>
      </w:r>
      <w:r w:rsidR="00423685" w:rsidRPr="007138D8">
        <w:t xml:space="preserve"> </w:t>
      </w:r>
      <w:r w:rsidRPr="007138D8">
        <w:t xml:space="preserve">It is </w:t>
      </w:r>
      <w:r w:rsidR="00F23319" w:rsidRPr="007138D8">
        <w:t>vital</w:t>
      </w:r>
      <w:r w:rsidRPr="007138D8">
        <w:t xml:space="preserve"> in any favorable and constructive social scheme</w:t>
      </w:r>
      <w:r w:rsidR="00423685" w:rsidRPr="007138D8">
        <w:t xml:space="preserve"> </w:t>
      </w:r>
      <w:r w:rsidR="00456E63" w:rsidRPr="007138D8">
        <w:fldChar w:fldCharType="begin" w:fldLock="1"/>
      </w:r>
      <w:r w:rsidR="00CF52EF" w:rsidRPr="007138D8">
        <w:instrText>ADDIN CSL_CITATION {"citationItems":[{"id":"ITEM-1","itemData":{"DOI":"10.1016/J.JBUSRES.2020.08.018","ISSN":"0148-2963","abstract":"This research examines the tension between the aims of the United Nations’ Sustainable Development Goal 8 (SDG 8), to promote productive employment and decent work, and the adoption of Artificial Intelligence (AI). Our findings are based on the analysis of 232 survey results, where we tested the effects of AI adoption on workers’ psychological contract, engagement and trust. We find that psychological contracts had a significant, positive effect on job engagement and on trust. Yet, with AI adoption, the positive effect of psychological contracts fell significantly. A further re-examination of the extant literature leads us to posit that AI adoption fosters the creation of a third type of psychological contract, which we term “Alienational”. Whereas SDG 8 is premised on strengthening relational contracts between an organization and its employees, the adoption of AI has the opposite effect, detracting from the very nature of decent work.","author":[{"dropping-particle":"","family":"Braganza","given":"Ashley","non-dropping-particle":"","parse-names":false,"suffix":""},{"dropping-particle":"","family":"Chen","given":"Weifeng","non-dropping-particle":"","parse-names":false,"suffix":""},{"dropping-particle":"","family":"Canhoto","given":"Ana","non-dropping-particle":"","parse-names":false,"suffix":""},{"dropping-particle":"","family":"Sap","given":"Serap","non-dropping-particle":"","parse-names":false,"suffix":""}],"container-title":"Journal of Business Research","id":"ITEM-1","issued":{"date-parts":[["2021","7","1"]]},"page":"485-494","publisher":"Elsevier","title":"Productive employment and decent work: The impact of AI adoption on psychological contracts, job engagement and employee trust","type":"article-journal","volume":"131"},"uris":["http://www.mendeley.com/documents/?uuid=52151464-ad6e-300a-94e7-44f8c5f151d3"]}],"mendeley":{"formattedCitation":"(Braganza et al., 2021)","plainTextFormattedCitation":"(Braganza et al., 2021)","previouslyFormattedCitation":"(Braganza et al., 2021)"},"properties":{"noteIndex":0},"schema":"https://github.com/citation-style-language/schema/raw/master/csl-citation.json"}</w:instrText>
      </w:r>
      <w:r w:rsidR="00456E63" w:rsidRPr="007138D8">
        <w:fldChar w:fldCharType="separate"/>
      </w:r>
      <w:r w:rsidR="00CF52EF" w:rsidRPr="007138D8">
        <w:t>(Braganza et al., 2021)</w:t>
      </w:r>
      <w:r w:rsidR="00456E63" w:rsidRPr="007138D8">
        <w:fldChar w:fldCharType="end"/>
      </w:r>
      <w:r w:rsidRPr="007138D8">
        <w:t xml:space="preserve">. </w:t>
      </w:r>
      <w:r w:rsidR="0057171F" w:rsidRPr="007138D8">
        <w:t>Mutual trust is key to the survival of any social reciprocity</w:t>
      </w:r>
      <w:r w:rsidR="00423685" w:rsidRPr="007138D8">
        <w:t xml:space="preserve"> </w:t>
      </w:r>
      <w:r w:rsidR="00456E63" w:rsidRPr="007138D8">
        <w:fldChar w:fldCharType="begin" w:fldLock="1"/>
      </w:r>
      <w:r w:rsidR="001A79BE" w:rsidRPr="007138D8">
        <w:instrText>ADDIN CSL_CITATION {"citationItems":[{"id":"ITEM-1","itemData":{"DOI":"10.1177/0149206305279602","ISSN":"0149-2063","abstract":"&lt;p&gt;Social exchange theory (SET) is one the most influential conceptual paradigms in organizational behavior. Despite its usefulness, theoretical ambiguities within SET remain. As a consequence, tests of the model, as well as its applications, tend to rely on an incompletely specified set of ideas. The authors address conceptual difficulties and highlight areas in need of additional research. In so doing, they pay special attention to four issues: (a) the roots of the conceptual ambiguities, (b) norms and rules of exchange, (c) nature of the resources being exchanged, and (d) social exchange relationships.&lt;/p&gt;","author":[{"dropping-particle":"","family":"Cropanzano","given":"Russell","non-dropping-particle":"","parse-names":false,"suffix":""},{"dropping-particle":"","family":"Mitchell","given":"Marie S.","non-dropping-particle":"","parse-names":false,"suffix":""}],"container-title":"Journal of Management","id":"ITEM-1","issue":"6","issued":{"date-parts":[["2005","12","1"]]},"page":"874-900","publisher":"Sage PublicationsSage CA: Thousand Oaks, CA","title":"Social Exchange Theory: An Interdisciplinary Review","type":"article-journal","volume":"31"},"uris":["http://www.mendeley.com/documents/?uuid=f8157064-a3db-3eb3-80e1-daa4671593c6"]}],"mendeley":{"formattedCitation":"(Cropanzano &amp; Mitchell, 2005)","plainTextFormattedCitation":"(Cropanzano &amp; Mitchell, 2005)","previouslyFormattedCitation":"(Cropanzano &amp; Mitchell, 2005)"},"properties":{"noteIndex":0},"schema":"https://github.com/citation-style-language/schema/raw/master/csl-citation.json"}</w:instrText>
      </w:r>
      <w:r w:rsidR="00456E63" w:rsidRPr="007138D8">
        <w:fldChar w:fldCharType="separate"/>
      </w:r>
      <w:r w:rsidR="003146FF" w:rsidRPr="007138D8">
        <w:t>(Cropanzano &amp; Mitchell, 2005)</w:t>
      </w:r>
      <w:r w:rsidR="00456E63" w:rsidRPr="007138D8">
        <w:fldChar w:fldCharType="end"/>
      </w:r>
      <w:r w:rsidRPr="007138D8">
        <w:t>. Research shows that job instability, insufficient job situation</w:t>
      </w:r>
      <w:r w:rsidR="0057171F" w:rsidRPr="007138D8">
        <w:t>s</w:t>
      </w:r>
      <w:r w:rsidRPr="007138D8">
        <w:t>, poo</w:t>
      </w:r>
      <w:r w:rsidR="00D47E12" w:rsidRPr="007138D8">
        <w:t>r conduct or work vulnerability</w:t>
      </w:r>
      <w:r w:rsidRPr="007138D8">
        <w:t>, HR plans</w:t>
      </w:r>
      <w:r w:rsidR="0057171F" w:rsidRPr="007138D8">
        <w:t>,</w:t>
      </w:r>
      <w:r w:rsidRPr="007138D8">
        <w:t xml:space="preserve"> and firm culture </w:t>
      </w:r>
      <w:r w:rsidR="00D47E12" w:rsidRPr="007138D8">
        <w:t>can impact workers</w:t>
      </w:r>
      <w:r w:rsidR="00770A8A" w:rsidRPr="007138D8">
        <w:t>’</w:t>
      </w:r>
      <w:r w:rsidR="00D47E12" w:rsidRPr="007138D8">
        <w:t xml:space="preserve"> trust</w:t>
      </w:r>
      <w:r w:rsidRPr="007138D8">
        <w:t xml:space="preserve">. </w:t>
      </w:r>
      <w:r w:rsidR="00D47E12" w:rsidRPr="007138D8">
        <w:t>Promissory expectations</w:t>
      </w:r>
      <w:r w:rsidR="00423685" w:rsidRPr="007138D8">
        <w:t xml:space="preserve"> </w:t>
      </w:r>
      <w:r w:rsidR="0057171F" w:rsidRPr="007138D8">
        <w:t xml:space="preserve">are </w:t>
      </w:r>
      <w:r w:rsidRPr="007138D8">
        <w:t>a key predictor of trust</w:t>
      </w:r>
      <w:r w:rsidR="00423685" w:rsidRPr="007138D8">
        <w:t xml:space="preserve"> </w:t>
      </w:r>
      <w:r w:rsidR="00456E63" w:rsidRPr="007138D8">
        <w:fldChar w:fldCharType="begin" w:fldLock="1"/>
      </w:r>
      <w:r w:rsidR="003146FF" w:rsidRPr="007138D8">
        <w:instrText>ADDIN CSL_CITATION {"citationItems":[{"id":"ITEM-1","itemData":{"DOI":"10.1146/annurev-orgpsych-012420-083025","ISSN":"2327-0608","abstract":"&lt;p&gt;Over the past quarter century, trust has emerged as a core concept in organizational psychology and organizational behavior. We review the body of research amassed over that period using a field evolutionary lens and identify two “waves” that have shaped and progressed the field in specific and important ways: Wave 1, establishing foundational building blocks; Wave 2, questioning assumptions and examining alternatives. For each wave, we identify what has been learned and identify key questions that still need to be addressed. We also suggest researchers will need to evolve the fundamental questions asked in order to maintain the momentum of the literature into the next quarter century, and we speculate about what these might look like. Finally, as a result of recent organizational developments and societal disruptions, we anticipate the emergence of a third wave, aimed at examining their implications for trust in the workplace.&lt;/p&gt;","author":[{"dropping-particle":"","family":"Dirks","given":"Kurt T.","non-dropping-particle":"","parse-names":false,"suffix":""},{"dropping-particle":"","family":"Jong","given":"Bart","non-dropping-particle":"de","parse-names":false,"suffix":""}],"container-title":"Annual Review of Organizational Psychology and Organizational Behavior","id":"ITEM-1","issue":"1","issued":{"date-parts":[["2022","1","21"]]},"page":"247-276","publisher":" Annual Reviews ","title":"Trust Within the Workplace: A Review of Two Waves of Research and a Glimpse of the Third","type":"article-journal","volume":"9"},"uris":["http://www.mendeley.com/documents/?uuid=fb53ab80-7de4-32c5-85fa-df5a432c9bc0"]}],"mendeley":{"formattedCitation":"(Dirks &amp; de Jong, 2022)","plainTextFormattedCitation":"(Dirks &amp; de Jong, 2022)","previouslyFormattedCitation":"(Dirks &amp; de Jong, 2022)"},"properties":{"noteIndex":0},"schema":"https://github.com/citation-style-language/schema/raw/master/csl-citation.json"}</w:instrText>
      </w:r>
      <w:r w:rsidR="00456E63" w:rsidRPr="007138D8">
        <w:fldChar w:fldCharType="separate"/>
      </w:r>
      <w:r w:rsidR="00CF52EF" w:rsidRPr="007138D8">
        <w:t>(Dirks &amp; de Jong, 2022)</w:t>
      </w:r>
      <w:r w:rsidR="00456E63" w:rsidRPr="007138D8">
        <w:fldChar w:fldCharType="end"/>
      </w:r>
      <w:r w:rsidRPr="007138D8">
        <w:t>. As reciprocity necessitate</w:t>
      </w:r>
      <w:r w:rsidR="0062247E" w:rsidRPr="007138D8">
        <w:t>s</w:t>
      </w:r>
      <w:r w:rsidRPr="007138D8">
        <w:t xml:space="preserve"> trusting other</w:t>
      </w:r>
      <w:r w:rsidR="0062247E" w:rsidRPr="007138D8">
        <w:t>s</w:t>
      </w:r>
      <w:r w:rsidRPr="007138D8">
        <w:t xml:space="preserve"> to pay</w:t>
      </w:r>
      <w:r w:rsidR="00423685" w:rsidRPr="007138D8">
        <w:t xml:space="preserve"> </w:t>
      </w:r>
      <w:r w:rsidRPr="007138D8">
        <w:t xml:space="preserve">back, the initial problem is proving oneself trustworthy. Research suggests that an </w:t>
      </w:r>
      <w:r w:rsidR="0062073B" w:rsidRPr="007138D8">
        <w:t>employer’s</w:t>
      </w:r>
      <w:r w:rsidR="00423685" w:rsidRPr="007138D8">
        <w:t xml:space="preserve"> </w:t>
      </w:r>
      <w:r w:rsidR="00EA7534" w:rsidRPr="007138D8">
        <w:t xml:space="preserve">fair conduct of </w:t>
      </w:r>
      <w:r w:rsidR="0057171F" w:rsidRPr="007138D8">
        <w:t xml:space="preserve">the </w:t>
      </w:r>
      <w:r w:rsidR="00EA7534" w:rsidRPr="007138D8">
        <w:t>other party starts a social reciprocity link with the workers, which</w:t>
      </w:r>
      <w:r w:rsidR="0057171F" w:rsidRPr="007138D8">
        <w:t>,</w:t>
      </w:r>
      <w:r w:rsidR="00EA7534" w:rsidRPr="007138D8">
        <w:t xml:space="preserve"> over time, strengthens </w:t>
      </w:r>
      <w:r w:rsidR="0057171F" w:rsidRPr="007138D8">
        <w:t xml:space="preserve">the </w:t>
      </w:r>
      <w:r w:rsidR="00EA7534" w:rsidRPr="007138D8">
        <w:t xml:space="preserve">faithfulness of </w:t>
      </w:r>
      <w:r w:rsidR="0057171F" w:rsidRPr="007138D8">
        <w:t xml:space="preserve">the </w:t>
      </w:r>
      <w:r w:rsidR="00EA7534" w:rsidRPr="007138D8">
        <w:t>party involved.</w:t>
      </w:r>
    </w:p>
    <w:p w14:paraId="6A1EC458" w14:textId="12DC173C" w:rsidR="001C6090" w:rsidRPr="007138D8" w:rsidRDefault="007E180C" w:rsidP="00120A34">
      <w:pPr>
        <w:spacing w:line="480" w:lineRule="auto"/>
        <w:ind w:firstLine="360"/>
        <w:jc w:val="both"/>
      </w:pPr>
      <w:r w:rsidRPr="007138D8">
        <w:t>When wor</w:t>
      </w:r>
      <w:r w:rsidR="00495617" w:rsidRPr="007138D8">
        <w:t>kers undergo</w:t>
      </w:r>
      <w:r w:rsidRPr="007138D8">
        <w:t xml:space="preserve"> fair organizational schemes</w:t>
      </w:r>
      <w:r w:rsidR="0057171F" w:rsidRPr="007138D8">
        <w:t>,</w:t>
      </w:r>
      <w:r w:rsidRPr="007138D8">
        <w:t xml:space="preserve"> they recognize faithful employer</w:t>
      </w:r>
      <w:r w:rsidR="0057171F" w:rsidRPr="007138D8">
        <w:t>s</w:t>
      </w:r>
      <w:r w:rsidRPr="007138D8">
        <w:t xml:space="preserve"> and proportionate to standards of paying back, </w:t>
      </w:r>
      <w:r w:rsidR="0057171F" w:rsidRPr="007138D8">
        <w:t xml:space="preserve">and </w:t>
      </w:r>
      <w:r w:rsidRPr="007138D8">
        <w:t xml:space="preserve">they </w:t>
      </w:r>
      <w:r w:rsidR="00C329C5" w:rsidRPr="007138D8">
        <w:t>repay</w:t>
      </w:r>
      <w:r w:rsidR="000A6299" w:rsidRPr="007138D8">
        <w:t xml:space="preserve"> the employer. Employer </w:t>
      </w:r>
      <w:r w:rsidRPr="007138D8">
        <w:t>fairness is one of the causes of trust</w:t>
      </w:r>
      <w:r w:rsidR="00423685" w:rsidRPr="007138D8">
        <w:t xml:space="preserve"> </w:t>
      </w:r>
      <w:r w:rsidR="00456E63" w:rsidRPr="007138D8">
        <w:fldChar w:fldCharType="begin" w:fldLock="1"/>
      </w:r>
      <w:r w:rsidR="007B18E9" w:rsidRPr="007138D8">
        <w:instrText>ADDIN CSL_CITATION {"citationItems":[{"id":"ITEM-1","itemData":{"DOI":"10.1108/PR-02-2012-0019","ISSN":"0048-3486","abstract":"– The purpose of this paper is to examine the effects of contextual variables – organisational justice (procedural justice, interactional justice and psychological contract) and trust – on work engagement. , – The paper reports a quantitative study of 323 managers working in manufacturing and pharmaceutical organisations based in western India. Drawing from social exchange theory, this paper tests the mediating role of trust in the justice-engagement relationship. The paper also investigates the effect of work engagement on employees' innovative work behaviour. , – Results suggest that procedural justice, interactional justice and psychological contract fulfilment are positively related to work engagement with trust as the mediating element. Engagement significantly influences employees' innovative work behaviour , – The data were collected cross-sectionally, which means that causal inferences must be made with caution. Moreover, the data were collected from a single source. Nevertheless, the findings have implications for contemporary leadership and organisational psychology research and practice in a novel geographic context. , – This study is one of the rare attempts to examine the influence of three justice variables and trust on work engagement. The study also contributes in terms of its context. With an increasing number of multinationals starting operations in India, an understanding of employee motivation has become an important concern. This research examines engagement levels of Indian managerial employees.","author":[{"dropping-particle":"","family":"A. Agarwal","given":"Upasna","non-dropping-particle":"","parse-names":false,"suffix":""}],"container-title":"Personnel Review","id":"ITEM-1","issue":"1","issued":{"date-parts":[["2014","1","28"]]},"page":"41-73","publisher":"Emerald Group Publishing Limited","title":"Linking justice, trust and innovative work behaviour to work engagement","type":"article-journal","volume":"43"},"uris":["http://www.mendeley.com/documents/?uuid=ccfbf13c-6194-3f03-a7c6-b5233829627d"]}],"mendeley":{"formattedCitation":"(A. Agarwal, 2014)","plainTextFormattedCitation":"(A. Agarwal, 2014)","previouslyFormattedCitation":"(A. Agarwal, 2014)"},"properties":{"noteIndex":0},"schema":"https://github.com/citation-style-language/schema/raw/master/csl-citation.json"}</w:instrText>
      </w:r>
      <w:r w:rsidR="00456E63" w:rsidRPr="007138D8">
        <w:fldChar w:fldCharType="separate"/>
      </w:r>
      <w:r w:rsidR="001A79BE" w:rsidRPr="007138D8">
        <w:t>(Agarwal, 2014)</w:t>
      </w:r>
      <w:r w:rsidR="00456E63" w:rsidRPr="007138D8">
        <w:fldChar w:fldCharType="end"/>
      </w:r>
      <w:r w:rsidRPr="007138D8">
        <w:t xml:space="preserve">. </w:t>
      </w:r>
      <w:r w:rsidR="00D00044" w:rsidRPr="007138D8">
        <w:t>Prior</w:t>
      </w:r>
      <w:r w:rsidR="001E7427" w:rsidRPr="007138D8">
        <w:t xml:space="preserve"> research also </w:t>
      </w:r>
      <w:r w:rsidR="00473BAA" w:rsidRPr="007138D8">
        <w:t>suggest</w:t>
      </w:r>
      <w:r w:rsidR="0057171F" w:rsidRPr="007138D8">
        <w:t>s</w:t>
      </w:r>
      <w:r w:rsidR="00473BAA" w:rsidRPr="007138D8">
        <w:t xml:space="preserve"> that</w:t>
      </w:r>
      <w:r w:rsidR="00423685" w:rsidRPr="007138D8">
        <w:t xml:space="preserve"> </w:t>
      </w:r>
      <w:r w:rsidR="00370D05" w:rsidRPr="007138D8">
        <w:t>work dedication</w:t>
      </w:r>
      <w:r w:rsidR="00423685" w:rsidRPr="007138D8">
        <w:t xml:space="preserve"> </w:t>
      </w:r>
      <w:r w:rsidR="0057171F" w:rsidRPr="007138D8">
        <w:t xml:space="preserve">is </w:t>
      </w:r>
      <w:r w:rsidR="001E7427" w:rsidRPr="007138D8">
        <w:t>one of the outcome</w:t>
      </w:r>
      <w:r w:rsidR="0057171F" w:rsidRPr="007138D8">
        <w:t>s</w:t>
      </w:r>
      <w:r w:rsidR="001E7427" w:rsidRPr="007138D8">
        <w:t xml:space="preserve"> of organizational trust</w:t>
      </w:r>
      <w:r w:rsidR="00423685" w:rsidRPr="007138D8">
        <w:t xml:space="preserve"> </w:t>
      </w:r>
      <w:r w:rsidR="00456E63" w:rsidRPr="007138D8">
        <w:fldChar w:fldCharType="begin" w:fldLock="1"/>
      </w:r>
      <w:r w:rsidR="00AF36B8" w:rsidRPr="007138D8">
        <w:instrText>ADDIN CSL_CITATION {"citationItems":[{"id":"ITEM-1","itemData":{"DOI":"10.1080/09585190903549056","ISSN":"0958-5192","abstract":"Taking the social exchange perspective, we examine the process (black box) linking human resource practices and organizational commitment and superior rating performance. Using procedural justice, ...","author":[{"dropping-particle":"","family":"Tremblay","given":"Michel","non-dropping-particle":"","parse-names":false,"suffix":""},{"dropping-particle":"","family":"Cloutier","given":"Julie","non-dropping-particle":"","parse-names":false,"suffix":""},{"dropping-particle":"","family":"Simard","given":"Gilles","non-dropping-particle":"","parse-names":false,"suffix":""},{"dropping-particle":"","family":"Chênevert","given":"Denis","non-dropping-particle":"","parse-names":false,"suffix":""},{"dropping-particle":"","family":"Vandenberghe","given":"Christian","non-dropping-particle":"","parse-names":false,"suffix":""}],"container-title":"The International Journal of Human Resource Management","id":"ITEM-1","issue":"3","issued":{"date-parts":[["2010","2"]]},"page":"405-433","publisher":" Taylor &amp; Francis Group ","title":"The role of HRM practices, procedural justice, organizational support and trust in organizational commitment and in-role and extra-role performance","type":"article-journal","volume":"21"},"uris":["http://www.mendeley.com/documents/?uuid=bdcf17ff-fae4-368f-abbf-d03b97307815"]}],"mendeley":{"formattedCitation":"(Tremblay et al., 2010)","plainTextFormattedCitation":"(Tremblay et al., 2010)","previouslyFormattedCitation":"(Tremblay et al., 2010)"},"properties":{"noteIndex":0},"schema":"https://github.com/citation-style-language/schema/raw/master/csl-citation.json"}</w:instrText>
      </w:r>
      <w:r w:rsidR="00456E63" w:rsidRPr="007138D8">
        <w:fldChar w:fldCharType="separate"/>
      </w:r>
      <w:r w:rsidR="007B18E9" w:rsidRPr="007138D8">
        <w:t>(Tremblay et al., 2010)</w:t>
      </w:r>
      <w:r w:rsidR="00456E63" w:rsidRPr="007138D8">
        <w:fldChar w:fldCharType="end"/>
      </w:r>
      <w:r w:rsidR="001E7427" w:rsidRPr="007138D8">
        <w:t xml:space="preserve">. </w:t>
      </w:r>
      <w:r w:rsidR="00010AD9" w:rsidRPr="007138D8">
        <w:t xml:space="preserve">Furthermore, AI-based </w:t>
      </w:r>
      <w:r w:rsidR="0057171F" w:rsidRPr="007138D8">
        <w:t xml:space="preserve">automation </w:t>
      </w:r>
      <w:r w:rsidR="00010AD9" w:rsidRPr="007138D8">
        <w:t>brings both possibilities and concerns to workers</w:t>
      </w:r>
      <w:r w:rsidR="00456E63" w:rsidRPr="007138D8">
        <w:fldChar w:fldCharType="begin" w:fldLock="1"/>
      </w:r>
      <w:r w:rsidR="00DB1354" w:rsidRPr="007138D8">
        <w:instrText>ADDIN CSL_CITATION {"citationItems":[{"id":"ITEM-1","itemData":{"DOI":"10.1016/J.TECHFORE.2016.08.019","ISSN":"0040-1625","abstract":"We examine how susceptible jobs are to computerisation. To assess this, we begin by implementing a novel methodology to estimate the probability of computerisation for 702 detailed occupations, using a Gaussian process classifier. Based on these estimates, we examine expected impacts of future computerisation on US labour market outcomes, with the primary objective of analysing the number of jobs at risk and the relationship between an occupations probability of computerisation, wages and educational attainment.","author":[{"dropping-particle":"","family":"Frey","given":"Carl Benedikt","non-dropping-particle":"","parse-names":false,"suffix":""},{"dropping-particle":"","family":"Osborne","given":"Michael A.","non-dropping-particle":"","parse-names":false,"suffix":""}],"container-title":"Technological Forecasting and Social Change","id":"ITEM-1","issued":{"date-parts":[["2017","1","1"]]},"page":"254-280","publisher":"North-Holland","title":"The future of employment: How susceptible are jobs to computerisation?","type":"article-journal","volume":"114"},"uris":["http://www.mendeley.com/documents/?uuid=da5952bd-bdb6-3251-88c4-d6fdb361a38f"]}],"mendeley":{"formattedCitation":"(Frey &amp; Osborne, 2017)","plainTextFormattedCitation":"(Frey &amp; Osborne, 2017)","previouslyFormattedCitation":"(Frey &amp; Osborne, 2017)"},"properties":{"noteIndex":0},"schema":"https://github.com/citation-style-language/schema/raw/master/csl-citation.json"}</w:instrText>
      </w:r>
      <w:r w:rsidR="00456E63" w:rsidRPr="007138D8">
        <w:fldChar w:fldCharType="separate"/>
      </w:r>
      <w:r w:rsidR="008743A8" w:rsidRPr="007138D8">
        <w:t>(Frey &amp; Osborne, 2017)</w:t>
      </w:r>
      <w:r w:rsidR="00456E63" w:rsidRPr="007138D8">
        <w:fldChar w:fldCharType="end"/>
      </w:r>
      <w:r w:rsidR="00010AD9" w:rsidRPr="007138D8">
        <w:t xml:space="preserve">. This can aid workers </w:t>
      </w:r>
      <w:r w:rsidR="00010AD9" w:rsidRPr="007138D8">
        <w:lastRenderedPageBreak/>
        <w:t xml:space="preserve">and employers </w:t>
      </w:r>
      <w:r w:rsidR="0057171F" w:rsidRPr="007138D8">
        <w:t>in looking</w:t>
      </w:r>
      <w:r w:rsidR="00010AD9" w:rsidRPr="007138D8">
        <w:t xml:space="preserve"> for added opportunities worldwide </w:t>
      </w:r>
      <w:r w:rsidR="00456E63" w:rsidRPr="007138D8">
        <w:fldChar w:fldCharType="begin" w:fldLock="1"/>
      </w:r>
      <w:r w:rsidR="008743A8" w:rsidRPr="007138D8">
        <w:instrText>ADDIN CSL_CITATION {"citationItems":[{"id":"ITEM-1","itemData":{"DOI":"10.1016/J.HRMR.2021.100860","ISSN":"1053-4822","abstract":"The current literature on the use of disruptive innovative technologies, such as artificial intelligence (AI) for human resource management (HRM) function, lacks a theoretical basis for understanding. Further, the adoption and implementation of AI-augmented HRM, which holds promise for delivering several operational, relational and transformational benefits, is at best patchy and incomplete. Integrating the technology, organisation and people (TOP) framework with core elements of the theory of innovation assimilation and its impact on a range of AI-Augmented HRM outcomes, or what we refer to as (HRM(AI)), this paper develops a coherent and integrated theoretical framework of HRM(AI) assimilation. Such a framework is timely as several post-adoption challenges, such as the dark side of processual factors in innovation assimilation and system-level factors, which, if unattended, can lead to the opacity of AI applications, thereby affecting the success of any HRM(AI). Our model proposes several testable future research propositions for advancing scholarship in this area. We conclude with implications for theory and practice.","author":[{"dropping-particle":"","family":"Prikshat","given":"Verma","non-dropping-particle":"","parse-names":false,"suffix":""},{"dropping-particle":"","family":"Malik","given":"Ashish","non-dropping-particle":"","parse-names":false,"suffix":""},{"dropping-particle":"","family":"Budhwar","given":"Pawan","non-dropping-particle":"","parse-names":false,"suffix":""}],"container-title":"Human Resource Management Review","id":"ITEM-1","issue":"1","issued":{"date-parts":[["2023","3","1"]]},"page":"100860","publisher":"JAI","title":"AI-augmented HRM: Antecedents, assimilation and multilevel consequences","type":"article-journal","volume":"33"},"uris":["http://www.mendeley.com/documents/?uuid=b7ec96c5-f3d4-35eb-9b52-fcc0c636a4b2"]}],"mendeley":{"formattedCitation":"(Prikshat et al., 2023)","plainTextFormattedCitation":"(Prikshat et al., 2023)","previouslyFormattedCitation":"(Prikshat et al., 2023)"},"properties":{"noteIndex":0},"schema":"https://github.com/citation-style-language/schema/raw/master/csl-citation.json"}</w:instrText>
      </w:r>
      <w:r w:rsidR="00456E63" w:rsidRPr="007138D8">
        <w:fldChar w:fldCharType="separate"/>
      </w:r>
      <w:r w:rsidR="00AF36B8" w:rsidRPr="007138D8">
        <w:t>(Prikshat et al., 2023)</w:t>
      </w:r>
      <w:r w:rsidR="00456E63" w:rsidRPr="007138D8">
        <w:fldChar w:fldCharType="end"/>
      </w:r>
      <w:r w:rsidR="00010AD9" w:rsidRPr="007138D8">
        <w:t xml:space="preserve">. As automatized modifications bring hesitation at </w:t>
      </w:r>
      <w:r w:rsidR="0057171F" w:rsidRPr="007138D8">
        <w:t xml:space="preserve">a </w:t>
      </w:r>
      <w:r w:rsidR="00010AD9" w:rsidRPr="007138D8">
        <w:t xml:space="preserve">job, the acceptance of AI </w:t>
      </w:r>
      <w:r w:rsidR="00911889" w:rsidRPr="007138D8">
        <w:t>would undermine the</w:t>
      </w:r>
      <w:r w:rsidR="00423685" w:rsidRPr="007138D8">
        <w:t xml:space="preserve"> </w:t>
      </w:r>
      <w:r w:rsidR="00010AD9" w:rsidRPr="007138D8">
        <w:t>association between workers</w:t>
      </w:r>
      <w:r w:rsidR="00770A8A" w:rsidRPr="007138D8">
        <w:t>’</w:t>
      </w:r>
      <w:r w:rsidR="00010AD9" w:rsidRPr="007138D8">
        <w:t xml:space="preserve"> PC fulfillment and organization</w:t>
      </w:r>
      <w:r w:rsidR="0057171F" w:rsidRPr="007138D8">
        <w:t>al</w:t>
      </w:r>
      <w:r w:rsidR="00010AD9" w:rsidRPr="007138D8">
        <w:t xml:space="preserve"> commitment. </w:t>
      </w:r>
      <w:r w:rsidR="001E7427" w:rsidRPr="007138D8">
        <w:t>Hence</w:t>
      </w:r>
      <w:r w:rsidR="002D1A4E" w:rsidRPr="007138D8">
        <w:t>, we propose the following hypotheses.</w:t>
      </w:r>
    </w:p>
    <w:p w14:paraId="395F5B68" w14:textId="77777777" w:rsidR="000748C9" w:rsidRPr="007138D8" w:rsidRDefault="000748C9" w:rsidP="00120A34">
      <w:pPr>
        <w:spacing w:line="480" w:lineRule="auto"/>
        <w:jc w:val="both"/>
      </w:pPr>
      <w:r w:rsidRPr="007138D8">
        <w:rPr>
          <w:b/>
          <w:bCs/>
        </w:rPr>
        <w:t>H2</w:t>
      </w:r>
      <w:r w:rsidRPr="007138D8">
        <w:t xml:space="preserve">: </w:t>
      </w:r>
      <w:r w:rsidR="00872199" w:rsidRPr="007138D8">
        <w:rPr>
          <w:i/>
          <w:iCs/>
        </w:rPr>
        <w:t>PC fulfillment has a positive relationship with workers</w:t>
      </w:r>
      <w:r w:rsidR="00770A8A" w:rsidRPr="007138D8">
        <w:rPr>
          <w:i/>
          <w:iCs/>
        </w:rPr>
        <w:t>’</w:t>
      </w:r>
      <w:r w:rsidR="00872199" w:rsidRPr="007138D8">
        <w:rPr>
          <w:i/>
          <w:iCs/>
        </w:rPr>
        <w:t xml:space="preserve"> job trust</w:t>
      </w:r>
      <w:r w:rsidR="00781D16" w:rsidRPr="007138D8">
        <w:t>.</w:t>
      </w:r>
    </w:p>
    <w:p w14:paraId="1A426CCA" w14:textId="77777777" w:rsidR="000748C9" w:rsidRPr="007138D8" w:rsidRDefault="000748C9" w:rsidP="00120A34">
      <w:pPr>
        <w:spacing w:line="480" w:lineRule="auto"/>
        <w:jc w:val="both"/>
      </w:pPr>
      <w:r w:rsidRPr="007138D8">
        <w:rPr>
          <w:b/>
          <w:bCs/>
        </w:rPr>
        <w:t>H3</w:t>
      </w:r>
      <w:r w:rsidRPr="007138D8">
        <w:t xml:space="preserve">. </w:t>
      </w:r>
      <w:r w:rsidR="00872199" w:rsidRPr="007138D8">
        <w:rPr>
          <w:i/>
          <w:iCs/>
        </w:rPr>
        <w:t>Job trust has a positive relationship with organizational commitment</w:t>
      </w:r>
      <w:r w:rsidR="00872199" w:rsidRPr="007138D8">
        <w:t>.</w:t>
      </w:r>
    </w:p>
    <w:p w14:paraId="01544A38" w14:textId="77777777" w:rsidR="00D43222" w:rsidRPr="007138D8" w:rsidRDefault="00D43222" w:rsidP="00120A34">
      <w:pPr>
        <w:spacing w:line="480" w:lineRule="auto"/>
        <w:jc w:val="both"/>
      </w:pPr>
      <w:r w:rsidRPr="007138D8">
        <w:rPr>
          <w:b/>
          <w:bCs/>
        </w:rPr>
        <w:t>H4</w:t>
      </w:r>
      <w:r w:rsidRPr="007138D8">
        <w:t xml:space="preserve">: </w:t>
      </w:r>
      <w:r w:rsidR="000811C0" w:rsidRPr="007138D8">
        <w:rPr>
          <w:i/>
          <w:iCs/>
        </w:rPr>
        <w:t xml:space="preserve">Job trust </w:t>
      </w:r>
      <w:r w:rsidRPr="007138D8">
        <w:rPr>
          <w:i/>
          <w:iCs/>
        </w:rPr>
        <w:t xml:space="preserve">mediates the positive relationship between PC fulfillment </w:t>
      </w:r>
      <w:r w:rsidR="000811C0" w:rsidRPr="007138D8">
        <w:rPr>
          <w:i/>
          <w:iCs/>
        </w:rPr>
        <w:t>and organizational commitment</w:t>
      </w:r>
      <w:r w:rsidR="009466EE" w:rsidRPr="007138D8">
        <w:t>.</w:t>
      </w:r>
    </w:p>
    <w:p w14:paraId="19AFE8BD" w14:textId="77777777" w:rsidR="00316D36" w:rsidRPr="007138D8" w:rsidRDefault="00D242BD" w:rsidP="00120A34">
      <w:pPr>
        <w:spacing w:line="480" w:lineRule="auto"/>
        <w:jc w:val="both"/>
      </w:pPr>
      <w:r w:rsidRPr="007138D8">
        <w:rPr>
          <w:b/>
          <w:bCs/>
        </w:rPr>
        <w:t>H</w:t>
      </w:r>
      <w:r w:rsidR="007B4177" w:rsidRPr="007138D8">
        <w:rPr>
          <w:b/>
          <w:bCs/>
        </w:rPr>
        <w:t>5</w:t>
      </w:r>
      <w:r w:rsidRPr="007138D8">
        <w:t xml:space="preserve">: </w:t>
      </w:r>
      <w:r w:rsidR="00346915" w:rsidRPr="007138D8">
        <w:rPr>
          <w:i/>
          <w:iCs/>
        </w:rPr>
        <w:t xml:space="preserve">Acceptance of AI undermines the positive relationship between PC fulfillment and </w:t>
      </w:r>
      <w:r w:rsidR="00AC1866" w:rsidRPr="007138D8">
        <w:rPr>
          <w:i/>
          <w:iCs/>
        </w:rPr>
        <w:t>trust</w:t>
      </w:r>
      <w:r w:rsidR="00346915" w:rsidRPr="007138D8">
        <w:t>.</w:t>
      </w:r>
    </w:p>
    <w:p w14:paraId="0C805C74" w14:textId="77777777" w:rsidR="00781D16" w:rsidRPr="007138D8" w:rsidRDefault="00346915" w:rsidP="00120A34">
      <w:pPr>
        <w:spacing w:line="480" w:lineRule="auto"/>
        <w:jc w:val="both"/>
        <w:rPr>
          <w:b/>
        </w:rPr>
      </w:pPr>
      <w:r w:rsidRPr="007138D8">
        <w:rPr>
          <w:b/>
          <w:bCs/>
        </w:rPr>
        <w:t>H6</w:t>
      </w:r>
      <w:r w:rsidRPr="007138D8">
        <w:t xml:space="preserve">: </w:t>
      </w:r>
      <w:r w:rsidRPr="007138D8">
        <w:rPr>
          <w:i/>
          <w:iCs/>
        </w:rPr>
        <w:t>Acceptance of AI undermines the positive indirect relationship between PC fulfillment and organizational commitment via workers</w:t>
      </w:r>
      <w:r w:rsidR="00770A8A" w:rsidRPr="007138D8">
        <w:rPr>
          <w:i/>
          <w:iCs/>
        </w:rPr>
        <w:t>’</w:t>
      </w:r>
      <w:r w:rsidRPr="007138D8">
        <w:rPr>
          <w:i/>
          <w:iCs/>
        </w:rPr>
        <w:t xml:space="preserve"> job trust</w:t>
      </w:r>
      <w:r w:rsidRPr="007138D8">
        <w:t>.</w:t>
      </w:r>
    </w:p>
    <w:p w14:paraId="33677930" w14:textId="77777777" w:rsidR="00F74C7D" w:rsidRPr="007138D8" w:rsidRDefault="00000000" w:rsidP="00E27244">
      <w:pPr>
        <w:spacing w:before="240"/>
        <w:jc w:val="both"/>
      </w:pPr>
      <w:r w:rsidRPr="007138D8">
        <w:rPr>
          <w:noProof/>
        </w:rPr>
      </w:r>
      <w:r w:rsidRPr="007138D8">
        <w:rPr>
          <w:noProof/>
        </w:rPr>
        <w:pict w14:anchorId="1B2D10D9">
          <v:group id="Canvas 1" o:spid="_x0000_s2050" editas="canvas" style="width:468pt;height:171.5pt;mso-position-horizontal-relative:char;mso-position-vertical-relative:line" coordsize="59436,21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width:59436;height:21780;visibility:visible">
              <v:fill o:detectmouseclick="t"/>
              <v:path o:connecttype="none"/>
            </v:shape>
            <v:shapetype id="_x0000_t202" coordsize="21600,21600" o:spt="202" path="m,l,21600r21600,l21600,xe">
              <v:stroke joinstyle="miter"/>
              <v:path gradientshapeok="t" o:connecttype="rect"/>
            </v:shapetype>
            <v:shape id="Text Box 19" o:spid="_x0000_s2065" type="#_x0000_t202" style="position:absolute;left:16414;top:7683;width:7747;height:29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" stroked="f">
              <v:path arrowok="t"/>
              <v:textbox>
                <w:txbxContent>
                  <w:p w14:paraId="1120E064" w14:textId="77777777" w:rsidR="00D73A11" w:rsidRDefault="00D73A11" w:rsidP="00F74C7D">
                    <w:pPr>
                      <w:jc w:val="center"/>
                    </w:pPr>
                    <w:r>
                      <w:t>H5, H6</w:t>
                    </w:r>
                  </w:p>
                </w:txbxContent>
              </v:textbox>
            </v:shape>
            <v:shape id="Text Box 18" o:spid="_x0000_s2064" type="#_x0000_t202" style="position:absolute;left:26797;top:8959;width:5080;height:29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" stroked="f">
              <v:path arrowok="t"/>
              <v:textbox>
                <w:txbxContent>
                  <w:p w14:paraId="680547C6" w14:textId="77777777" w:rsidR="00D73A11" w:rsidRDefault="00D73A11" w:rsidP="00F74C7D">
                    <w:pPr>
                      <w:jc w:val="center"/>
                    </w:pPr>
                    <w:r>
                      <w:t>H4</w:t>
                    </w:r>
                  </w:p>
                </w:txbxContent>
              </v:textbox>
            </v:shape>
            <v:shape id="Text Box 17" o:spid="_x0000_s2063" type="#_x0000_t202" style="position:absolute;left:37401;top:13398;width:5080;height:29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" stroked="f">
              <v:path arrowok="t"/>
              <v:textbox>
                <w:txbxContent>
                  <w:p w14:paraId="56FB23EE" w14:textId="77777777" w:rsidR="00D73A11" w:rsidRDefault="00D73A11" w:rsidP="00F74C7D">
                    <w:pPr>
                      <w:jc w:val="center"/>
                    </w:pPr>
                    <w:r>
                      <w:t>H3</w:t>
                    </w:r>
                  </w:p>
                </w:txbxContent>
              </v:textbox>
            </v:shape>
            <v:shape id="Text Box 16" o:spid="_x0000_s2062" type="#_x0000_t202" style="position:absolute;left:15684;top:13525;width:5080;height:29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" stroked="f">
              <v:path arrowok="t"/>
              <v:textbox>
                <w:txbxContent>
                  <w:p w14:paraId="04243ECF" w14:textId="77777777" w:rsidR="00D73A11" w:rsidRDefault="00D73A11" w:rsidP="00F74C7D">
                    <w:r>
                      <w:t>H2</w:t>
                    </w:r>
                  </w:p>
                </w:txbxContent>
              </v:textbox>
            </v:shape>
            <v:shape id="Text Box 15" o:spid="_x0000_s2061" type="#_x0000_t202" style="position:absolute;left:26289;top:18859;width:5080;height:29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" stroked="f">
              <v:path arrowok="t"/>
              <v:textbox>
                <w:txbxContent>
                  <w:p w14:paraId="3920A0B7" w14:textId="77777777" w:rsidR="00D73A11" w:rsidRDefault="00D73A11" w:rsidP="00F74C7D">
                    <w:pPr>
                      <w:jc w:val="center"/>
                    </w:pPr>
                    <w:r>
                      <w:t>H1</w:t>
                    </w:r>
                  </w:p>
                </w:txbxContent>
              </v:textbox>
            </v:shape>
            <v:shape id="Text Box 4" o:spid="_x0000_s2060" type="#_x0000_t202" style="position:absolute;left:768;top:11753;width:13233;height:4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">
              <v:path arrowok="t"/>
              <v:textbox>
                <w:txbxContent>
                  <w:p w14:paraId="407250C7" w14:textId="77777777" w:rsidR="00D73A11" w:rsidRDefault="00D73A11" w:rsidP="00F74C7D">
                    <w:pPr>
                      <w:jc w:val="center"/>
                    </w:pPr>
                    <w:r>
                      <w:t>Psychological Contract</w:t>
                    </w:r>
                  </w:p>
                </w:txbxContent>
              </v:textbox>
            </v:shape>
            <v:shape id="Text Box 6" o:spid="_x0000_s2059" type="#_x0000_t202" style="position:absolute;left:11055;top:990;width:13233;height:4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">
              <v:path arrowok="t"/>
              <v:textbox>
                <w:txbxContent>
                  <w:p w14:paraId="7BE00D8F" w14:textId="77777777" w:rsidR="00D73A11" w:rsidRDefault="00D73A11" w:rsidP="00F74C7D">
                    <w:pPr>
                      <w:jc w:val="center"/>
                    </w:pPr>
                    <w:r>
                      <w:t xml:space="preserve">AI </w:t>
                    </w:r>
                    <w:r>
                      <w:br/>
                      <w:t>Acceptance</w:t>
                    </w:r>
                  </w:p>
                </w:txbxContent>
              </v:textbox>
            </v:shape>
            <v:shape id="Text Box 7" o:spid="_x0000_s2058" type="#_x0000_t202" style="position:absolute;left:44964;top:11753;width:13233;height:4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">
              <v:path arrowok="t"/>
              <v:textbox>
                <w:txbxContent>
                  <w:p w14:paraId="6FC5736F" w14:textId="77777777" w:rsidR="00D73A11" w:rsidRDefault="00D73A11" w:rsidP="00F74C7D">
                    <w:pPr>
                      <w:jc w:val="center"/>
                    </w:pPr>
                    <w:r>
                      <w:t>Organizational Commitment</w:t>
                    </w:r>
                  </w:p>
                </w:txbxContent>
              </v:textbox>
            </v:shape>
            <v:shape id="Text Box 8" o:spid="_x0000_s2057" type="#_x0000_t202" style="position:absolute;left:22764;top:11753;width:13246;height:4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">
              <v:path arrowok="t"/>
              <v:textbox>
                <w:txbxContent>
                  <w:p w14:paraId="2D1EF18D" w14:textId="77777777" w:rsidR="00D73A11" w:rsidRDefault="00D73A11" w:rsidP="00F74C7D">
                    <w:pPr>
                      <w:jc w:val="center"/>
                    </w:pPr>
                    <w:r>
                      <w:t>Trust</w:t>
                    </w:r>
                  </w:p>
                </w:txbxContent>
              </v:textbox>
            </v:shape>
            <v:shapetype id="_x0000_t32" coordsize="21600,21600" o:spt="32" o:oned="t" path="m,l21600,21600e" filled="f">
              <v:path arrowok="t" fillok="f" o:connecttype="none"/>
              <o:lock v:ext="edit" shapetype="t"/>
            </v:shapetype>
            <v:shape id="AutoShape 9" o:spid="_x0000_s2056" type="#_x0000_t32" style="position:absolute;left:14001;top:14039;width:8763;height: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">
              <v:stroke endarrow="block"/>
              <o:lock v:ext="edit" shapetype="f"/>
            </v:shape>
            <v:shape id="AutoShape 10" o:spid="_x0000_s2055" type="#_x0000_t32" style="position:absolute;left:36010;top:14039;width:8954;height: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">
              <v:stroke endarrow="block"/>
              <o:lock v:ext="edit" shapetype="f"/>
            </v:shape>
            <v:shape id="AutoShape 11" o:spid="_x0000_s2054" type="#_x0000_t32" style="position:absolute;left:17672;top:5556;width:12;height:848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">
              <v:stroke endarrow="block"/>
              <o:lock v:ext="edit" shapetype="f"/>
            </v:shape>
            <v:shape id="AutoShape 12" o:spid="_x0000_s2053" type="#_x0000_t32" style="position:absolute;left:7385;top:16319;width:6;height:298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">
              <o:lock v:ext="edit" shapetype="f"/>
            </v:shape>
            <v:shape id="AutoShape 13" o:spid="_x0000_s2052" type="#_x0000_t32" style="position:absolute;left:7397;top:19304;width:44177;height: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">
              <o:lock v:ext="edit" shapetype="f"/>
            </v:shape>
            <v:shape id="AutoShape 14" o:spid="_x0000_s2051" type="#_x0000_t32" style="position:absolute;left:51568;top:16319;width:13;height:29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">
              <v:stroke endarrow="block"/>
              <o:lock v:ext="edit" shapetype="f"/>
            </v:shape>
            <w10:anchorlock/>
          </v:group>
        </w:pict>
      </w:r>
    </w:p>
    <w:p w14:paraId="23A0FA9F" w14:textId="77777777" w:rsidR="00000C31" w:rsidRPr="007138D8" w:rsidRDefault="00000C31" w:rsidP="0011181F">
      <w:pPr>
        <w:jc w:val="center"/>
      </w:pPr>
      <w:r w:rsidRPr="007138D8">
        <w:rPr>
          <w:b/>
        </w:rPr>
        <w:t>Figure 1</w:t>
      </w:r>
      <w:r w:rsidRPr="007138D8">
        <w:t>. Proposed research model</w:t>
      </w:r>
    </w:p>
    <w:p w14:paraId="71BB6F3A" w14:textId="77777777" w:rsidR="00A72824" w:rsidRPr="007138D8" w:rsidRDefault="00A72824" w:rsidP="00120A34">
      <w:pPr>
        <w:tabs>
          <w:tab w:val="left" w:pos="1485"/>
        </w:tabs>
        <w:jc w:val="both"/>
        <w:rPr>
          <w:sz w:val="20"/>
          <w:szCs w:val="20"/>
        </w:rPr>
      </w:pPr>
    </w:p>
    <w:p w14:paraId="3EA6F4E0" w14:textId="77777777" w:rsidR="0011181F" w:rsidRPr="007138D8" w:rsidRDefault="0011181F">
      <w:pPr>
        <w:rPr>
          <w:b/>
          <w:sz w:val="28"/>
          <w:szCs w:val="28"/>
        </w:rPr>
      </w:pPr>
      <w:r w:rsidRPr="007138D8">
        <w:rPr>
          <w:b/>
          <w:sz w:val="28"/>
          <w:szCs w:val="28"/>
        </w:rPr>
        <w:br w:type="page"/>
      </w:r>
    </w:p>
    <w:p w14:paraId="260D0DB8" w14:textId="3CA6C734" w:rsidR="00B25A55" w:rsidRPr="007138D8" w:rsidRDefault="00B23244" w:rsidP="00120A34">
      <w:pPr>
        <w:spacing w:line="480" w:lineRule="auto"/>
        <w:jc w:val="both"/>
        <w:rPr>
          <w:b/>
          <w:sz w:val="28"/>
          <w:szCs w:val="28"/>
        </w:rPr>
      </w:pPr>
      <w:r w:rsidRPr="007138D8">
        <w:rPr>
          <w:b/>
          <w:sz w:val="28"/>
          <w:szCs w:val="28"/>
        </w:rPr>
        <w:lastRenderedPageBreak/>
        <w:t>4</w:t>
      </w:r>
      <w:r w:rsidR="007940B8" w:rsidRPr="007138D8">
        <w:rPr>
          <w:b/>
          <w:sz w:val="28"/>
          <w:szCs w:val="28"/>
        </w:rPr>
        <w:t xml:space="preserve">. </w:t>
      </w:r>
      <w:r w:rsidR="00B25A55" w:rsidRPr="007138D8">
        <w:rPr>
          <w:b/>
          <w:sz w:val="28"/>
          <w:szCs w:val="28"/>
        </w:rPr>
        <w:t>Method</w:t>
      </w:r>
    </w:p>
    <w:p w14:paraId="5DD4053D" w14:textId="77777777" w:rsidR="00B25A55" w:rsidRPr="007138D8" w:rsidRDefault="00B23244" w:rsidP="0011181F">
      <w:pPr>
        <w:spacing w:line="480" w:lineRule="auto"/>
        <w:jc w:val="both"/>
      </w:pPr>
      <w:r w:rsidRPr="007138D8">
        <w:rPr>
          <w:b/>
          <w:bCs/>
        </w:rPr>
        <w:t>4</w:t>
      </w:r>
      <w:r w:rsidR="00B25A55" w:rsidRPr="007138D8">
        <w:rPr>
          <w:b/>
          <w:bCs/>
        </w:rPr>
        <w:t xml:space="preserve">.1 Measurement </w:t>
      </w:r>
      <w:r w:rsidR="00E27244" w:rsidRPr="007138D8">
        <w:rPr>
          <w:b/>
          <w:bCs/>
        </w:rPr>
        <w:t>S</w:t>
      </w:r>
      <w:r w:rsidR="00B25A55" w:rsidRPr="007138D8">
        <w:rPr>
          <w:b/>
          <w:bCs/>
        </w:rPr>
        <w:t>cale </w:t>
      </w:r>
    </w:p>
    <w:p w14:paraId="29D9D43F" w14:textId="75BAB39F" w:rsidR="00B25A55" w:rsidRPr="007138D8" w:rsidRDefault="00B25A55" w:rsidP="0011181F">
      <w:pPr>
        <w:spacing w:line="480" w:lineRule="auto"/>
        <w:jc w:val="both"/>
      </w:pPr>
      <w:r w:rsidRPr="007138D8">
        <w:t xml:space="preserve">The survey instrument was developed by integrating items from established literature, with careful customization to align with the particular context of our study, thereby ensuring its relevance and appropriateness. PC fulfillment was measured using five </w:t>
      </w:r>
      <w:r w:rsidR="00F23319" w:rsidRPr="007138D8">
        <w:t>Robinson and Wolfe Morrison</w:t>
      </w:r>
      <w:r w:rsidR="00423685" w:rsidRPr="007138D8">
        <w:t>’</w:t>
      </w:r>
      <w:r w:rsidR="00F23319" w:rsidRPr="007138D8">
        <w:t>s (2000) scale items</w:t>
      </w:r>
      <w:r w:rsidRPr="007138D8">
        <w:t>. Sample items include ‘So far</w:t>
      </w:r>
      <w:r w:rsidR="00F23319" w:rsidRPr="007138D8">
        <w:t>,</w:t>
      </w:r>
      <w:r w:rsidRPr="007138D8">
        <w:t xml:space="preserve"> my employer has done an excellent job fulfilling its promises to me.’ Trust was measured using seven items from the </w:t>
      </w:r>
      <w:proofErr w:type="spellStart"/>
      <w:r w:rsidR="00F23319" w:rsidRPr="007138D8">
        <w:t>Gabarro</w:t>
      </w:r>
      <w:proofErr w:type="spellEnd"/>
      <w:r w:rsidR="00F23319" w:rsidRPr="007138D8">
        <w:t xml:space="preserve"> and Athos scale</w:t>
      </w:r>
      <w:r w:rsidRPr="007138D8">
        <w:t xml:space="preserve"> (1976, 1978). Sample items include ‘I think my employer treats me fairly.’ Organizational commitment was measured using six items from the affective commitment scale of </w:t>
      </w:r>
      <w:r w:rsidR="00456E63" w:rsidRPr="007138D8">
        <w:fldChar w:fldCharType="begin" w:fldLock="1"/>
      </w:r>
      <w:r w:rsidRPr="007138D8">
        <w:instrText>ADDIN CSL_CITATION {"citationItems":[{"id":"ITEM-1","itemData":{"DOI":"10.1016/1053-4822(91)90011-Z","ISSN":"1053-4822","abstract":"Diversity in the conceptualization and measurement of organizational commitment has made it difficult to interpret the results of an accumulating body of research. In this article, we go beyond the existing distinction between attitudinal and behavioral commitment and argue that commitment, as a psychological state, has at least three separable components reflecting (a) a desire (affective commitment), (b) a need (continuance commitment), and (c) an obligation (normative commitment) to maintain employment in an organization. Each component is considered to develop as a function of different antecedents and to have different implications for on-the-job behavior. The aim of this reconceptualization is to aid in the synthesis of existing research and to serve as a framework for future research.","author":[{"dropping-particle":"","family":"Meyer","given":"John P.","non-dropping-particle":"","parse-names":false,"suffix":""},{"dropping-particle":"","family":"Allen","given":"Natalie J.","non-dropping-particle":"","parse-names":false,"suffix":""}],"container-title":"Human Resource Management Review","id":"ITEM-1","issue":"1","issued":{"date-parts":[["1991","3","1"]]},"page":"61-89","publisher":"JAI","title":"A three-component conceptualization of organizational commitment","type":"article-journal","volume":"1"},"uris":["http://www.mendeley.com/documents/?uuid=529ec7f6-26bc-332b-986f-5aec57e94987"]}],"mendeley":{"formattedCitation":"(Meyer &amp; Allen, 1991)","manualFormatting":"Meyer and Allen (1991)","plainTextFormattedCitation":"(Meyer &amp; Allen, 1991)","previouslyFormattedCitation":"(Meyer &amp; Allen, 1991)"},"properties":{"noteIndex":0},"schema":"https://github.com/citation-style-language/schema/raw/master/csl-citation.json"}</w:instrText>
      </w:r>
      <w:r w:rsidR="00456E63" w:rsidRPr="007138D8">
        <w:fldChar w:fldCharType="separate"/>
      </w:r>
      <w:r w:rsidRPr="007138D8">
        <w:t>Meyer and Allen (1991)</w:t>
      </w:r>
      <w:r w:rsidR="00456E63" w:rsidRPr="007138D8">
        <w:fldChar w:fldCharType="end"/>
      </w:r>
      <w:r w:rsidRPr="007138D8">
        <w:t xml:space="preserve">. Sample items include ‘This organization has a great deal of personal meaning for me.’ AI adoption was measured using four items from the scale of </w:t>
      </w:r>
      <w:r w:rsidR="00456E63" w:rsidRPr="007138D8">
        <w:fldChar w:fldCharType="begin" w:fldLock="1"/>
      </w:r>
      <w:r w:rsidRPr="007138D8">
        <w:instrText>ADDIN CSL_CITATION {"citationItems":[{"id":"ITEM-1","itemData":{"DOI":"10.1017/jmo.2016.55","ISSN":"1833-3672","abstract":"&lt;p&gt;Futurists predict that a third of jobs that exist today could be taken by Smart Technology, Artificial Intelligence, Robotics, and Algorithms (STARA) by 2025. However, very little is known about how employees perceive these technological advancements in regards to their own jobs and careers, and how they are preparing for these potential changes. A new measure (STARA awareness) was created for this study that captures the extent to which employees feel their job could be replaced by these types of technology. Due to career progression and technology knowledge associated with age, we also tested age as a moderator of STARA. Using a mixed-methods approach on 120 employees, we tested STARA awareness on a range of job and well-being outcomes. Greater STARA awareness was negatively related to organisational commitment and career satisfaction, and positively related to turnover intentions, cynicism, and depression.&lt;/p&gt;","author":[{"dropping-particle":"","family":"Brougham","given":"David","non-dropping-particle":"","parse-names":false,"suffix":""},{"dropping-particle":"","family":"Haar","given":"Jarrod","non-dropping-particle":"","parse-names":false,"suffix":""}],"container-title":"Journal of Management &amp; Organization","id":"ITEM-1","issue":"2","issued":{"date-parts":[["2018","3","24"]]},"page":"239-257","publisher":"Cambridge University Press","title":"Smart Technology, Artificial Intelligence, Robotics, and Algorithms (STARA): Employees’ perceptions of our future workplace","type":"article-journal","volume":"24"},"uris":["http://www.mendeley.com/documents/?uuid=5656e0cb-f691-3dc2-9785-41b55c3fa4f8"]}],"mendeley":{"formattedCitation":"(Brougham &amp; Haar, 2018)","manualFormatting":"Brougham and Haar (2018)","plainTextFormattedCitation":"(Brougham &amp; Haar, 2018)","previouslyFormattedCitation":"(Brougham &amp; Haar, 2018)"},"properties":{"noteIndex":0},"schema":"https://github.com/citation-style-language/schema/raw/master/csl-citation.json"}</w:instrText>
      </w:r>
      <w:r w:rsidR="00456E63" w:rsidRPr="007138D8">
        <w:fldChar w:fldCharType="separate"/>
      </w:r>
      <w:r w:rsidRPr="007138D8">
        <w:t>Brougham and Haar (2018)</w:t>
      </w:r>
      <w:r w:rsidR="00456E63" w:rsidRPr="007138D8">
        <w:fldChar w:fldCharType="end"/>
      </w:r>
      <w:r w:rsidRPr="007138D8">
        <w:t xml:space="preserve">. Sample items include ‘I think there is a possibility that </w:t>
      </w:r>
      <w:r w:rsidR="00F23319" w:rsidRPr="007138D8">
        <w:t>AI will replace my current job</w:t>
      </w:r>
      <w:r w:rsidRPr="007138D8">
        <w:t xml:space="preserve">.’ Following the guidelines </w:t>
      </w:r>
      <w:r w:rsidR="00456E63" w:rsidRPr="007138D8">
        <w:fldChar w:fldCharType="begin" w:fldLock="1"/>
      </w:r>
      <w:r w:rsidRPr="007138D8">
        <w:instrText>ADDIN CSL_CITATION {"citationItems":[{"id":"ITEM-1","itemData":{"author":[{"dropping-particle":"","family":"Brislin","given":"R.W.","non-dropping-particle":"","parse-names":false,"suffix":""}],"id":"ITEM-1","issued":{"date-parts":[["1980"]]},"title":"Translation and content analysis of oral and written material. In: Triandis, H.C. and Berry, J. W., Eds., Handbook of cross-cultural psychology: Methodology, Allyn and Bacon, Boston, 389-444.","type":"book"},"uris":["http://www.mendeley.com/documents/?uuid=5dd4f024-05b8-37e0-8e48-208fe9694dc8"]}],"mendeley":{"formattedCitation":"(Brislin, 1980)","plainTextFormattedCitation":"(Brislin, 1980)","previouslyFormattedCitation":"(Brislin, 1980)"},"properties":{"noteIndex":0},"schema":"https://github.com/citation-style-language/schema/raw/master/csl-citation.json"}</w:instrText>
      </w:r>
      <w:r w:rsidR="00456E63" w:rsidRPr="007138D8">
        <w:fldChar w:fldCharType="separate"/>
      </w:r>
      <w:r w:rsidRPr="007138D8">
        <w:t>(Brislin, 1980)</w:t>
      </w:r>
      <w:r w:rsidR="00456E63" w:rsidRPr="007138D8">
        <w:fldChar w:fldCharType="end"/>
      </w:r>
      <w:r w:rsidRPr="007138D8">
        <w:t xml:space="preserve"> and standard translate-back approach, the English language surveys were converted into Chinese and back with the help of two teachers proficient in both these languages. Participants assessed their stance on various aspects of the research model, represented by statements, on a 5-point Likert scale ranging from strong agreement to strong disagreement. To validate the survey instrument, a panel of experts performed content appropriateness of the items. Additionally, a pilot study was conducted with the participation of 30 individuals. Subsequently, minor adjustments to the questionnaire were implemented to enhance its accuracy and relevance.</w:t>
      </w:r>
    </w:p>
    <w:p w14:paraId="24B03B9F" w14:textId="77777777" w:rsidR="00B25A55" w:rsidRPr="007138D8" w:rsidRDefault="00B23244" w:rsidP="0011181F">
      <w:pPr>
        <w:spacing w:before="240" w:line="480" w:lineRule="auto"/>
        <w:jc w:val="both"/>
      </w:pPr>
      <w:r w:rsidRPr="007138D8">
        <w:rPr>
          <w:b/>
          <w:bCs/>
        </w:rPr>
        <w:t>4</w:t>
      </w:r>
      <w:r w:rsidR="00B25A55" w:rsidRPr="007138D8">
        <w:rPr>
          <w:b/>
          <w:bCs/>
        </w:rPr>
        <w:t xml:space="preserve">.2 Sampling and </w:t>
      </w:r>
      <w:r w:rsidR="00E27244" w:rsidRPr="007138D8">
        <w:rPr>
          <w:b/>
          <w:bCs/>
        </w:rPr>
        <w:t>Q</w:t>
      </w:r>
      <w:r w:rsidR="00B25A55" w:rsidRPr="007138D8">
        <w:rPr>
          <w:b/>
          <w:bCs/>
        </w:rPr>
        <w:t xml:space="preserve">uestionnaire </w:t>
      </w:r>
      <w:r w:rsidR="00E27244" w:rsidRPr="007138D8">
        <w:rPr>
          <w:b/>
          <w:bCs/>
        </w:rPr>
        <w:t>A</w:t>
      </w:r>
      <w:r w:rsidR="00B25A55" w:rsidRPr="007138D8">
        <w:rPr>
          <w:b/>
          <w:bCs/>
        </w:rPr>
        <w:t>dministration</w:t>
      </w:r>
    </w:p>
    <w:p w14:paraId="17EC0839" w14:textId="77777777" w:rsidR="00B25A55" w:rsidRPr="007138D8" w:rsidRDefault="00B25A55" w:rsidP="00B25A55">
      <w:pPr>
        <w:spacing w:line="480" w:lineRule="auto"/>
        <w:jc w:val="both"/>
      </w:pPr>
      <w:r w:rsidRPr="007138D8">
        <w:t xml:space="preserve">Data were collected using an online survey questionnaire with the help of a market research firm. Data were collected in three waves from customer service enterprises based in China that </w:t>
      </w:r>
      <w:r w:rsidRPr="007138D8">
        <w:lastRenderedPageBreak/>
        <w:t xml:space="preserve">recently adopted AI at work. At time 1, workers rated their PC fulfillment, AI acceptance, and demographics. At time 2 (one month after T1), workers rated trust. </w:t>
      </w:r>
      <w:r w:rsidR="00F23319" w:rsidRPr="007138D8">
        <w:t>Workers rated organizational commitment at time 3 (one month after T2)</w:t>
      </w:r>
      <w:r w:rsidRPr="007138D8">
        <w:t xml:space="preserve">. All the surveys were properly coded and matched. Out of 350 surveys, the author received 180 final usable surveys. The sample units for data collection were customer service enterprises using AI. To ensure the eligibility of the participants, we included a screening question: </w:t>
      </w:r>
      <w:r w:rsidR="0011181F" w:rsidRPr="007138D8">
        <w:t>“</w:t>
      </w:r>
      <w:r w:rsidRPr="007138D8">
        <w:t>Are you using AI in your organization?</w:t>
      </w:r>
      <w:r w:rsidR="0011181F" w:rsidRPr="007138D8">
        <w:t>”</w:t>
      </w:r>
      <w:r w:rsidRPr="007138D8">
        <w:t xml:space="preserve">. The respondents were first explained about the AI-enabled systems and the features of the AI-enabled systems. </w:t>
      </w:r>
    </w:p>
    <w:p w14:paraId="550434CB" w14:textId="77777777" w:rsidR="00B25A55" w:rsidRPr="007138D8" w:rsidRDefault="00B23244" w:rsidP="00E27244">
      <w:pPr>
        <w:spacing w:before="240" w:line="480" w:lineRule="auto"/>
        <w:jc w:val="both"/>
      </w:pPr>
      <w:r w:rsidRPr="007138D8">
        <w:rPr>
          <w:b/>
          <w:bCs/>
        </w:rPr>
        <w:t>4</w:t>
      </w:r>
      <w:r w:rsidR="00B25A55" w:rsidRPr="007138D8">
        <w:rPr>
          <w:b/>
          <w:bCs/>
        </w:rPr>
        <w:t xml:space="preserve">.3 Reliability and </w:t>
      </w:r>
      <w:r w:rsidR="00E27244" w:rsidRPr="007138D8">
        <w:rPr>
          <w:b/>
          <w:bCs/>
        </w:rPr>
        <w:t>V</w:t>
      </w:r>
      <w:r w:rsidR="00B25A55" w:rsidRPr="007138D8">
        <w:rPr>
          <w:b/>
          <w:bCs/>
        </w:rPr>
        <w:t xml:space="preserve">alidity of the </w:t>
      </w:r>
      <w:r w:rsidR="00E27244" w:rsidRPr="007138D8">
        <w:rPr>
          <w:b/>
          <w:bCs/>
        </w:rPr>
        <w:t>M</w:t>
      </w:r>
      <w:r w:rsidR="00B25A55" w:rsidRPr="007138D8">
        <w:rPr>
          <w:b/>
          <w:bCs/>
        </w:rPr>
        <w:t xml:space="preserve">easurement </w:t>
      </w:r>
      <w:r w:rsidR="00E27244" w:rsidRPr="007138D8">
        <w:rPr>
          <w:b/>
          <w:bCs/>
        </w:rPr>
        <w:t>M</w:t>
      </w:r>
      <w:r w:rsidR="00B25A55" w:rsidRPr="007138D8">
        <w:rPr>
          <w:b/>
          <w:bCs/>
        </w:rPr>
        <w:t>odel </w:t>
      </w:r>
    </w:p>
    <w:p w14:paraId="1D6A3188" w14:textId="419687FF" w:rsidR="00B25A55" w:rsidRPr="007138D8" w:rsidRDefault="00B25A55" w:rsidP="00B25A55">
      <w:pPr>
        <w:spacing w:line="480" w:lineRule="auto"/>
        <w:jc w:val="both"/>
      </w:pPr>
      <w:r w:rsidRPr="007138D8">
        <w:t xml:space="preserve">According to Hair et al. (2010), we assessed the measurement model by evaluating the </w:t>
      </w:r>
      <w:r w:rsidR="00F23319" w:rsidRPr="007138D8">
        <w:t>latent constructs</w:t>
      </w:r>
      <w:r w:rsidR="00423685" w:rsidRPr="007138D8">
        <w:t>’</w:t>
      </w:r>
      <w:r w:rsidR="00F23319" w:rsidRPr="007138D8">
        <w:t xml:space="preserve"> reliability, convergent, and discriminant validity</w:t>
      </w:r>
      <w:r w:rsidRPr="007138D8">
        <w:t>. The confirmatory factor analysis (CFA) findings revealed a good model fit. Confirmatory Factor Analysis (CFA) using AMOS 26 was conducted to scrutinize the reliability and validity of the study constructs. To assess reliability, Cronbach’s alpha values were computed for all constructs, each surpassing 0.7, affirming their reliability (Hair et al., 2017)</w:t>
      </w:r>
      <w:r w:rsidR="003C3559" w:rsidRPr="007138D8">
        <w:t xml:space="preserve"> (See </w:t>
      </w:r>
      <w:r w:rsidR="0011181F" w:rsidRPr="007138D8">
        <w:t xml:space="preserve">Table </w:t>
      </w:r>
      <w:r w:rsidR="003C3559" w:rsidRPr="007138D8">
        <w:t>1)</w:t>
      </w:r>
      <w:r w:rsidRPr="007138D8">
        <w:t>. Convergent and discriminant validity were established by examining the average variance extracted (AVE) values (all above 0.5) and composite reliability (CR) values (all above 0.7) (Fornell &amp; Larcker, 1981</w:t>
      </w:r>
      <w:r w:rsidR="003C3559" w:rsidRPr="007138D8">
        <w:t>).</w:t>
      </w:r>
    </w:p>
    <w:p w14:paraId="0DFAE375" w14:textId="77777777" w:rsidR="00B25A55" w:rsidRPr="007138D8" w:rsidRDefault="00B23244" w:rsidP="00E27244">
      <w:pPr>
        <w:spacing w:before="240" w:line="480" w:lineRule="auto"/>
        <w:jc w:val="both"/>
      </w:pPr>
      <w:r w:rsidRPr="007138D8">
        <w:rPr>
          <w:b/>
          <w:bCs/>
        </w:rPr>
        <w:t>4</w:t>
      </w:r>
      <w:r w:rsidR="00B25A55" w:rsidRPr="007138D8">
        <w:rPr>
          <w:b/>
          <w:bCs/>
        </w:rPr>
        <w:t xml:space="preserve">.4 Common </w:t>
      </w:r>
      <w:r w:rsidR="00E27244" w:rsidRPr="007138D8">
        <w:rPr>
          <w:b/>
          <w:bCs/>
        </w:rPr>
        <w:t>M</w:t>
      </w:r>
      <w:r w:rsidR="00B25A55" w:rsidRPr="007138D8">
        <w:rPr>
          <w:b/>
          <w:bCs/>
        </w:rPr>
        <w:t xml:space="preserve">ethod </w:t>
      </w:r>
      <w:r w:rsidR="00E27244" w:rsidRPr="007138D8">
        <w:rPr>
          <w:b/>
          <w:bCs/>
        </w:rPr>
        <w:t>B</w:t>
      </w:r>
      <w:r w:rsidR="00B25A55" w:rsidRPr="007138D8">
        <w:rPr>
          <w:b/>
          <w:bCs/>
        </w:rPr>
        <w:t xml:space="preserve">ias </w:t>
      </w:r>
    </w:p>
    <w:p w14:paraId="2714C96D" w14:textId="7EC6788D" w:rsidR="00187095" w:rsidRPr="007138D8" w:rsidRDefault="00F23319" w:rsidP="00423685">
      <w:pPr>
        <w:spacing w:line="480" w:lineRule="auto"/>
        <w:jc w:val="both"/>
        <w:rPr>
          <w:b/>
        </w:rPr>
      </w:pPr>
      <w:r w:rsidRPr="007138D8">
        <w:t>We applied procedural measures and statistical controls to mitigate common method bias (CMB) in our data collection</w:t>
      </w:r>
      <w:r w:rsidR="00B25A55" w:rsidRPr="007138D8">
        <w:t>. Furthermore, we executed Harman’s single-factor test to evaluate CMB within our study. Results revealed that</w:t>
      </w:r>
      <w:r w:rsidR="00183A2B" w:rsidRPr="007138D8">
        <w:t xml:space="preserve"> the loading on </w:t>
      </w:r>
      <w:r w:rsidR="00EB0D8E" w:rsidRPr="007138D8">
        <w:t xml:space="preserve">the </w:t>
      </w:r>
      <w:r w:rsidR="00183A2B" w:rsidRPr="007138D8">
        <w:t xml:space="preserve">first factor is </w:t>
      </w:r>
      <w:r w:rsidR="00B25A55" w:rsidRPr="007138D8">
        <w:t xml:space="preserve">below the 50% threshold (Podsakoff et al., 2003), signifying negligible influence within our findings. Consequently, we can infer </w:t>
      </w:r>
      <w:r w:rsidR="00E12E49" w:rsidRPr="007138D8">
        <w:t>that participant</w:t>
      </w:r>
      <w:r w:rsidR="0011181F" w:rsidRPr="007138D8">
        <w:t>s</w:t>
      </w:r>
      <w:r w:rsidR="00B25A55" w:rsidRPr="007138D8">
        <w:t xml:space="preserve"> engaged attentively and responded considerately to the survey questionnaire.</w:t>
      </w:r>
      <w:r w:rsidR="00187095" w:rsidRPr="007138D8">
        <w:rPr>
          <w:b/>
        </w:rPr>
        <w:br w:type="page"/>
      </w:r>
    </w:p>
    <w:p w14:paraId="638010B2" w14:textId="1F0BC890" w:rsidR="00A72824" w:rsidRPr="007138D8" w:rsidRDefault="00A72824" w:rsidP="00187095">
      <w:pPr>
        <w:spacing w:after="240"/>
        <w:jc w:val="center"/>
        <w:rPr>
          <w:rFonts w:ascii="TimesNewRoman" w:hAnsi="TimesNewRoman"/>
        </w:rPr>
      </w:pPr>
      <w:r w:rsidRPr="007138D8">
        <w:rPr>
          <w:b/>
        </w:rPr>
        <w:lastRenderedPageBreak/>
        <w:t xml:space="preserve">Table 1: </w:t>
      </w:r>
      <w:r w:rsidRPr="007138D8">
        <w:t>Intercorrelations,</w:t>
      </w:r>
      <w:r w:rsidR="00423685" w:rsidRPr="007138D8">
        <w:t xml:space="preserve"> </w:t>
      </w:r>
      <w:r w:rsidRPr="007138D8">
        <w:rPr>
          <w:rFonts w:ascii="TimesNewRoman" w:hAnsi="TimesNewRoman"/>
        </w:rPr>
        <w:t>descriptive statistics, and reliabilities among the latent variables</w:t>
      </w:r>
    </w:p>
    <w:tbl>
      <w:tblPr>
        <w:tblStyle w:val="TableGrid"/>
        <w:tblW w:w="101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2035"/>
        <w:gridCol w:w="934"/>
        <w:gridCol w:w="888"/>
        <w:gridCol w:w="625"/>
        <w:gridCol w:w="770"/>
        <w:gridCol w:w="708"/>
        <w:gridCol w:w="915"/>
        <w:gridCol w:w="915"/>
        <w:gridCol w:w="1063"/>
        <w:gridCol w:w="819"/>
      </w:tblGrid>
      <w:tr w:rsidR="007138D8" w:rsidRPr="007138D8" w14:paraId="5486BE45" w14:textId="77777777" w:rsidTr="00183A2B">
        <w:trPr>
          <w:trHeight w:val="704"/>
          <w:jc w:val="center"/>
        </w:trPr>
        <w:tc>
          <w:tcPr>
            <w:tcW w:w="482" w:type="dxa"/>
            <w:tcBorders>
              <w:top w:val="single" w:sz="4" w:space="0" w:color="auto"/>
              <w:bottom w:val="single" w:sz="4" w:space="0" w:color="auto"/>
            </w:tcBorders>
          </w:tcPr>
          <w:p w14:paraId="430D5C0C" w14:textId="77777777" w:rsidR="00A72824" w:rsidRPr="007138D8" w:rsidRDefault="00A72824" w:rsidP="00120A34">
            <w:pPr>
              <w:tabs>
                <w:tab w:val="left" w:pos="8775"/>
                <w:tab w:val="left" w:pos="10305"/>
              </w:tabs>
              <w:jc w:val="both"/>
            </w:pPr>
          </w:p>
        </w:tc>
        <w:tc>
          <w:tcPr>
            <w:tcW w:w="2035" w:type="dxa"/>
            <w:tcBorders>
              <w:top w:val="single" w:sz="4" w:space="0" w:color="auto"/>
              <w:bottom w:val="single" w:sz="4" w:space="0" w:color="auto"/>
            </w:tcBorders>
            <w:vAlign w:val="center"/>
            <w:hideMark/>
          </w:tcPr>
          <w:p w14:paraId="72911AF6" w14:textId="77777777" w:rsidR="00A72824" w:rsidRPr="007138D8" w:rsidRDefault="00A72824" w:rsidP="00120A34">
            <w:pPr>
              <w:tabs>
                <w:tab w:val="left" w:pos="8775"/>
                <w:tab w:val="left" w:pos="10305"/>
              </w:tabs>
              <w:jc w:val="both"/>
            </w:pPr>
            <w:r w:rsidRPr="007138D8">
              <w:t>variables</w:t>
            </w:r>
          </w:p>
        </w:tc>
        <w:tc>
          <w:tcPr>
            <w:tcW w:w="934" w:type="dxa"/>
            <w:tcBorders>
              <w:top w:val="single" w:sz="4" w:space="0" w:color="auto"/>
              <w:bottom w:val="single" w:sz="4" w:space="0" w:color="auto"/>
            </w:tcBorders>
            <w:vAlign w:val="center"/>
            <w:hideMark/>
          </w:tcPr>
          <w:p w14:paraId="43C45111" w14:textId="77777777" w:rsidR="00A72824" w:rsidRPr="007138D8" w:rsidRDefault="00A72824" w:rsidP="00120A34">
            <w:pPr>
              <w:tabs>
                <w:tab w:val="left" w:pos="8775"/>
                <w:tab w:val="left" w:pos="10305"/>
              </w:tabs>
              <w:jc w:val="both"/>
            </w:pPr>
            <w:r w:rsidRPr="007138D8">
              <w:t>mean</w:t>
            </w:r>
          </w:p>
        </w:tc>
        <w:tc>
          <w:tcPr>
            <w:tcW w:w="888" w:type="dxa"/>
            <w:tcBorders>
              <w:top w:val="single" w:sz="4" w:space="0" w:color="auto"/>
              <w:bottom w:val="single" w:sz="4" w:space="0" w:color="auto"/>
            </w:tcBorders>
            <w:vAlign w:val="center"/>
            <w:hideMark/>
          </w:tcPr>
          <w:p w14:paraId="5D66E333" w14:textId="77777777" w:rsidR="00A72824" w:rsidRPr="007138D8" w:rsidRDefault="00A72824" w:rsidP="00120A34">
            <w:pPr>
              <w:tabs>
                <w:tab w:val="left" w:pos="8775"/>
                <w:tab w:val="left" w:pos="10305"/>
              </w:tabs>
              <w:jc w:val="both"/>
            </w:pPr>
            <w:r w:rsidRPr="007138D8">
              <w:t>SD</w:t>
            </w:r>
          </w:p>
        </w:tc>
        <w:tc>
          <w:tcPr>
            <w:tcW w:w="625" w:type="dxa"/>
            <w:tcBorders>
              <w:top w:val="single" w:sz="4" w:space="0" w:color="auto"/>
              <w:bottom w:val="single" w:sz="4" w:space="0" w:color="auto"/>
            </w:tcBorders>
            <w:vAlign w:val="center"/>
            <w:hideMark/>
          </w:tcPr>
          <w:p w14:paraId="4F26F631" w14:textId="77777777" w:rsidR="00A72824" w:rsidRPr="007138D8" w:rsidRDefault="00A72824" w:rsidP="00120A34">
            <w:pPr>
              <w:tabs>
                <w:tab w:val="left" w:pos="8775"/>
                <w:tab w:val="left" w:pos="10305"/>
              </w:tabs>
              <w:jc w:val="both"/>
            </w:pPr>
            <w:r w:rsidRPr="007138D8">
              <w:t>1</w:t>
            </w:r>
          </w:p>
        </w:tc>
        <w:tc>
          <w:tcPr>
            <w:tcW w:w="770" w:type="dxa"/>
            <w:tcBorders>
              <w:top w:val="single" w:sz="4" w:space="0" w:color="auto"/>
              <w:bottom w:val="single" w:sz="4" w:space="0" w:color="auto"/>
            </w:tcBorders>
            <w:vAlign w:val="center"/>
            <w:hideMark/>
          </w:tcPr>
          <w:p w14:paraId="24BF8766" w14:textId="77777777" w:rsidR="00A72824" w:rsidRPr="007138D8" w:rsidRDefault="00A72824" w:rsidP="00120A34">
            <w:pPr>
              <w:tabs>
                <w:tab w:val="left" w:pos="8775"/>
                <w:tab w:val="left" w:pos="10305"/>
              </w:tabs>
              <w:jc w:val="both"/>
            </w:pPr>
            <w:r w:rsidRPr="007138D8">
              <w:t>2</w:t>
            </w:r>
          </w:p>
        </w:tc>
        <w:tc>
          <w:tcPr>
            <w:tcW w:w="708" w:type="dxa"/>
            <w:tcBorders>
              <w:top w:val="single" w:sz="4" w:space="0" w:color="auto"/>
              <w:bottom w:val="single" w:sz="4" w:space="0" w:color="auto"/>
            </w:tcBorders>
            <w:vAlign w:val="center"/>
            <w:hideMark/>
          </w:tcPr>
          <w:p w14:paraId="62BA2679" w14:textId="77777777" w:rsidR="00A72824" w:rsidRPr="007138D8" w:rsidRDefault="00A72824" w:rsidP="00120A34">
            <w:pPr>
              <w:tabs>
                <w:tab w:val="left" w:pos="8775"/>
                <w:tab w:val="left" w:pos="10305"/>
              </w:tabs>
              <w:jc w:val="both"/>
            </w:pPr>
            <w:r w:rsidRPr="007138D8">
              <w:t>3</w:t>
            </w:r>
          </w:p>
        </w:tc>
        <w:tc>
          <w:tcPr>
            <w:tcW w:w="915" w:type="dxa"/>
            <w:tcBorders>
              <w:top w:val="single" w:sz="4" w:space="0" w:color="auto"/>
              <w:bottom w:val="single" w:sz="4" w:space="0" w:color="auto"/>
            </w:tcBorders>
            <w:vAlign w:val="center"/>
            <w:hideMark/>
          </w:tcPr>
          <w:p w14:paraId="1A62E8AB" w14:textId="77777777" w:rsidR="00A72824" w:rsidRPr="007138D8" w:rsidRDefault="00A72824" w:rsidP="00120A34">
            <w:pPr>
              <w:tabs>
                <w:tab w:val="left" w:pos="8775"/>
                <w:tab w:val="left" w:pos="10305"/>
              </w:tabs>
              <w:jc w:val="both"/>
            </w:pPr>
            <w:r w:rsidRPr="007138D8">
              <w:t>4</w:t>
            </w:r>
          </w:p>
        </w:tc>
        <w:tc>
          <w:tcPr>
            <w:tcW w:w="915" w:type="dxa"/>
            <w:tcBorders>
              <w:top w:val="single" w:sz="4" w:space="0" w:color="auto"/>
              <w:bottom w:val="single" w:sz="4" w:space="0" w:color="auto"/>
            </w:tcBorders>
            <w:vAlign w:val="center"/>
          </w:tcPr>
          <w:p w14:paraId="5F84B37F" w14:textId="77777777" w:rsidR="00A72824" w:rsidRPr="007138D8" w:rsidRDefault="00A72824" w:rsidP="00120A34">
            <w:pPr>
              <w:tabs>
                <w:tab w:val="left" w:pos="8775"/>
                <w:tab w:val="left" w:pos="10305"/>
              </w:tabs>
              <w:jc w:val="both"/>
            </w:pPr>
            <w:r w:rsidRPr="007138D8">
              <w:t>5</w:t>
            </w:r>
          </w:p>
        </w:tc>
        <w:tc>
          <w:tcPr>
            <w:tcW w:w="1063" w:type="dxa"/>
            <w:tcBorders>
              <w:top w:val="single" w:sz="4" w:space="0" w:color="auto"/>
              <w:bottom w:val="single" w:sz="4" w:space="0" w:color="auto"/>
            </w:tcBorders>
            <w:vAlign w:val="center"/>
          </w:tcPr>
          <w:p w14:paraId="00E70501" w14:textId="77777777" w:rsidR="00A72824" w:rsidRPr="007138D8" w:rsidRDefault="00A72824" w:rsidP="00120A34">
            <w:pPr>
              <w:tabs>
                <w:tab w:val="left" w:pos="8775"/>
                <w:tab w:val="left" w:pos="10305"/>
              </w:tabs>
              <w:jc w:val="both"/>
            </w:pPr>
            <w:r w:rsidRPr="007138D8">
              <w:t>6</w:t>
            </w:r>
          </w:p>
        </w:tc>
        <w:tc>
          <w:tcPr>
            <w:tcW w:w="819" w:type="dxa"/>
            <w:tcBorders>
              <w:top w:val="single" w:sz="4" w:space="0" w:color="auto"/>
              <w:bottom w:val="single" w:sz="4" w:space="0" w:color="auto"/>
            </w:tcBorders>
            <w:vAlign w:val="center"/>
          </w:tcPr>
          <w:p w14:paraId="39B7A020" w14:textId="77777777" w:rsidR="00A72824" w:rsidRPr="007138D8" w:rsidRDefault="00A72824" w:rsidP="00120A34">
            <w:pPr>
              <w:tabs>
                <w:tab w:val="left" w:pos="8775"/>
                <w:tab w:val="left" w:pos="10305"/>
              </w:tabs>
              <w:jc w:val="both"/>
            </w:pPr>
            <w:r w:rsidRPr="007138D8">
              <w:t>7</w:t>
            </w:r>
          </w:p>
        </w:tc>
      </w:tr>
      <w:tr w:rsidR="007138D8" w:rsidRPr="007138D8" w14:paraId="4CB24864" w14:textId="77777777" w:rsidTr="00183A2B">
        <w:trPr>
          <w:trHeight w:val="704"/>
          <w:jc w:val="center"/>
        </w:trPr>
        <w:tc>
          <w:tcPr>
            <w:tcW w:w="482" w:type="dxa"/>
            <w:tcBorders>
              <w:top w:val="single" w:sz="4" w:space="0" w:color="auto"/>
            </w:tcBorders>
            <w:vAlign w:val="center"/>
          </w:tcPr>
          <w:p w14:paraId="503E4FC8" w14:textId="77777777" w:rsidR="00A72824" w:rsidRPr="007138D8" w:rsidRDefault="00A72824" w:rsidP="00120A34">
            <w:pPr>
              <w:tabs>
                <w:tab w:val="left" w:pos="8775"/>
                <w:tab w:val="left" w:pos="10305"/>
              </w:tabs>
              <w:jc w:val="both"/>
            </w:pPr>
            <w:r w:rsidRPr="007138D8">
              <w:t>1</w:t>
            </w:r>
          </w:p>
        </w:tc>
        <w:tc>
          <w:tcPr>
            <w:tcW w:w="2035" w:type="dxa"/>
            <w:tcBorders>
              <w:top w:val="single" w:sz="4" w:space="0" w:color="auto"/>
            </w:tcBorders>
            <w:vAlign w:val="center"/>
            <w:hideMark/>
          </w:tcPr>
          <w:p w14:paraId="01878905" w14:textId="77777777" w:rsidR="00A72824" w:rsidRPr="007138D8" w:rsidRDefault="00183A2B" w:rsidP="00120A34">
            <w:pPr>
              <w:tabs>
                <w:tab w:val="left" w:pos="8775"/>
                <w:tab w:val="left" w:pos="10305"/>
              </w:tabs>
              <w:jc w:val="both"/>
            </w:pPr>
            <w:r w:rsidRPr="007138D8">
              <w:t>G</w:t>
            </w:r>
            <w:r w:rsidR="00A72824" w:rsidRPr="007138D8">
              <w:t>ender</w:t>
            </w:r>
          </w:p>
        </w:tc>
        <w:tc>
          <w:tcPr>
            <w:tcW w:w="934" w:type="dxa"/>
            <w:tcBorders>
              <w:top w:val="single" w:sz="4" w:space="0" w:color="auto"/>
            </w:tcBorders>
            <w:vAlign w:val="center"/>
            <w:hideMark/>
          </w:tcPr>
          <w:p w14:paraId="47A044BB" w14:textId="77777777" w:rsidR="00A72824" w:rsidRPr="007138D8" w:rsidRDefault="00A72824" w:rsidP="00120A34">
            <w:pPr>
              <w:tabs>
                <w:tab w:val="left" w:pos="8775"/>
                <w:tab w:val="left" w:pos="10305"/>
              </w:tabs>
              <w:jc w:val="both"/>
            </w:pPr>
            <w:r w:rsidRPr="007138D8">
              <w:t>.51</w:t>
            </w:r>
          </w:p>
        </w:tc>
        <w:tc>
          <w:tcPr>
            <w:tcW w:w="888" w:type="dxa"/>
            <w:tcBorders>
              <w:top w:val="single" w:sz="4" w:space="0" w:color="auto"/>
            </w:tcBorders>
            <w:vAlign w:val="center"/>
            <w:hideMark/>
          </w:tcPr>
          <w:p w14:paraId="6A799173" w14:textId="77777777" w:rsidR="00A72824" w:rsidRPr="007138D8" w:rsidRDefault="00A72824" w:rsidP="00120A34">
            <w:pPr>
              <w:tabs>
                <w:tab w:val="left" w:pos="8775"/>
                <w:tab w:val="left" w:pos="10305"/>
              </w:tabs>
              <w:jc w:val="both"/>
            </w:pPr>
            <w:r w:rsidRPr="007138D8">
              <w:t>.50</w:t>
            </w:r>
          </w:p>
        </w:tc>
        <w:tc>
          <w:tcPr>
            <w:tcW w:w="625" w:type="dxa"/>
            <w:tcBorders>
              <w:top w:val="single" w:sz="4" w:space="0" w:color="auto"/>
            </w:tcBorders>
            <w:vAlign w:val="center"/>
          </w:tcPr>
          <w:p w14:paraId="54CDD413" w14:textId="77777777" w:rsidR="00A72824" w:rsidRPr="007138D8" w:rsidRDefault="00A72824" w:rsidP="00120A34">
            <w:pPr>
              <w:tabs>
                <w:tab w:val="left" w:pos="8775"/>
                <w:tab w:val="left" w:pos="10305"/>
              </w:tabs>
              <w:jc w:val="both"/>
            </w:pPr>
            <w:r w:rsidRPr="007138D8">
              <w:t>-</w:t>
            </w:r>
          </w:p>
        </w:tc>
        <w:tc>
          <w:tcPr>
            <w:tcW w:w="770" w:type="dxa"/>
            <w:tcBorders>
              <w:top w:val="single" w:sz="4" w:space="0" w:color="auto"/>
            </w:tcBorders>
            <w:vAlign w:val="center"/>
          </w:tcPr>
          <w:p w14:paraId="774DBAEF" w14:textId="77777777" w:rsidR="00A72824" w:rsidRPr="007138D8" w:rsidRDefault="00A72824" w:rsidP="00120A34">
            <w:pPr>
              <w:tabs>
                <w:tab w:val="left" w:pos="8775"/>
                <w:tab w:val="left" w:pos="10305"/>
              </w:tabs>
              <w:jc w:val="both"/>
            </w:pPr>
          </w:p>
        </w:tc>
        <w:tc>
          <w:tcPr>
            <w:tcW w:w="708" w:type="dxa"/>
            <w:tcBorders>
              <w:top w:val="single" w:sz="4" w:space="0" w:color="auto"/>
            </w:tcBorders>
            <w:vAlign w:val="center"/>
          </w:tcPr>
          <w:p w14:paraId="7C096173" w14:textId="77777777" w:rsidR="00A72824" w:rsidRPr="007138D8" w:rsidRDefault="00A72824" w:rsidP="00120A34">
            <w:pPr>
              <w:tabs>
                <w:tab w:val="left" w:pos="8775"/>
                <w:tab w:val="left" w:pos="10305"/>
              </w:tabs>
              <w:jc w:val="both"/>
            </w:pPr>
          </w:p>
        </w:tc>
        <w:tc>
          <w:tcPr>
            <w:tcW w:w="915" w:type="dxa"/>
            <w:tcBorders>
              <w:top w:val="single" w:sz="4" w:space="0" w:color="auto"/>
            </w:tcBorders>
            <w:vAlign w:val="center"/>
          </w:tcPr>
          <w:p w14:paraId="0EEC7815" w14:textId="77777777" w:rsidR="00A72824" w:rsidRPr="007138D8" w:rsidRDefault="00A72824" w:rsidP="00120A34">
            <w:pPr>
              <w:tabs>
                <w:tab w:val="left" w:pos="8775"/>
                <w:tab w:val="left" w:pos="10305"/>
              </w:tabs>
              <w:jc w:val="both"/>
            </w:pPr>
          </w:p>
        </w:tc>
        <w:tc>
          <w:tcPr>
            <w:tcW w:w="915" w:type="dxa"/>
            <w:tcBorders>
              <w:top w:val="single" w:sz="4" w:space="0" w:color="auto"/>
            </w:tcBorders>
          </w:tcPr>
          <w:p w14:paraId="20C7887C" w14:textId="77777777" w:rsidR="00A72824" w:rsidRPr="007138D8" w:rsidRDefault="00A72824" w:rsidP="00120A34">
            <w:pPr>
              <w:tabs>
                <w:tab w:val="left" w:pos="8775"/>
                <w:tab w:val="left" w:pos="10305"/>
              </w:tabs>
              <w:jc w:val="both"/>
            </w:pPr>
          </w:p>
        </w:tc>
        <w:tc>
          <w:tcPr>
            <w:tcW w:w="1063" w:type="dxa"/>
            <w:tcBorders>
              <w:top w:val="single" w:sz="4" w:space="0" w:color="auto"/>
            </w:tcBorders>
          </w:tcPr>
          <w:p w14:paraId="21CBC222" w14:textId="77777777" w:rsidR="00A72824" w:rsidRPr="007138D8" w:rsidRDefault="00A72824" w:rsidP="00120A34">
            <w:pPr>
              <w:tabs>
                <w:tab w:val="left" w:pos="8775"/>
                <w:tab w:val="left" w:pos="10305"/>
              </w:tabs>
              <w:jc w:val="both"/>
            </w:pPr>
          </w:p>
        </w:tc>
        <w:tc>
          <w:tcPr>
            <w:tcW w:w="819" w:type="dxa"/>
            <w:tcBorders>
              <w:top w:val="single" w:sz="4" w:space="0" w:color="auto"/>
            </w:tcBorders>
          </w:tcPr>
          <w:p w14:paraId="20E357F6" w14:textId="77777777" w:rsidR="00A72824" w:rsidRPr="007138D8" w:rsidRDefault="00A72824" w:rsidP="00120A34">
            <w:pPr>
              <w:tabs>
                <w:tab w:val="left" w:pos="8775"/>
                <w:tab w:val="left" w:pos="10305"/>
              </w:tabs>
              <w:jc w:val="both"/>
            </w:pPr>
          </w:p>
        </w:tc>
      </w:tr>
      <w:tr w:rsidR="007138D8" w:rsidRPr="007138D8" w14:paraId="1DE76750" w14:textId="77777777" w:rsidTr="00183A2B">
        <w:trPr>
          <w:trHeight w:val="704"/>
          <w:jc w:val="center"/>
        </w:trPr>
        <w:tc>
          <w:tcPr>
            <w:tcW w:w="482" w:type="dxa"/>
            <w:vAlign w:val="center"/>
          </w:tcPr>
          <w:p w14:paraId="6E8FFDDD" w14:textId="77777777" w:rsidR="00A72824" w:rsidRPr="007138D8" w:rsidRDefault="00A72824" w:rsidP="00120A34">
            <w:pPr>
              <w:tabs>
                <w:tab w:val="left" w:pos="8775"/>
                <w:tab w:val="left" w:pos="10305"/>
              </w:tabs>
              <w:jc w:val="both"/>
            </w:pPr>
            <w:r w:rsidRPr="007138D8">
              <w:t>2</w:t>
            </w:r>
          </w:p>
        </w:tc>
        <w:tc>
          <w:tcPr>
            <w:tcW w:w="2035" w:type="dxa"/>
            <w:vAlign w:val="center"/>
            <w:hideMark/>
          </w:tcPr>
          <w:p w14:paraId="250B09D0" w14:textId="77777777" w:rsidR="00A72824" w:rsidRPr="007138D8" w:rsidRDefault="00183A2B" w:rsidP="00120A34">
            <w:pPr>
              <w:tabs>
                <w:tab w:val="left" w:pos="8775"/>
                <w:tab w:val="left" w:pos="10305"/>
              </w:tabs>
              <w:jc w:val="both"/>
            </w:pPr>
            <w:r w:rsidRPr="007138D8">
              <w:t>A</w:t>
            </w:r>
            <w:r w:rsidR="00A72824" w:rsidRPr="007138D8">
              <w:t>ge</w:t>
            </w:r>
          </w:p>
        </w:tc>
        <w:tc>
          <w:tcPr>
            <w:tcW w:w="934" w:type="dxa"/>
            <w:vAlign w:val="center"/>
            <w:hideMark/>
          </w:tcPr>
          <w:p w14:paraId="33843439" w14:textId="77777777" w:rsidR="00A72824" w:rsidRPr="007138D8" w:rsidRDefault="00A72824" w:rsidP="00120A34">
            <w:pPr>
              <w:tabs>
                <w:tab w:val="left" w:pos="8775"/>
                <w:tab w:val="left" w:pos="10305"/>
              </w:tabs>
              <w:jc w:val="both"/>
            </w:pPr>
            <w:r w:rsidRPr="007138D8">
              <w:t>29.50</w:t>
            </w:r>
          </w:p>
        </w:tc>
        <w:tc>
          <w:tcPr>
            <w:tcW w:w="888" w:type="dxa"/>
            <w:vAlign w:val="center"/>
            <w:hideMark/>
          </w:tcPr>
          <w:p w14:paraId="71D4495E" w14:textId="77777777" w:rsidR="00A72824" w:rsidRPr="007138D8" w:rsidRDefault="00A72824" w:rsidP="00120A34">
            <w:pPr>
              <w:tabs>
                <w:tab w:val="left" w:pos="8775"/>
                <w:tab w:val="left" w:pos="10305"/>
              </w:tabs>
              <w:jc w:val="both"/>
            </w:pPr>
            <w:r w:rsidRPr="007138D8">
              <w:t>6.78</w:t>
            </w:r>
          </w:p>
        </w:tc>
        <w:tc>
          <w:tcPr>
            <w:tcW w:w="625" w:type="dxa"/>
            <w:vAlign w:val="center"/>
          </w:tcPr>
          <w:p w14:paraId="780F931B" w14:textId="77777777" w:rsidR="00A72824" w:rsidRPr="007138D8" w:rsidRDefault="00A72824" w:rsidP="00120A34">
            <w:pPr>
              <w:tabs>
                <w:tab w:val="left" w:pos="8775"/>
                <w:tab w:val="left" w:pos="10305"/>
              </w:tabs>
              <w:jc w:val="both"/>
            </w:pPr>
            <w:r w:rsidRPr="007138D8">
              <w:t>.04</w:t>
            </w:r>
          </w:p>
        </w:tc>
        <w:tc>
          <w:tcPr>
            <w:tcW w:w="770" w:type="dxa"/>
            <w:vAlign w:val="center"/>
          </w:tcPr>
          <w:p w14:paraId="088B6BAC" w14:textId="77777777" w:rsidR="00A72824" w:rsidRPr="007138D8" w:rsidRDefault="00A72824" w:rsidP="00120A34">
            <w:pPr>
              <w:tabs>
                <w:tab w:val="left" w:pos="8775"/>
                <w:tab w:val="left" w:pos="10305"/>
              </w:tabs>
              <w:jc w:val="both"/>
            </w:pPr>
            <w:r w:rsidRPr="007138D8">
              <w:t>-</w:t>
            </w:r>
          </w:p>
        </w:tc>
        <w:tc>
          <w:tcPr>
            <w:tcW w:w="708" w:type="dxa"/>
            <w:vAlign w:val="center"/>
          </w:tcPr>
          <w:p w14:paraId="67AE5882" w14:textId="77777777" w:rsidR="00A72824" w:rsidRPr="007138D8" w:rsidRDefault="00A72824" w:rsidP="00120A34">
            <w:pPr>
              <w:tabs>
                <w:tab w:val="left" w:pos="8775"/>
                <w:tab w:val="left" w:pos="10305"/>
              </w:tabs>
              <w:jc w:val="both"/>
            </w:pPr>
          </w:p>
        </w:tc>
        <w:tc>
          <w:tcPr>
            <w:tcW w:w="915" w:type="dxa"/>
            <w:vAlign w:val="center"/>
          </w:tcPr>
          <w:p w14:paraId="268667D1" w14:textId="77777777" w:rsidR="00A72824" w:rsidRPr="007138D8" w:rsidRDefault="00A72824" w:rsidP="00120A34">
            <w:pPr>
              <w:tabs>
                <w:tab w:val="left" w:pos="8775"/>
                <w:tab w:val="left" w:pos="10305"/>
              </w:tabs>
              <w:jc w:val="both"/>
            </w:pPr>
          </w:p>
        </w:tc>
        <w:tc>
          <w:tcPr>
            <w:tcW w:w="915" w:type="dxa"/>
            <w:vAlign w:val="center"/>
          </w:tcPr>
          <w:p w14:paraId="0D4988AF" w14:textId="77777777" w:rsidR="00A72824" w:rsidRPr="007138D8" w:rsidRDefault="00A72824" w:rsidP="00120A34">
            <w:pPr>
              <w:tabs>
                <w:tab w:val="left" w:pos="8775"/>
                <w:tab w:val="left" w:pos="10305"/>
              </w:tabs>
              <w:jc w:val="both"/>
            </w:pPr>
          </w:p>
        </w:tc>
        <w:tc>
          <w:tcPr>
            <w:tcW w:w="1063" w:type="dxa"/>
            <w:vAlign w:val="center"/>
          </w:tcPr>
          <w:p w14:paraId="590D4730" w14:textId="77777777" w:rsidR="00A72824" w:rsidRPr="007138D8" w:rsidRDefault="00A72824" w:rsidP="00120A34">
            <w:pPr>
              <w:tabs>
                <w:tab w:val="left" w:pos="8775"/>
                <w:tab w:val="left" w:pos="10305"/>
              </w:tabs>
              <w:jc w:val="both"/>
            </w:pPr>
          </w:p>
        </w:tc>
        <w:tc>
          <w:tcPr>
            <w:tcW w:w="819" w:type="dxa"/>
            <w:vAlign w:val="center"/>
          </w:tcPr>
          <w:p w14:paraId="6D70DD51" w14:textId="77777777" w:rsidR="00A72824" w:rsidRPr="007138D8" w:rsidRDefault="00A72824" w:rsidP="00120A34">
            <w:pPr>
              <w:tabs>
                <w:tab w:val="left" w:pos="8775"/>
                <w:tab w:val="left" w:pos="10305"/>
              </w:tabs>
              <w:jc w:val="both"/>
            </w:pPr>
          </w:p>
        </w:tc>
      </w:tr>
      <w:tr w:rsidR="007138D8" w:rsidRPr="007138D8" w14:paraId="0BB41863" w14:textId="77777777" w:rsidTr="00183A2B">
        <w:trPr>
          <w:trHeight w:val="704"/>
          <w:jc w:val="center"/>
        </w:trPr>
        <w:tc>
          <w:tcPr>
            <w:tcW w:w="482" w:type="dxa"/>
            <w:vAlign w:val="center"/>
          </w:tcPr>
          <w:p w14:paraId="51731757" w14:textId="77777777" w:rsidR="00A72824" w:rsidRPr="007138D8" w:rsidRDefault="00A72824" w:rsidP="00120A34">
            <w:pPr>
              <w:tabs>
                <w:tab w:val="left" w:pos="8775"/>
                <w:tab w:val="left" w:pos="10305"/>
              </w:tabs>
              <w:jc w:val="both"/>
            </w:pPr>
            <w:r w:rsidRPr="007138D8">
              <w:t>3</w:t>
            </w:r>
          </w:p>
        </w:tc>
        <w:tc>
          <w:tcPr>
            <w:tcW w:w="2035" w:type="dxa"/>
            <w:vAlign w:val="center"/>
            <w:hideMark/>
          </w:tcPr>
          <w:p w14:paraId="4753560C" w14:textId="77777777" w:rsidR="00A72824" w:rsidRPr="007138D8" w:rsidRDefault="00183A2B" w:rsidP="00120A34">
            <w:pPr>
              <w:tabs>
                <w:tab w:val="left" w:pos="8775"/>
                <w:tab w:val="left" w:pos="10305"/>
              </w:tabs>
              <w:jc w:val="both"/>
            </w:pPr>
            <w:r w:rsidRPr="007138D8">
              <w:t>T</w:t>
            </w:r>
            <w:r w:rsidR="00A72824" w:rsidRPr="007138D8">
              <w:t>enure</w:t>
            </w:r>
          </w:p>
        </w:tc>
        <w:tc>
          <w:tcPr>
            <w:tcW w:w="934" w:type="dxa"/>
            <w:vAlign w:val="center"/>
            <w:hideMark/>
          </w:tcPr>
          <w:p w14:paraId="6318E459" w14:textId="77777777" w:rsidR="00A72824" w:rsidRPr="007138D8" w:rsidRDefault="00A72824" w:rsidP="00120A34">
            <w:pPr>
              <w:tabs>
                <w:tab w:val="left" w:pos="8775"/>
                <w:tab w:val="left" w:pos="10305"/>
              </w:tabs>
              <w:jc w:val="both"/>
            </w:pPr>
            <w:r w:rsidRPr="007138D8">
              <w:t>2.64</w:t>
            </w:r>
          </w:p>
        </w:tc>
        <w:tc>
          <w:tcPr>
            <w:tcW w:w="888" w:type="dxa"/>
            <w:vAlign w:val="center"/>
            <w:hideMark/>
          </w:tcPr>
          <w:p w14:paraId="4CFD09F1" w14:textId="77777777" w:rsidR="00A72824" w:rsidRPr="007138D8" w:rsidRDefault="00A72824" w:rsidP="00120A34">
            <w:pPr>
              <w:tabs>
                <w:tab w:val="left" w:pos="8775"/>
                <w:tab w:val="left" w:pos="10305"/>
              </w:tabs>
              <w:jc w:val="both"/>
            </w:pPr>
            <w:r w:rsidRPr="007138D8">
              <w:t>1.04</w:t>
            </w:r>
          </w:p>
        </w:tc>
        <w:tc>
          <w:tcPr>
            <w:tcW w:w="625" w:type="dxa"/>
            <w:vAlign w:val="center"/>
          </w:tcPr>
          <w:p w14:paraId="227333B3" w14:textId="77777777" w:rsidR="00A72824" w:rsidRPr="007138D8" w:rsidRDefault="00A72824" w:rsidP="00120A34">
            <w:pPr>
              <w:tabs>
                <w:tab w:val="left" w:pos="8775"/>
                <w:tab w:val="left" w:pos="10305"/>
              </w:tabs>
              <w:jc w:val="both"/>
            </w:pPr>
            <w:r w:rsidRPr="007138D8">
              <w:t>-.00</w:t>
            </w:r>
          </w:p>
        </w:tc>
        <w:tc>
          <w:tcPr>
            <w:tcW w:w="770" w:type="dxa"/>
            <w:vAlign w:val="center"/>
          </w:tcPr>
          <w:p w14:paraId="38932901" w14:textId="77777777" w:rsidR="00A72824" w:rsidRPr="007138D8" w:rsidRDefault="00A72824" w:rsidP="00120A34">
            <w:pPr>
              <w:tabs>
                <w:tab w:val="left" w:pos="8775"/>
                <w:tab w:val="left" w:pos="10305"/>
              </w:tabs>
              <w:jc w:val="both"/>
            </w:pPr>
            <w:r w:rsidRPr="007138D8">
              <w:t>.11</w:t>
            </w:r>
          </w:p>
        </w:tc>
        <w:tc>
          <w:tcPr>
            <w:tcW w:w="708" w:type="dxa"/>
            <w:vAlign w:val="center"/>
          </w:tcPr>
          <w:p w14:paraId="0098D014" w14:textId="77777777" w:rsidR="00A72824" w:rsidRPr="007138D8" w:rsidRDefault="00A72824" w:rsidP="00120A34">
            <w:pPr>
              <w:tabs>
                <w:tab w:val="left" w:pos="8775"/>
                <w:tab w:val="left" w:pos="10305"/>
              </w:tabs>
              <w:jc w:val="both"/>
            </w:pPr>
            <w:r w:rsidRPr="007138D8">
              <w:t>-</w:t>
            </w:r>
          </w:p>
        </w:tc>
        <w:tc>
          <w:tcPr>
            <w:tcW w:w="915" w:type="dxa"/>
            <w:vAlign w:val="center"/>
          </w:tcPr>
          <w:p w14:paraId="01733209" w14:textId="77777777" w:rsidR="00A72824" w:rsidRPr="007138D8" w:rsidRDefault="00A72824" w:rsidP="00120A34">
            <w:pPr>
              <w:tabs>
                <w:tab w:val="left" w:pos="8775"/>
                <w:tab w:val="left" w:pos="10305"/>
              </w:tabs>
              <w:jc w:val="both"/>
            </w:pPr>
          </w:p>
        </w:tc>
        <w:tc>
          <w:tcPr>
            <w:tcW w:w="915" w:type="dxa"/>
            <w:vAlign w:val="center"/>
          </w:tcPr>
          <w:p w14:paraId="3B534189" w14:textId="77777777" w:rsidR="00A72824" w:rsidRPr="007138D8" w:rsidRDefault="00A72824" w:rsidP="00120A34">
            <w:pPr>
              <w:tabs>
                <w:tab w:val="left" w:pos="8775"/>
                <w:tab w:val="left" w:pos="10305"/>
              </w:tabs>
              <w:jc w:val="both"/>
            </w:pPr>
          </w:p>
        </w:tc>
        <w:tc>
          <w:tcPr>
            <w:tcW w:w="1063" w:type="dxa"/>
            <w:vAlign w:val="center"/>
          </w:tcPr>
          <w:p w14:paraId="040607F0" w14:textId="77777777" w:rsidR="00A72824" w:rsidRPr="007138D8" w:rsidRDefault="00A72824" w:rsidP="00120A34">
            <w:pPr>
              <w:tabs>
                <w:tab w:val="left" w:pos="8775"/>
                <w:tab w:val="left" w:pos="10305"/>
              </w:tabs>
              <w:jc w:val="both"/>
            </w:pPr>
          </w:p>
        </w:tc>
        <w:tc>
          <w:tcPr>
            <w:tcW w:w="819" w:type="dxa"/>
            <w:vAlign w:val="center"/>
          </w:tcPr>
          <w:p w14:paraId="766B4146" w14:textId="77777777" w:rsidR="00A72824" w:rsidRPr="007138D8" w:rsidRDefault="00A72824" w:rsidP="00120A34">
            <w:pPr>
              <w:tabs>
                <w:tab w:val="left" w:pos="8775"/>
                <w:tab w:val="left" w:pos="10305"/>
              </w:tabs>
              <w:jc w:val="both"/>
            </w:pPr>
          </w:p>
        </w:tc>
      </w:tr>
      <w:tr w:rsidR="007138D8" w:rsidRPr="007138D8" w14:paraId="4A8C3842" w14:textId="77777777" w:rsidTr="00183A2B">
        <w:trPr>
          <w:trHeight w:val="704"/>
          <w:jc w:val="center"/>
        </w:trPr>
        <w:tc>
          <w:tcPr>
            <w:tcW w:w="482" w:type="dxa"/>
            <w:vAlign w:val="center"/>
          </w:tcPr>
          <w:p w14:paraId="17184E7B" w14:textId="77777777" w:rsidR="00A72824" w:rsidRPr="007138D8" w:rsidRDefault="00A72824" w:rsidP="00120A34">
            <w:pPr>
              <w:tabs>
                <w:tab w:val="left" w:pos="8775"/>
                <w:tab w:val="left" w:pos="10305"/>
              </w:tabs>
              <w:jc w:val="both"/>
            </w:pPr>
            <w:r w:rsidRPr="007138D8">
              <w:t>4</w:t>
            </w:r>
          </w:p>
        </w:tc>
        <w:tc>
          <w:tcPr>
            <w:tcW w:w="2035" w:type="dxa"/>
            <w:vAlign w:val="center"/>
            <w:hideMark/>
          </w:tcPr>
          <w:p w14:paraId="1A878739" w14:textId="77777777" w:rsidR="00A72824" w:rsidRPr="007138D8" w:rsidRDefault="00A72824" w:rsidP="00120A34">
            <w:pPr>
              <w:tabs>
                <w:tab w:val="left" w:pos="8775"/>
                <w:tab w:val="left" w:pos="10305"/>
              </w:tabs>
              <w:jc w:val="both"/>
            </w:pPr>
            <w:r w:rsidRPr="007138D8">
              <w:t>Psychological contract</w:t>
            </w:r>
          </w:p>
        </w:tc>
        <w:tc>
          <w:tcPr>
            <w:tcW w:w="934" w:type="dxa"/>
            <w:vAlign w:val="center"/>
            <w:hideMark/>
          </w:tcPr>
          <w:p w14:paraId="5C5B5492" w14:textId="77777777" w:rsidR="00A72824" w:rsidRPr="007138D8" w:rsidRDefault="00A72824" w:rsidP="00120A34">
            <w:pPr>
              <w:tabs>
                <w:tab w:val="left" w:pos="8775"/>
                <w:tab w:val="left" w:pos="10305"/>
              </w:tabs>
              <w:jc w:val="both"/>
            </w:pPr>
            <w:r w:rsidRPr="007138D8">
              <w:t>3.06</w:t>
            </w:r>
          </w:p>
        </w:tc>
        <w:tc>
          <w:tcPr>
            <w:tcW w:w="888" w:type="dxa"/>
            <w:vAlign w:val="center"/>
            <w:hideMark/>
          </w:tcPr>
          <w:p w14:paraId="36C84E17" w14:textId="77777777" w:rsidR="00A72824" w:rsidRPr="007138D8" w:rsidRDefault="00A72824" w:rsidP="00120A34">
            <w:pPr>
              <w:tabs>
                <w:tab w:val="left" w:pos="8775"/>
                <w:tab w:val="left" w:pos="10305"/>
              </w:tabs>
              <w:jc w:val="both"/>
            </w:pPr>
            <w:r w:rsidRPr="007138D8">
              <w:t>1.16</w:t>
            </w:r>
          </w:p>
        </w:tc>
        <w:tc>
          <w:tcPr>
            <w:tcW w:w="625" w:type="dxa"/>
            <w:vAlign w:val="center"/>
          </w:tcPr>
          <w:p w14:paraId="3D689528" w14:textId="77777777" w:rsidR="00A72824" w:rsidRPr="007138D8" w:rsidRDefault="00A72824" w:rsidP="00120A34">
            <w:pPr>
              <w:tabs>
                <w:tab w:val="left" w:pos="8775"/>
                <w:tab w:val="left" w:pos="10305"/>
              </w:tabs>
              <w:jc w:val="both"/>
            </w:pPr>
            <w:r w:rsidRPr="007138D8">
              <w:t>.00</w:t>
            </w:r>
          </w:p>
        </w:tc>
        <w:tc>
          <w:tcPr>
            <w:tcW w:w="770" w:type="dxa"/>
            <w:vAlign w:val="center"/>
          </w:tcPr>
          <w:p w14:paraId="702F0056" w14:textId="77777777" w:rsidR="00A72824" w:rsidRPr="007138D8" w:rsidRDefault="00A72824" w:rsidP="00120A34">
            <w:pPr>
              <w:tabs>
                <w:tab w:val="left" w:pos="8775"/>
                <w:tab w:val="left" w:pos="10305"/>
              </w:tabs>
              <w:jc w:val="both"/>
            </w:pPr>
            <w:r w:rsidRPr="007138D8">
              <w:t>.06</w:t>
            </w:r>
          </w:p>
        </w:tc>
        <w:tc>
          <w:tcPr>
            <w:tcW w:w="708" w:type="dxa"/>
            <w:vAlign w:val="center"/>
          </w:tcPr>
          <w:p w14:paraId="562CD728" w14:textId="77777777" w:rsidR="00A72824" w:rsidRPr="007138D8" w:rsidRDefault="00A72824" w:rsidP="00120A34">
            <w:pPr>
              <w:tabs>
                <w:tab w:val="left" w:pos="8775"/>
                <w:tab w:val="left" w:pos="10305"/>
              </w:tabs>
              <w:jc w:val="both"/>
            </w:pPr>
            <w:r w:rsidRPr="007138D8">
              <w:t>-.02</w:t>
            </w:r>
          </w:p>
        </w:tc>
        <w:tc>
          <w:tcPr>
            <w:tcW w:w="915" w:type="dxa"/>
            <w:vAlign w:val="center"/>
          </w:tcPr>
          <w:p w14:paraId="1146F360" w14:textId="77777777" w:rsidR="00A72824" w:rsidRPr="007138D8" w:rsidRDefault="00A72824" w:rsidP="00120A34">
            <w:pPr>
              <w:tabs>
                <w:tab w:val="left" w:pos="8775"/>
                <w:tab w:val="left" w:pos="10305"/>
              </w:tabs>
              <w:jc w:val="both"/>
            </w:pPr>
            <w:r w:rsidRPr="007138D8">
              <w:t>(.90)</w:t>
            </w:r>
          </w:p>
        </w:tc>
        <w:tc>
          <w:tcPr>
            <w:tcW w:w="915" w:type="dxa"/>
            <w:vAlign w:val="center"/>
          </w:tcPr>
          <w:p w14:paraId="69F3552E" w14:textId="77777777" w:rsidR="00A72824" w:rsidRPr="007138D8" w:rsidRDefault="00A72824" w:rsidP="00120A34">
            <w:pPr>
              <w:tabs>
                <w:tab w:val="left" w:pos="8775"/>
                <w:tab w:val="left" w:pos="10305"/>
              </w:tabs>
              <w:jc w:val="both"/>
            </w:pPr>
          </w:p>
        </w:tc>
        <w:tc>
          <w:tcPr>
            <w:tcW w:w="1063" w:type="dxa"/>
            <w:vAlign w:val="center"/>
          </w:tcPr>
          <w:p w14:paraId="3717C577" w14:textId="77777777" w:rsidR="00A72824" w:rsidRPr="007138D8" w:rsidRDefault="00A72824" w:rsidP="00120A34">
            <w:pPr>
              <w:tabs>
                <w:tab w:val="left" w:pos="8775"/>
                <w:tab w:val="left" w:pos="10305"/>
              </w:tabs>
              <w:jc w:val="both"/>
            </w:pPr>
          </w:p>
        </w:tc>
        <w:tc>
          <w:tcPr>
            <w:tcW w:w="819" w:type="dxa"/>
            <w:vAlign w:val="center"/>
          </w:tcPr>
          <w:p w14:paraId="25FF3475" w14:textId="77777777" w:rsidR="00A72824" w:rsidRPr="007138D8" w:rsidRDefault="00A72824" w:rsidP="00120A34">
            <w:pPr>
              <w:tabs>
                <w:tab w:val="left" w:pos="8775"/>
                <w:tab w:val="left" w:pos="10305"/>
              </w:tabs>
              <w:jc w:val="both"/>
            </w:pPr>
          </w:p>
        </w:tc>
      </w:tr>
      <w:tr w:rsidR="007138D8" w:rsidRPr="007138D8" w14:paraId="2C32C30C" w14:textId="77777777" w:rsidTr="00183A2B">
        <w:trPr>
          <w:trHeight w:val="704"/>
          <w:jc w:val="center"/>
        </w:trPr>
        <w:tc>
          <w:tcPr>
            <w:tcW w:w="482" w:type="dxa"/>
            <w:vAlign w:val="center"/>
          </w:tcPr>
          <w:p w14:paraId="005707F5" w14:textId="77777777" w:rsidR="00A72824" w:rsidRPr="007138D8" w:rsidRDefault="00A72824" w:rsidP="00120A34">
            <w:pPr>
              <w:tabs>
                <w:tab w:val="left" w:pos="8775"/>
                <w:tab w:val="left" w:pos="10305"/>
              </w:tabs>
              <w:jc w:val="both"/>
            </w:pPr>
            <w:r w:rsidRPr="007138D8">
              <w:t>5</w:t>
            </w:r>
          </w:p>
        </w:tc>
        <w:tc>
          <w:tcPr>
            <w:tcW w:w="2035" w:type="dxa"/>
            <w:vAlign w:val="center"/>
            <w:hideMark/>
          </w:tcPr>
          <w:p w14:paraId="25D8FC86" w14:textId="77777777" w:rsidR="00A72824" w:rsidRPr="007138D8" w:rsidRDefault="00A72824" w:rsidP="00120A34">
            <w:pPr>
              <w:tabs>
                <w:tab w:val="left" w:pos="8775"/>
                <w:tab w:val="left" w:pos="10305"/>
              </w:tabs>
              <w:jc w:val="both"/>
            </w:pPr>
            <w:r w:rsidRPr="007138D8">
              <w:t>Trust</w:t>
            </w:r>
          </w:p>
        </w:tc>
        <w:tc>
          <w:tcPr>
            <w:tcW w:w="934" w:type="dxa"/>
            <w:vAlign w:val="center"/>
            <w:hideMark/>
          </w:tcPr>
          <w:p w14:paraId="105C7534" w14:textId="77777777" w:rsidR="00A72824" w:rsidRPr="007138D8" w:rsidRDefault="00A72824" w:rsidP="00120A34">
            <w:pPr>
              <w:tabs>
                <w:tab w:val="left" w:pos="8775"/>
                <w:tab w:val="left" w:pos="10305"/>
              </w:tabs>
              <w:jc w:val="both"/>
            </w:pPr>
            <w:r w:rsidRPr="007138D8">
              <w:t>3.33</w:t>
            </w:r>
          </w:p>
        </w:tc>
        <w:tc>
          <w:tcPr>
            <w:tcW w:w="888" w:type="dxa"/>
            <w:vAlign w:val="center"/>
            <w:hideMark/>
          </w:tcPr>
          <w:p w14:paraId="4609098E" w14:textId="77777777" w:rsidR="00A72824" w:rsidRPr="007138D8" w:rsidRDefault="00A72824" w:rsidP="00120A34">
            <w:pPr>
              <w:tabs>
                <w:tab w:val="left" w:pos="8775"/>
                <w:tab w:val="left" w:pos="10305"/>
              </w:tabs>
              <w:jc w:val="both"/>
            </w:pPr>
            <w:r w:rsidRPr="007138D8">
              <w:t>1.31</w:t>
            </w:r>
          </w:p>
        </w:tc>
        <w:tc>
          <w:tcPr>
            <w:tcW w:w="625" w:type="dxa"/>
            <w:vAlign w:val="center"/>
            <w:hideMark/>
          </w:tcPr>
          <w:p w14:paraId="63C0793B" w14:textId="77777777" w:rsidR="00A72824" w:rsidRPr="007138D8" w:rsidRDefault="00A72824" w:rsidP="00120A34">
            <w:pPr>
              <w:tabs>
                <w:tab w:val="left" w:pos="8775"/>
                <w:tab w:val="left" w:pos="10305"/>
              </w:tabs>
              <w:jc w:val="both"/>
            </w:pPr>
            <w:r w:rsidRPr="007138D8">
              <w:t>.06</w:t>
            </w:r>
          </w:p>
        </w:tc>
        <w:tc>
          <w:tcPr>
            <w:tcW w:w="770" w:type="dxa"/>
            <w:vAlign w:val="center"/>
          </w:tcPr>
          <w:p w14:paraId="69F7B4CE" w14:textId="77777777" w:rsidR="00A72824" w:rsidRPr="007138D8" w:rsidRDefault="00A72824" w:rsidP="00120A34">
            <w:pPr>
              <w:tabs>
                <w:tab w:val="left" w:pos="8775"/>
                <w:tab w:val="left" w:pos="10305"/>
              </w:tabs>
              <w:jc w:val="both"/>
            </w:pPr>
            <w:r w:rsidRPr="007138D8">
              <w:t>.01</w:t>
            </w:r>
          </w:p>
        </w:tc>
        <w:tc>
          <w:tcPr>
            <w:tcW w:w="708" w:type="dxa"/>
            <w:vAlign w:val="center"/>
          </w:tcPr>
          <w:p w14:paraId="5EE04403" w14:textId="77777777" w:rsidR="00A72824" w:rsidRPr="007138D8" w:rsidRDefault="00A72824" w:rsidP="00120A34">
            <w:pPr>
              <w:tabs>
                <w:tab w:val="left" w:pos="8775"/>
                <w:tab w:val="left" w:pos="10305"/>
              </w:tabs>
              <w:jc w:val="both"/>
            </w:pPr>
            <w:r w:rsidRPr="007138D8">
              <w:t>-.00</w:t>
            </w:r>
          </w:p>
        </w:tc>
        <w:tc>
          <w:tcPr>
            <w:tcW w:w="915" w:type="dxa"/>
            <w:vAlign w:val="center"/>
          </w:tcPr>
          <w:p w14:paraId="5C9E069F" w14:textId="77777777" w:rsidR="00A72824" w:rsidRPr="007138D8" w:rsidRDefault="00A72824" w:rsidP="00120A34">
            <w:pPr>
              <w:tabs>
                <w:tab w:val="left" w:pos="8775"/>
                <w:tab w:val="left" w:pos="10305"/>
              </w:tabs>
              <w:jc w:val="both"/>
            </w:pPr>
            <w:r w:rsidRPr="007138D8">
              <w:t>.47**</w:t>
            </w:r>
          </w:p>
        </w:tc>
        <w:tc>
          <w:tcPr>
            <w:tcW w:w="915" w:type="dxa"/>
            <w:vAlign w:val="center"/>
          </w:tcPr>
          <w:p w14:paraId="3570F24E" w14:textId="77777777" w:rsidR="00A72824" w:rsidRPr="007138D8" w:rsidRDefault="00A72824" w:rsidP="00120A34">
            <w:pPr>
              <w:tabs>
                <w:tab w:val="left" w:pos="8775"/>
                <w:tab w:val="left" w:pos="10305"/>
              </w:tabs>
              <w:jc w:val="both"/>
            </w:pPr>
            <w:r w:rsidRPr="007138D8">
              <w:t>(.96)</w:t>
            </w:r>
          </w:p>
        </w:tc>
        <w:tc>
          <w:tcPr>
            <w:tcW w:w="1063" w:type="dxa"/>
            <w:vAlign w:val="center"/>
          </w:tcPr>
          <w:p w14:paraId="490C6D6E" w14:textId="77777777" w:rsidR="00A72824" w:rsidRPr="007138D8" w:rsidRDefault="00A72824" w:rsidP="00120A34">
            <w:pPr>
              <w:tabs>
                <w:tab w:val="left" w:pos="8775"/>
                <w:tab w:val="left" w:pos="10305"/>
              </w:tabs>
              <w:jc w:val="both"/>
            </w:pPr>
          </w:p>
        </w:tc>
        <w:tc>
          <w:tcPr>
            <w:tcW w:w="819" w:type="dxa"/>
            <w:vAlign w:val="center"/>
          </w:tcPr>
          <w:p w14:paraId="7CCEFFA8" w14:textId="77777777" w:rsidR="00A72824" w:rsidRPr="007138D8" w:rsidRDefault="00A72824" w:rsidP="00120A34">
            <w:pPr>
              <w:tabs>
                <w:tab w:val="left" w:pos="8775"/>
                <w:tab w:val="left" w:pos="10305"/>
              </w:tabs>
              <w:jc w:val="both"/>
            </w:pPr>
          </w:p>
        </w:tc>
      </w:tr>
      <w:tr w:rsidR="007138D8" w:rsidRPr="007138D8" w14:paraId="3AD7D1E7" w14:textId="77777777" w:rsidTr="00183A2B">
        <w:trPr>
          <w:trHeight w:val="747"/>
          <w:jc w:val="center"/>
        </w:trPr>
        <w:tc>
          <w:tcPr>
            <w:tcW w:w="482" w:type="dxa"/>
            <w:vAlign w:val="center"/>
          </w:tcPr>
          <w:p w14:paraId="3271764E" w14:textId="77777777" w:rsidR="00A72824" w:rsidRPr="007138D8" w:rsidRDefault="00A72824" w:rsidP="00120A34">
            <w:pPr>
              <w:tabs>
                <w:tab w:val="left" w:pos="8775"/>
                <w:tab w:val="left" w:pos="10305"/>
              </w:tabs>
              <w:jc w:val="both"/>
            </w:pPr>
            <w:r w:rsidRPr="007138D8">
              <w:t>6</w:t>
            </w:r>
          </w:p>
        </w:tc>
        <w:tc>
          <w:tcPr>
            <w:tcW w:w="2035" w:type="dxa"/>
            <w:vAlign w:val="center"/>
            <w:hideMark/>
          </w:tcPr>
          <w:p w14:paraId="45D46B19" w14:textId="77777777" w:rsidR="00A72824" w:rsidRPr="007138D8" w:rsidRDefault="00A72824" w:rsidP="00120A34">
            <w:pPr>
              <w:tabs>
                <w:tab w:val="left" w:pos="8775"/>
                <w:tab w:val="left" w:pos="10305"/>
              </w:tabs>
              <w:jc w:val="both"/>
            </w:pPr>
            <w:r w:rsidRPr="007138D8">
              <w:t>Organizational commitment</w:t>
            </w:r>
          </w:p>
        </w:tc>
        <w:tc>
          <w:tcPr>
            <w:tcW w:w="934" w:type="dxa"/>
            <w:vAlign w:val="center"/>
            <w:hideMark/>
          </w:tcPr>
          <w:p w14:paraId="011D72FB" w14:textId="77777777" w:rsidR="00A72824" w:rsidRPr="007138D8" w:rsidRDefault="00A72824" w:rsidP="00120A34">
            <w:pPr>
              <w:tabs>
                <w:tab w:val="left" w:pos="8775"/>
                <w:tab w:val="left" w:pos="10305"/>
              </w:tabs>
              <w:jc w:val="both"/>
            </w:pPr>
            <w:r w:rsidRPr="007138D8">
              <w:t>3.19</w:t>
            </w:r>
          </w:p>
        </w:tc>
        <w:tc>
          <w:tcPr>
            <w:tcW w:w="888" w:type="dxa"/>
            <w:vAlign w:val="center"/>
            <w:hideMark/>
          </w:tcPr>
          <w:p w14:paraId="61D0B2F1" w14:textId="77777777" w:rsidR="00A72824" w:rsidRPr="007138D8" w:rsidRDefault="00A72824" w:rsidP="00120A34">
            <w:pPr>
              <w:tabs>
                <w:tab w:val="left" w:pos="8775"/>
                <w:tab w:val="left" w:pos="10305"/>
              </w:tabs>
              <w:jc w:val="both"/>
            </w:pPr>
            <w:r w:rsidRPr="007138D8">
              <w:t>1.20</w:t>
            </w:r>
          </w:p>
        </w:tc>
        <w:tc>
          <w:tcPr>
            <w:tcW w:w="625" w:type="dxa"/>
            <w:vAlign w:val="center"/>
            <w:hideMark/>
          </w:tcPr>
          <w:p w14:paraId="1E6DA464" w14:textId="77777777" w:rsidR="00A72824" w:rsidRPr="007138D8" w:rsidRDefault="00A72824" w:rsidP="00120A34">
            <w:pPr>
              <w:tabs>
                <w:tab w:val="left" w:pos="8775"/>
                <w:tab w:val="left" w:pos="10305"/>
              </w:tabs>
              <w:jc w:val="both"/>
            </w:pPr>
            <w:r w:rsidRPr="007138D8">
              <w:t>.04</w:t>
            </w:r>
          </w:p>
        </w:tc>
        <w:tc>
          <w:tcPr>
            <w:tcW w:w="770" w:type="dxa"/>
            <w:vAlign w:val="center"/>
            <w:hideMark/>
          </w:tcPr>
          <w:p w14:paraId="6F48514A" w14:textId="77777777" w:rsidR="00A72824" w:rsidRPr="007138D8" w:rsidRDefault="00A72824" w:rsidP="00120A34">
            <w:pPr>
              <w:tabs>
                <w:tab w:val="left" w:pos="8775"/>
                <w:tab w:val="left" w:pos="10305"/>
              </w:tabs>
              <w:jc w:val="both"/>
            </w:pPr>
            <w:r w:rsidRPr="007138D8">
              <w:t>.07</w:t>
            </w:r>
          </w:p>
        </w:tc>
        <w:tc>
          <w:tcPr>
            <w:tcW w:w="708" w:type="dxa"/>
            <w:vAlign w:val="center"/>
          </w:tcPr>
          <w:p w14:paraId="4463703B" w14:textId="77777777" w:rsidR="00A72824" w:rsidRPr="007138D8" w:rsidRDefault="00A72824" w:rsidP="00120A34">
            <w:pPr>
              <w:tabs>
                <w:tab w:val="left" w:pos="8775"/>
                <w:tab w:val="left" w:pos="10305"/>
              </w:tabs>
              <w:jc w:val="both"/>
            </w:pPr>
            <w:r w:rsidRPr="007138D8">
              <w:t>.03</w:t>
            </w:r>
          </w:p>
        </w:tc>
        <w:tc>
          <w:tcPr>
            <w:tcW w:w="915" w:type="dxa"/>
            <w:vAlign w:val="center"/>
          </w:tcPr>
          <w:p w14:paraId="35D55416" w14:textId="77777777" w:rsidR="00A72824" w:rsidRPr="007138D8" w:rsidRDefault="00A72824" w:rsidP="00120A34">
            <w:pPr>
              <w:tabs>
                <w:tab w:val="left" w:pos="8775"/>
                <w:tab w:val="left" w:pos="10305"/>
              </w:tabs>
              <w:jc w:val="both"/>
            </w:pPr>
            <w:r w:rsidRPr="007138D8">
              <w:t>.40**</w:t>
            </w:r>
          </w:p>
        </w:tc>
        <w:tc>
          <w:tcPr>
            <w:tcW w:w="915" w:type="dxa"/>
            <w:vAlign w:val="center"/>
          </w:tcPr>
          <w:p w14:paraId="5407A2DD" w14:textId="77777777" w:rsidR="00A72824" w:rsidRPr="007138D8" w:rsidRDefault="00A72824" w:rsidP="00120A34">
            <w:pPr>
              <w:tabs>
                <w:tab w:val="left" w:pos="8775"/>
                <w:tab w:val="left" w:pos="10305"/>
              </w:tabs>
              <w:jc w:val="both"/>
            </w:pPr>
            <w:r w:rsidRPr="007138D8">
              <w:t>.59**</w:t>
            </w:r>
          </w:p>
        </w:tc>
        <w:tc>
          <w:tcPr>
            <w:tcW w:w="1063" w:type="dxa"/>
            <w:vAlign w:val="center"/>
          </w:tcPr>
          <w:p w14:paraId="43FFCE14" w14:textId="77777777" w:rsidR="00A72824" w:rsidRPr="007138D8" w:rsidRDefault="00A72824" w:rsidP="00120A34">
            <w:pPr>
              <w:tabs>
                <w:tab w:val="left" w:pos="8775"/>
                <w:tab w:val="left" w:pos="10305"/>
              </w:tabs>
              <w:jc w:val="both"/>
            </w:pPr>
            <w:r w:rsidRPr="007138D8">
              <w:t>(.95)</w:t>
            </w:r>
          </w:p>
        </w:tc>
        <w:tc>
          <w:tcPr>
            <w:tcW w:w="819" w:type="dxa"/>
            <w:vAlign w:val="center"/>
          </w:tcPr>
          <w:p w14:paraId="4791AE48" w14:textId="77777777" w:rsidR="00A72824" w:rsidRPr="007138D8" w:rsidRDefault="00A72824" w:rsidP="00120A34">
            <w:pPr>
              <w:tabs>
                <w:tab w:val="left" w:pos="8775"/>
                <w:tab w:val="left" w:pos="10305"/>
              </w:tabs>
              <w:jc w:val="both"/>
            </w:pPr>
          </w:p>
        </w:tc>
      </w:tr>
      <w:tr w:rsidR="007138D8" w:rsidRPr="007138D8" w14:paraId="5B06C616" w14:textId="77777777" w:rsidTr="00183A2B">
        <w:trPr>
          <w:trHeight w:val="795"/>
          <w:jc w:val="center"/>
        </w:trPr>
        <w:tc>
          <w:tcPr>
            <w:tcW w:w="482" w:type="dxa"/>
            <w:tcBorders>
              <w:bottom w:val="single" w:sz="4" w:space="0" w:color="auto"/>
            </w:tcBorders>
            <w:vAlign w:val="center"/>
          </w:tcPr>
          <w:p w14:paraId="049C6B48" w14:textId="77777777" w:rsidR="00A72824" w:rsidRPr="007138D8" w:rsidRDefault="00A72824" w:rsidP="00120A34">
            <w:pPr>
              <w:tabs>
                <w:tab w:val="left" w:pos="8775"/>
                <w:tab w:val="left" w:pos="10305"/>
              </w:tabs>
              <w:jc w:val="both"/>
            </w:pPr>
            <w:r w:rsidRPr="007138D8">
              <w:t>7</w:t>
            </w:r>
          </w:p>
        </w:tc>
        <w:tc>
          <w:tcPr>
            <w:tcW w:w="2035" w:type="dxa"/>
            <w:tcBorders>
              <w:bottom w:val="single" w:sz="4" w:space="0" w:color="auto"/>
            </w:tcBorders>
            <w:vAlign w:val="center"/>
            <w:hideMark/>
          </w:tcPr>
          <w:p w14:paraId="7FCC4CE5" w14:textId="77777777" w:rsidR="00A72824" w:rsidRPr="007138D8" w:rsidRDefault="00A72824" w:rsidP="00120A34">
            <w:pPr>
              <w:tabs>
                <w:tab w:val="left" w:pos="8775"/>
                <w:tab w:val="left" w:pos="10305"/>
              </w:tabs>
              <w:jc w:val="both"/>
            </w:pPr>
            <w:r w:rsidRPr="007138D8">
              <w:t>AI</w:t>
            </w:r>
            <w:r w:rsidR="003C3559" w:rsidRPr="007138D8">
              <w:t xml:space="preserve"> Acceptance</w:t>
            </w:r>
          </w:p>
        </w:tc>
        <w:tc>
          <w:tcPr>
            <w:tcW w:w="934" w:type="dxa"/>
            <w:tcBorders>
              <w:bottom w:val="single" w:sz="4" w:space="0" w:color="auto"/>
            </w:tcBorders>
            <w:vAlign w:val="center"/>
            <w:hideMark/>
          </w:tcPr>
          <w:p w14:paraId="5BAEDFAE" w14:textId="77777777" w:rsidR="00A72824" w:rsidRPr="007138D8" w:rsidRDefault="00A72824" w:rsidP="00120A34">
            <w:pPr>
              <w:tabs>
                <w:tab w:val="left" w:pos="8775"/>
                <w:tab w:val="left" w:pos="10305"/>
              </w:tabs>
              <w:jc w:val="both"/>
            </w:pPr>
            <w:r w:rsidRPr="007138D8">
              <w:t>2.84</w:t>
            </w:r>
          </w:p>
        </w:tc>
        <w:tc>
          <w:tcPr>
            <w:tcW w:w="888" w:type="dxa"/>
            <w:tcBorders>
              <w:bottom w:val="single" w:sz="4" w:space="0" w:color="auto"/>
            </w:tcBorders>
            <w:vAlign w:val="center"/>
            <w:hideMark/>
          </w:tcPr>
          <w:p w14:paraId="5EC80507" w14:textId="77777777" w:rsidR="00A72824" w:rsidRPr="007138D8" w:rsidRDefault="00A72824" w:rsidP="00120A34">
            <w:pPr>
              <w:tabs>
                <w:tab w:val="left" w:pos="8775"/>
                <w:tab w:val="left" w:pos="10305"/>
              </w:tabs>
              <w:jc w:val="both"/>
            </w:pPr>
            <w:r w:rsidRPr="007138D8">
              <w:t>1.20</w:t>
            </w:r>
          </w:p>
        </w:tc>
        <w:tc>
          <w:tcPr>
            <w:tcW w:w="625" w:type="dxa"/>
            <w:tcBorders>
              <w:bottom w:val="single" w:sz="4" w:space="0" w:color="auto"/>
            </w:tcBorders>
            <w:vAlign w:val="center"/>
            <w:hideMark/>
          </w:tcPr>
          <w:p w14:paraId="3A75D02F" w14:textId="77777777" w:rsidR="00A72824" w:rsidRPr="007138D8" w:rsidRDefault="00A72824" w:rsidP="00120A34">
            <w:pPr>
              <w:tabs>
                <w:tab w:val="left" w:pos="8775"/>
                <w:tab w:val="left" w:pos="10305"/>
              </w:tabs>
              <w:jc w:val="both"/>
            </w:pPr>
            <w:r w:rsidRPr="007138D8">
              <w:t>.04</w:t>
            </w:r>
          </w:p>
        </w:tc>
        <w:tc>
          <w:tcPr>
            <w:tcW w:w="770" w:type="dxa"/>
            <w:tcBorders>
              <w:bottom w:val="single" w:sz="4" w:space="0" w:color="auto"/>
            </w:tcBorders>
            <w:vAlign w:val="center"/>
            <w:hideMark/>
          </w:tcPr>
          <w:p w14:paraId="54C07177" w14:textId="77777777" w:rsidR="00A72824" w:rsidRPr="007138D8" w:rsidRDefault="00A72824" w:rsidP="00120A34">
            <w:pPr>
              <w:tabs>
                <w:tab w:val="left" w:pos="8775"/>
                <w:tab w:val="left" w:pos="10305"/>
              </w:tabs>
              <w:jc w:val="both"/>
            </w:pPr>
            <w:r w:rsidRPr="007138D8">
              <w:t>.16*</w:t>
            </w:r>
          </w:p>
        </w:tc>
        <w:tc>
          <w:tcPr>
            <w:tcW w:w="708" w:type="dxa"/>
            <w:tcBorders>
              <w:bottom w:val="single" w:sz="4" w:space="0" w:color="auto"/>
            </w:tcBorders>
            <w:vAlign w:val="center"/>
            <w:hideMark/>
          </w:tcPr>
          <w:p w14:paraId="75CDCCA0" w14:textId="77777777" w:rsidR="00A72824" w:rsidRPr="007138D8" w:rsidRDefault="00A72824" w:rsidP="00120A34">
            <w:pPr>
              <w:tabs>
                <w:tab w:val="left" w:pos="8775"/>
                <w:tab w:val="left" w:pos="10305"/>
              </w:tabs>
              <w:jc w:val="both"/>
            </w:pPr>
            <w:r w:rsidRPr="007138D8">
              <w:t>-.01</w:t>
            </w:r>
          </w:p>
        </w:tc>
        <w:tc>
          <w:tcPr>
            <w:tcW w:w="915" w:type="dxa"/>
            <w:tcBorders>
              <w:bottom w:val="single" w:sz="4" w:space="0" w:color="auto"/>
            </w:tcBorders>
            <w:vAlign w:val="center"/>
          </w:tcPr>
          <w:p w14:paraId="733013A1" w14:textId="77777777" w:rsidR="00A72824" w:rsidRPr="007138D8" w:rsidRDefault="00A72824" w:rsidP="00120A34">
            <w:pPr>
              <w:tabs>
                <w:tab w:val="left" w:pos="8775"/>
                <w:tab w:val="left" w:pos="10305"/>
              </w:tabs>
              <w:jc w:val="both"/>
            </w:pPr>
            <w:r w:rsidRPr="007138D8">
              <w:t>.44**</w:t>
            </w:r>
          </w:p>
        </w:tc>
        <w:tc>
          <w:tcPr>
            <w:tcW w:w="915" w:type="dxa"/>
            <w:tcBorders>
              <w:bottom w:val="single" w:sz="4" w:space="0" w:color="auto"/>
            </w:tcBorders>
            <w:vAlign w:val="center"/>
          </w:tcPr>
          <w:p w14:paraId="166DEAEC" w14:textId="77777777" w:rsidR="00A72824" w:rsidRPr="007138D8" w:rsidRDefault="00A72824" w:rsidP="00120A34">
            <w:pPr>
              <w:tabs>
                <w:tab w:val="left" w:pos="8775"/>
                <w:tab w:val="left" w:pos="10305"/>
              </w:tabs>
              <w:jc w:val="both"/>
            </w:pPr>
            <w:r w:rsidRPr="007138D8">
              <w:t>.46**</w:t>
            </w:r>
          </w:p>
        </w:tc>
        <w:tc>
          <w:tcPr>
            <w:tcW w:w="1063" w:type="dxa"/>
            <w:tcBorders>
              <w:bottom w:val="single" w:sz="4" w:space="0" w:color="auto"/>
            </w:tcBorders>
            <w:vAlign w:val="center"/>
          </w:tcPr>
          <w:p w14:paraId="11DA14B6" w14:textId="77777777" w:rsidR="00A72824" w:rsidRPr="007138D8" w:rsidRDefault="00A72824" w:rsidP="00120A34">
            <w:pPr>
              <w:tabs>
                <w:tab w:val="left" w:pos="8775"/>
                <w:tab w:val="left" w:pos="10305"/>
              </w:tabs>
              <w:jc w:val="both"/>
            </w:pPr>
            <w:r w:rsidRPr="007138D8">
              <w:t>.45**</w:t>
            </w:r>
          </w:p>
        </w:tc>
        <w:tc>
          <w:tcPr>
            <w:tcW w:w="819" w:type="dxa"/>
            <w:tcBorders>
              <w:bottom w:val="single" w:sz="4" w:space="0" w:color="auto"/>
            </w:tcBorders>
            <w:vAlign w:val="center"/>
          </w:tcPr>
          <w:p w14:paraId="76594DB3" w14:textId="77777777" w:rsidR="00A72824" w:rsidRPr="007138D8" w:rsidRDefault="00A72824" w:rsidP="00120A34">
            <w:pPr>
              <w:tabs>
                <w:tab w:val="left" w:pos="8775"/>
                <w:tab w:val="left" w:pos="10305"/>
              </w:tabs>
              <w:jc w:val="both"/>
            </w:pPr>
            <w:r w:rsidRPr="007138D8">
              <w:t>(.86)</w:t>
            </w:r>
          </w:p>
        </w:tc>
      </w:tr>
    </w:tbl>
    <w:p w14:paraId="2DEA0FC9" w14:textId="77777777" w:rsidR="00A72824" w:rsidRPr="007138D8" w:rsidRDefault="00A72824" w:rsidP="00120A34">
      <w:pPr>
        <w:tabs>
          <w:tab w:val="left" w:pos="8775"/>
          <w:tab w:val="left" w:pos="10305"/>
        </w:tabs>
        <w:jc w:val="both"/>
        <w:rPr>
          <w:sz w:val="20"/>
          <w:szCs w:val="20"/>
        </w:rPr>
      </w:pPr>
      <w:r w:rsidRPr="007138D8">
        <w:rPr>
          <w:sz w:val="20"/>
          <w:szCs w:val="20"/>
        </w:rPr>
        <w:t>Note: *p&lt;.05; **p&lt;.01 (Two-tailed); figures in parentheses are alpha internal consistency reliabilities; for gender, 0 = ‘female’, 1 = ‘male’, for tenure, 1 = ‘less than 1 year,’ 2 = between ‘1–3 years,’ 3 = between ‘4-5 years’; and 4 = ‘6 years and above.</w:t>
      </w:r>
    </w:p>
    <w:p w14:paraId="076C6B0A" w14:textId="77777777" w:rsidR="00781D16" w:rsidRPr="007138D8" w:rsidRDefault="00781D16" w:rsidP="00120A34">
      <w:pPr>
        <w:jc w:val="both"/>
        <w:rPr>
          <w:b/>
        </w:rPr>
      </w:pPr>
    </w:p>
    <w:p w14:paraId="65530A04" w14:textId="77777777" w:rsidR="00FB5C6A" w:rsidRPr="007138D8" w:rsidRDefault="00B23244" w:rsidP="00120A34">
      <w:pPr>
        <w:spacing w:line="480" w:lineRule="auto"/>
        <w:jc w:val="both"/>
        <w:rPr>
          <w:b/>
          <w:sz w:val="28"/>
          <w:szCs w:val="28"/>
        </w:rPr>
      </w:pPr>
      <w:r w:rsidRPr="007138D8">
        <w:rPr>
          <w:b/>
          <w:sz w:val="28"/>
          <w:szCs w:val="28"/>
        </w:rPr>
        <w:t>5</w:t>
      </w:r>
      <w:r w:rsidR="007940B8" w:rsidRPr="007138D8">
        <w:rPr>
          <w:b/>
          <w:sz w:val="28"/>
          <w:szCs w:val="28"/>
        </w:rPr>
        <w:t>.</w:t>
      </w:r>
      <w:r w:rsidR="00E21EB3" w:rsidRPr="007138D8">
        <w:rPr>
          <w:b/>
          <w:sz w:val="28"/>
          <w:szCs w:val="28"/>
        </w:rPr>
        <w:t xml:space="preserve"> Analysis and Results</w:t>
      </w:r>
    </w:p>
    <w:p w14:paraId="419BC4AB" w14:textId="009D8777" w:rsidR="00611C3D" w:rsidRPr="007138D8" w:rsidRDefault="002704A2" w:rsidP="00423685">
      <w:pPr>
        <w:pStyle w:val="CommentText"/>
        <w:spacing w:after="0" w:line="480" w:lineRule="auto"/>
        <w:jc w:val="both"/>
        <w:rPr>
          <w:b/>
        </w:rPr>
      </w:pPr>
      <w:r w:rsidRPr="007138D8">
        <w:rPr>
          <w:sz w:val="24"/>
          <w:szCs w:val="24"/>
        </w:rPr>
        <w:t>SPSS process mac</w:t>
      </w:r>
      <w:r w:rsidR="00C65B08" w:rsidRPr="007138D8">
        <w:rPr>
          <w:sz w:val="24"/>
          <w:szCs w:val="24"/>
        </w:rPr>
        <w:t xml:space="preserve">ro was used to test the moderated mediation model using </w:t>
      </w:r>
      <w:r w:rsidR="0057171F" w:rsidRPr="007138D8">
        <w:rPr>
          <w:sz w:val="24"/>
          <w:szCs w:val="24"/>
        </w:rPr>
        <w:t xml:space="preserve">a </w:t>
      </w:r>
      <w:r w:rsidR="00C65B08" w:rsidRPr="007138D8">
        <w:rPr>
          <w:sz w:val="24"/>
          <w:szCs w:val="24"/>
        </w:rPr>
        <w:t>two</w:t>
      </w:r>
      <w:r w:rsidR="0057171F" w:rsidRPr="007138D8">
        <w:rPr>
          <w:sz w:val="24"/>
          <w:szCs w:val="24"/>
        </w:rPr>
        <w:t>-</w:t>
      </w:r>
      <w:r w:rsidR="00C65B08" w:rsidRPr="007138D8">
        <w:rPr>
          <w:sz w:val="24"/>
          <w:szCs w:val="24"/>
        </w:rPr>
        <w:t>step approach</w:t>
      </w:r>
      <w:r w:rsidR="00456E63" w:rsidRPr="007138D8">
        <w:rPr>
          <w:sz w:val="24"/>
          <w:szCs w:val="24"/>
        </w:rPr>
        <w:fldChar w:fldCharType="begin" w:fldLock="1"/>
      </w:r>
      <w:r w:rsidR="00A72AE3" w:rsidRPr="007138D8">
        <w:rPr>
          <w:sz w:val="24"/>
          <w:szCs w:val="24"/>
        </w:rPr>
        <w:instrText>ADDIN CSL_CITATION {"citationItems":[{"id":"ITEM-1","itemData":{"author":[{"dropping-particle":"","family":"Hayes","given":"A. F.","non-dropping-particle":"","parse-names":false,"suffix":""}],"id":"ITEM-1","issued":{"date-parts":[["2013"]]},"title":"Introduction to mediation, moderation, and conditional process analysis: A regression-based approach.","type":"book"},"uris":["http://www.mendeley.com/documents/?uuid=bc96b17d-b2bb-326d-ae85-e4895e8cd6e0"]}],"mendeley":{"formattedCitation":"(Hayes, 2013)","plainTextFormattedCitation":"(Hayes, 2013)","previouslyFormattedCitation":"(Hayes, 2013)"},"properties":{"noteIndex":0},"schema":"https://github.com/citation-style-language/schema/raw/master/csl-citation.json"}</w:instrText>
      </w:r>
      <w:r w:rsidR="00456E63" w:rsidRPr="007138D8">
        <w:rPr>
          <w:sz w:val="24"/>
          <w:szCs w:val="24"/>
        </w:rPr>
        <w:fldChar w:fldCharType="separate"/>
      </w:r>
      <w:r w:rsidR="005C6202" w:rsidRPr="007138D8">
        <w:rPr>
          <w:noProof/>
          <w:sz w:val="24"/>
          <w:szCs w:val="24"/>
        </w:rPr>
        <w:t>(Hayes, 2013)</w:t>
      </w:r>
      <w:r w:rsidR="00456E63" w:rsidRPr="007138D8">
        <w:rPr>
          <w:sz w:val="24"/>
          <w:szCs w:val="24"/>
        </w:rPr>
        <w:fldChar w:fldCharType="end"/>
      </w:r>
      <w:r w:rsidR="00C65B08" w:rsidRPr="007138D8">
        <w:rPr>
          <w:sz w:val="24"/>
          <w:szCs w:val="24"/>
        </w:rPr>
        <w:t xml:space="preserve">.  In the first step, model 4 was used for simple mediation. Table 2 </w:t>
      </w:r>
      <w:r w:rsidR="0057171F" w:rsidRPr="007138D8">
        <w:rPr>
          <w:sz w:val="24"/>
          <w:szCs w:val="24"/>
        </w:rPr>
        <w:t>shows</w:t>
      </w:r>
      <w:r w:rsidR="00423685" w:rsidRPr="007138D8">
        <w:rPr>
          <w:sz w:val="24"/>
          <w:szCs w:val="24"/>
        </w:rPr>
        <w:t xml:space="preserve"> </w:t>
      </w:r>
      <w:r w:rsidR="00C65B08" w:rsidRPr="007138D8">
        <w:rPr>
          <w:sz w:val="24"/>
          <w:szCs w:val="24"/>
        </w:rPr>
        <w:t xml:space="preserve">the results of mediation such that PC fulfillment has a positive relationship with trust </w:t>
      </w:r>
      <w:r w:rsidR="00D25AB1" w:rsidRPr="007138D8">
        <w:rPr>
          <w:rFonts w:ascii="AdvOT46dcae81" w:hAnsi="AdvOT46dcae81"/>
        </w:rPr>
        <w:t>(</w:t>
      </w:r>
      <w:r w:rsidR="00D25AB1" w:rsidRPr="007138D8">
        <w:rPr>
          <w:sz w:val="24"/>
          <w:szCs w:val="24"/>
        </w:rPr>
        <w:t>β = 0.</w:t>
      </w:r>
      <w:r w:rsidR="00F56B96" w:rsidRPr="007138D8">
        <w:rPr>
          <w:sz w:val="24"/>
          <w:szCs w:val="24"/>
        </w:rPr>
        <w:t>53</w:t>
      </w:r>
      <w:r w:rsidR="00D25AB1" w:rsidRPr="007138D8">
        <w:rPr>
          <w:sz w:val="24"/>
          <w:szCs w:val="24"/>
        </w:rPr>
        <w:t xml:space="preserve">, t = </w:t>
      </w:r>
      <w:r w:rsidR="00F56B96" w:rsidRPr="007138D8">
        <w:rPr>
          <w:sz w:val="24"/>
          <w:szCs w:val="24"/>
        </w:rPr>
        <w:t>7</w:t>
      </w:r>
      <w:r w:rsidR="00D25AB1" w:rsidRPr="007138D8">
        <w:rPr>
          <w:sz w:val="24"/>
          <w:szCs w:val="24"/>
        </w:rPr>
        <w:t>.</w:t>
      </w:r>
      <w:r w:rsidR="00F56B96" w:rsidRPr="007138D8">
        <w:rPr>
          <w:sz w:val="24"/>
          <w:szCs w:val="24"/>
        </w:rPr>
        <w:t>14</w:t>
      </w:r>
      <w:r w:rsidR="00D25AB1" w:rsidRPr="007138D8">
        <w:rPr>
          <w:sz w:val="24"/>
          <w:szCs w:val="24"/>
        </w:rPr>
        <w:t>, p &lt; 0.001)</w:t>
      </w:r>
      <w:r w:rsidR="00C65B08" w:rsidRPr="007138D8">
        <w:rPr>
          <w:sz w:val="24"/>
          <w:szCs w:val="24"/>
        </w:rPr>
        <w:t xml:space="preserve"> and organizational commitment </w:t>
      </w:r>
      <w:r w:rsidR="00A76AB9" w:rsidRPr="007138D8">
        <w:rPr>
          <w:rFonts w:ascii="AdvOT46dcae81" w:hAnsi="AdvOT46dcae81"/>
        </w:rPr>
        <w:t>(</w:t>
      </w:r>
      <w:r w:rsidR="00A76AB9" w:rsidRPr="007138D8">
        <w:rPr>
          <w:sz w:val="24"/>
          <w:szCs w:val="24"/>
        </w:rPr>
        <w:t>β = 0.</w:t>
      </w:r>
      <w:r w:rsidR="00F56B96" w:rsidRPr="007138D8">
        <w:rPr>
          <w:sz w:val="24"/>
          <w:szCs w:val="24"/>
        </w:rPr>
        <w:t>16</w:t>
      </w:r>
      <w:r w:rsidR="00A76AB9" w:rsidRPr="007138D8">
        <w:rPr>
          <w:sz w:val="24"/>
          <w:szCs w:val="24"/>
        </w:rPr>
        <w:t xml:space="preserve">, t = </w:t>
      </w:r>
      <w:r w:rsidR="00F56B96" w:rsidRPr="007138D8">
        <w:rPr>
          <w:sz w:val="24"/>
          <w:szCs w:val="24"/>
        </w:rPr>
        <w:t>2</w:t>
      </w:r>
      <w:r w:rsidR="00A76AB9" w:rsidRPr="007138D8">
        <w:rPr>
          <w:sz w:val="24"/>
          <w:szCs w:val="24"/>
        </w:rPr>
        <w:t>.</w:t>
      </w:r>
      <w:r w:rsidR="00F56B96" w:rsidRPr="007138D8">
        <w:rPr>
          <w:sz w:val="24"/>
          <w:szCs w:val="24"/>
        </w:rPr>
        <w:t>31</w:t>
      </w:r>
      <w:r w:rsidR="00A76AB9" w:rsidRPr="007138D8">
        <w:rPr>
          <w:sz w:val="24"/>
          <w:szCs w:val="24"/>
        </w:rPr>
        <w:t>, p &lt; 0.0</w:t>
      </w:r>
      <w:r w:rsidR="00F56B96" w:rsidRPr="007138D8">
        <w:rPr>
          <w:sz w:val="24"/>
          <w:szCs w:val="24"/>
        </w:rPr>
        <w:t>5</w:t>
      </w:r>
      <w:r w:rsidR="00A76AB9" w:rsidRPr="007138D8">
        <w:rPr>
          <w:sz w:val="24"/>
          <w:szCs w:val="24"/>
        </w:rPr>
        <w:t>)</w:t>
      </w:r>
      <w:r w:rsidR="00C65B08" w:rsidRPr="007138D8">
        <w:rPr>
          <w:sz w:val="24"/>
          <w:szCs w:val="24"/>
        </w:rPr>
        <w:t xml:space="preserve">. Further, trust has a positive relationship with organizational commitment </w:t>
      </w:r>
      <w:r w:rsidR="00A76AB9" w:rsidRPr="007138D8">
        <w:rPr>
          <w:rFonts w:ascii="AdvOT46dcae81" w:hAnsi="AdvOT46dcae81"/>
        </w:rPr>
        <w:t>(</w:t>
      </w:r>
      <w:r w:rsidR="00A76AB9" w:rsidRPr="007138D8">
        <w:rPr>
          <w:sz w:val="24"/>
          <w:szCs w:val="24"/>
        </w:rPr>
        <w:t>β = 0.</w:t>
      </w:r>
      <w:r w:rsidR="005763DC" w:rsidRPr="007138D8">
        <w:rPr>
          <w:sz w:val="24"/>
          <w:szCs w:val="24"/>
        </w:rPr>
        <w:t>47</w:t>
      </w:r>
      <w:r w:rsidR="00A76AB9" w:rsidRPr="007138D8">
        <w:rPr>
          <w:sz w:val="24"/>
          <w:szCs w:val="24"/>
        </w:rPr>
        <w:t xml:space="preserve">, t = </w:t>
      </w:r>
      <w:r w:rsidR="005763DC" w:rsidRPr="007138D8">
        <w:rPr>
          <w:sz w:val="24"/>
          <w:szCs w:val="24"/>
        </w:rPr>
        <w:t>7</w:t>
      </w:r>
      <w:r w:rsidR="00A76AB9" w:rsidRPr="007138D8">
        <w:rPr>
          <w:sz w:val="24"/>
          <w:szCs w:val="24"/>
        </w:rPr>
        <w:t>.</w:t>
      </w:r>
      <w:r w:rsidR="005763DC" w:rsidRPr="007138D8">
        <w:rPr>
          <w:sz w:val="24"/>
          <w:szCs w:val="24"/>
        </w:rPr>
        <w:t>69</w:t>
      </w:r>
      <w:r w:rsidR="00A76AB9" w:rsidRPr="007138D8">
        <w:rPr>
          <w:sz w:val="24"/>
          <w:szCs w:val="24"/>
        </w:rPr>
        <w:t>, p &lt; 0.001)</w:t>
      </w:r>
      <w:r w:rsidR="00C65B08" w:rsidRPr="007138D8">
        <w:rPr>
          <w:sz w:val="24"/>
          <w:szCs w:val="24"/>
        </w:rPr>
        <w:t>. In addition, this study tested the indirect effect such that PC fulfillment</w:t>
      </w:r>
      <w:r w:rsidR="001B14DE" w:rsidRPr="007138D8">
        <w:rPr>
          <w:sz w:val="24"/>
          <w:szCs w:val="24"/>
        </w:rPr>
        <w:t>’</w:t>
      </w:r>
      <w:r w:rsidR="00C65B08" w:rsidRPr="007138D8">
        <w:rPr>
          <w:sz w:val="24"/>
          <w:szCs w:val="24"/>
        </w:rPr>
        <w:t xml:space="preserve">s indirect effect on organizational commitment via trust was </w:t>
      </w:r>
      <w:r w:rsidR="00A76AB9" w:rsidRPr="007138D8">
        <w:rPr>
          <w:sz w:val="24"/>
          <w:szCs w:val="24"/>
        </w:rPr>
        <w:t>(β =0.</w:t>
      </w:r>
      <w:r w:rsidR="00552FE3" w:rsidRPr="007138D8">
        <w:rPr>
          <w:sz w:val="24"/>
          <w:szCs w:val="24"/>
        </w:rPr>
        <w:t>25</w:t>
      </w:r>
      <w:r w:rsidR="00A76AB9" w:rsidRPr="007138D8">
        <w:rPr>
          <w:sz w:val="24"/>
          <w:szCs w:val="24"/>
        </w:rPr>
        <w:t>, SE = 0.0</w:t>
      </w:r>
      <w:r w:rsidR="00552FE3" w:rsidRPr="007138D8">
        <w:rPr>
          <w:sz w:val="24"/>
          <w:szCs w:val="24"/>
        </w:rPr>
        <w:t>5</w:t>
      </w:r>
      <w:r w:rsidR="00A76AB9" w:rsidRPr="007138D8">
        <w:rPr>
          <w:sz w:val="24"/>
          <w:szCs w:val="24"/>
        </w:rPr>
        <w:t>, 95% CI: 0.</w:t>
      </w:r>
      <w:r w:rsidR="00552FE3" w:rsidRPr="007138D8">
        <w:rPr>
          <w:sz w:val="24"/>
          <w:szCs w:val="24"/>
        </w:rPr>
        <w:t>16</w:t>
      </w:r>
      <w:r w:rsidR="00423685" w:rsidRPr="007138D8">
        <w:rPr>
          <w:sz w:val="24"/>
          <w:szCs w:val="24"/>
        </w:rPr>
        <w:t xml:space="preserve"> </w:t>
      </w:r>
      <w:r w:rsidR="00A76AB9" w:rsidRPr="007138D8">
        <w:rPr>
          <w:sz w:val="24"/>
          <w:szCs w:val="24"/>
        </w:rPr>
        <w:t>to 0.</w:t>
      </w:r>
      <w:r w:rsidR="00552FE3" w:rsidRPr="007138D8">
        <w:rPr>
          <w:sz w:val="24"/>
          <w:szCs w:val="24"/>
        </w:rPr>
        <w:t>36</w:t>
      </w:r>
      <w:r w:rsidR="00A76AB9" w:rsidRPr="007138D8">
        <w:rPr>
          <w:sz w:val="24"/>
          <w:szCs w:val="24"/>
        </w:rPr>
        <w:t>)</w:t>
      </w:r>
      <w:r w:rsidR="00C65B08" w:rsidRPr="007138D8">
        <w:rPr>
          <w:sz w:val="24"/>
          <w:szCs w:val="24"/>
        </w:rPr>
        <w:t>. Hence</w:t>
      </w:r>
      <w:r w:rsidR="0057171F" w:rsidRPr="007138D8">
        <w:rPr>
          <w:sz w:val="24"/>
          <w:szCs w:val="24"/>
        </w:rPr>
        <w:t>,</w:t>
      </w:r>
      <w:r w:rsidR="00423685" w:rsidRPr="007138D8">
        <w:rPr>
          <w:sz w:val="24"/>
          <w:szCs w:val="24"/>
        </w:rPr>
        <w:t xml:space="preserve"> </w:t>
      </w:r>
      <w:r w:rsidR="00C65B08" w:rsidRPr="007138D8">
        <w:rPr>
          <w:sz w:val="24"/>
          <w:szCs w:val="24"/>
        </w:rPr>
        <w:t>H</w:t>
      </w:r>
      <w:r w:rsidR="002E4106" w:rsidRPr="007138D8">
        <w:rPr>
          <w:sz w:val="24"/>
          <w:szCs w:val="24"/>
        </w:rPr>
        <w:t>1-</w:t>
      </w:r>
      <w:r w:rsidR="00183A2B" w:rsidRPr="007138D8">
        <w:rPr>
          <w:sz w:val="24"/>
          <w:szCs w:val="24"/>
        </w:rPr>
        <w:t>H</w:t>
      </w:r>
      <w:r w:rsidR="002E4106" w:rsidRPr="007138D8">
        <w:rPr>
          <w:sz w:val="24"/>
          <w:szCs w:val="24"/>
        </w:rPr>
        <w:t>4</w:t>
      </w:r>
      <w:r w:rsidR="0062247E" w:rsidRPr="007138D8">
        <w:rPr>
          <w:sz w:val="24"/>
          <w:szCs w:val="24"/>
        </w:rPr>
        <w:t>is</w:t>
      </w:r>
      <w:r w:rsidR="00C65B08" w:rsidRPr="007138D8">
        <w:rPr>
          <w:sz w:val="24"/>
          <w:szCs w:val="24"/>
        </w:rPr>
        <w:t xml:space="preserve"> supported.</w:t>
      </w:r>
    </w:p>
    <w:p w14:paraId="0FD4A040" w14:textId="77777777" w:rsidR="00187095" w:rsidRPr="007138D8" w:rsidRDefault="00187095">
      <w:pPr>
        <w:spacing w:after="160" w:line="259" w:lineRule="auto"/>
        <w:rPr>
          <w:b/>
        </w:rPr>
      </w:pPr>
      <w:r w:rsidRPr="007138D8">
        <w:rPr>
          <w:b/>
        </w:rPr>
        <w:br w:type="page"/>
      </w:r>
    </w:p>
    <w:p w14:paraId="6B147FB4" w14:textId="30FBCD31" w:rsidR="00D46A15" w:rsidRPr="007138D8" w:rsidRDefault="00D46A15" w:rsidP="001A4628">
      <w:pPr>
        <w:spacing w:before="240" w:line="480" w:lineRule="auto"/>
        <w:jc w:val="center"/>
      </w:pPr>
      <w:r w:rsidRPr="007138D8">
        <w:rPr>
          <w:b/>
        </w:rPr>
        <w:lastRenderedPageBreak/>
        <w:t>Table 2:</w:t>
      </w:r>
      <w:r w:rsidR="00B20EB6" w:rsidRPr="007138D8">
        <w:rPr>
          <w:b/>
        </w:rPr>
        <w:t xml:space="preserve"> </w:t>
      </w:r>
      <w:r w:rsidRPr="007138D8">
        <w:rPr>
          <w:rFonts w:ascii="TimesNewRoman" w:hAnsi="TimesNewRoman"/>
        </w:rPr>
        <w:t>Results of regression analysis</w:t>
      </w:r>
    </w:p>
    <w:tbl>
      <w:tblPr>
        <w:tblStyle w:val="TableGrid"/>
        <w:tblW w:w="89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765"/>
        <w:gridCol w:w="630"/>
        <w:gridCol w:w="996"/>
        <w:gridCol w:w="516"/>
        <w:gridCol w:w="731"/>
        <w:gridCol w:w="627"/>
        <w:gridCol w:w="1080"/>
        <w:gridCol w:w="810"/>
      </w:tblGrid>
      <w:tr w:rsidR="007138D8" w:rsidRPr="007138D8" w14:paraId="03A8A9A7" w14:textId="77777777" w:rsidTr="00212866">
        <w:trPr>
          <w:trHeight w:val="512"/>
          <w:jc w:val="center"/>
        </w:trPr>
        <w:tc>
          <w:tcPr>
            <w:tcW w:w="2813" w:type="dxa"/>
            <w:vMerge w:val="restart"/>
            <w:tcBorders>
              <w:top w:val="single" w:sz="4" w:space="0" w:color="auto"/>
            </w:tcBorders>
            <w:vAlign w:val="center"/>
          </w:tcPr>
          <w:p w14:paraId="0C740F09" w14:textId="77777777" w:rsidR="00D46A15" w:rsidRPr="007138D8" w:rsidRDefault="00D46A15" w:rsidP="00120A34">
            <w:pPr>
              <w:tabs>
                <w:tab w:val="left" w:pos="8775"/>
                <w:tab w:val="left" w:pos="10305"/>
              </w:tabs>
              <w:jc w:val="both"/>
            </w:pPr>
            <w:r w:rsidRPr="007138D8">
              <w:t>antecedents</w:t>
            </w:r>
          </w:p>
        </w:tc>
        <w:tc>
          <w:tcPr>
            <w:tcW w:w="2907" w:type="dxa"/>
            <w:gridSpan w:val="4"/>
            <w:tcBorders>
              <w:top w:val="single" w:sz="4" w:space="0" w:color="auto"/>
              <w:bottom w:val="single" w:sz="4" w:space="0" w:color="auto"/>
            </w:tcBorders>
            <w:vAlign w:val="center"/>
          </w:tcPr>
          <w:p w14:paraId="5B717C72" w14:textId="77777777" w:rsidR="00D46A15" w:rsidRPr="007138D8" w:rsidRDefault="00D46A15" w:rsidP="00120A34">
            <w:pPr>
              <w:tabs>
                <w:tab w:val="left" w:pos="8775"/>
                <w:tab w:val="left" w:pos="10305"/>
              </w:tabs>
              <w:jc w:val="both"/>
            </w:pPr>
            <w:r w:rsidRPr="007138D8">
              <w:t>mediator</w:t>
            </w:r>
          </w:p>
        </w:tc>
        <w:tc>
          <w:tcPr>
            <w:tcW w:w="3248" w:type="dxa"/>
            <w:gridSpan w:val="4"/>
            <w:tcBorders>
              <w:top w:val="single" w:sz="4" w:space="0" w:color="auto"/>
              <w:bottom w:val="single" w:sz="4" w:space="0" w:color="auto"/>
            </w:tcBorders>
            <w:vAlign w:val="center"/>
          </w:tcPr>
          <w:p w14:paraId="2BC019C0" w14:textId="77777777" w:rsidR="00D46A15" w:rsidRPr="007138D8" w:rsidRDefault="00D46A15" w:rsidP="00120A34">
            <w:pPr>
              <w:tabs>
                <w:tab w:val="left" w:pos="8775"/>
                <w:tab w:val="left" w:pos="10305"/>
              </w:tabs>
              <w:jc w:val="both"/>
            </w:pPr>
            <w:r w:rsidRPr="007138D8">
              <w:t>dependent variable</w:t>
            </w:r>
          </w:p>
        </w:tc>
      </w:tr>
      <w:tr w:rsidR="007138D8" w:rsidRPr="007138D8" w14:paraId="3C608AF9" w14:textId="77777777" w:rsidTr="00212866">
        <w:trPr>
          <w:trHeight w:val="440"/>
          <w:jc w:val="center"/>
        </w:trPr>
        <w:tc>
          <w:tcPr>
            <w:tcW w:w="2813" w:type="dxa"/>
            <w:vMerge/>
            <w:tcBorders>
              <w:top w:val="single" w:sz="4" w:space="0" w:color="auto"/>
            </w:tcBorders>
            <w:vAlign w:val="center"/>
          </w:tcPr>
          <w:p w14:paraId="78812968" w14:textId="77777777" w:rsidR="00D46A15" w:rsidRPr="007138D8" w:rsidRDefault="00D46A15" w:rsidP="00120A34">
            <w:pPr>
              <w:tabs>
                <w:tab w:val="left" w:pos="8775"/>
                <w:tab w:val="left" w:pos="10305"/>
              </w:tabs>
              <w:jc w:val="both"/>
            </w:pPr>
          </w:p>
        </w:tc>
        <w:tc>
          <w:tcPr>
            <w:tcW w:w="2907" w:type="dxa"/>
            <w:gridSpan w:val="4"/>
            <w:tcBorders>
              <w:top w:val="single" w:sz="4" w:space="0" w:color="auto"/>
              <w:bottom w:val="single" w:sz="4" w:space="0" w:color="auto"/>
            </w:tcBorders>
            <w:vAlign w:val="center"/>
          </w:tcPr>
          <w:p w14:paraId="0E1E6E66" w14:textId="77777777" w:rsidR="00D46A15" w:rsidRPr="007138D8" w:rsidRDefault="00D46A15" w:rsidP="00120A34">
            <w:pPr>
              <w:tabs>
                <w:tab w:val="left" w:pos="8775"/>
                <w:tab w:val="left" w:pos="10305"/>
              </w:tabs>
              <w:jc w:val="both"/>
            </w:pPr>
            <w:r w:rsidRPr="007138D8">
              <w:t>trust</w:t>
            </w:r>
          </w:p>
        </w:tc>
        <w:tc>
          <w:tcPr>
            <w:tcW w:w="3248" w:type="dxa"/>
            <w:gridSpan w:val="4"/>
            <w:tcBorders>
              <w:top w:val="single" w:sz="4" w:space="0" w:color="auto"/>
              <w:bottom w:val="single" w:sz="4" w:space="0" w:color="auto"/>
            </w:tcBorders>
            <w:vAlign w:val="center"/>
          </w:tcPr>
          <w:p w14:paraId="407DFD05" w14:textId="77777777" w:rsidR="00D46A15" w:rsidRPr="007138D8" w:rsidRDefault="00D46A15" w:rsidP="00120A34">
            <w:pPr>
              <w:tabs>
                <w:tab w:val="left" w:pos="8775"/>
                <w:tab w:val="left" w:pos="10305"/>
              </w:tabs>
              <w:jc w:val="both"/>
            </w:pPr>
            <w:r w:rsidRPr="007138D8">
              <w:t>organizational commitment</w:t>
            </w:r>
          </w:p>
        </w:tc>
      </w:tr>
      <w:tr w:rsidR="007138D8" w:rsidRPr="007138D8" w14:paraId="6741F16C" w14:textId="77777777" w:rsidTr="002F37E2">
        <w:trPr>
          <w:trHeight w:val="593"/>
          <w:jc w:val="center"/>
        </w:trPr>
        <w:tc>
          <w:tcPr>
            <w:tcW w:w="2813" w:type="dxa"/>
            <w:vMerge/>
            <w:tcBorders>
              <w:bottom w:val="single" w:sz="4" w:space="0" w:color="auto"/>
            </w:tcBorders>
          </w:tcPr>
          <w:p w14:paraId="5EC04A59" w14:textId="77777777" w:rsidR="00D46A15" w:rsidRPr="007138D8" w:rsidRDefault="00D46A15" w:rsidP="00120A34">
            <w:pPr>
              <w:tabs>
                <w:tab w:val="left" w:pos="8775"/>
                <w:tab w:val="left" w:pos="10305"/>
              </w:tabs>
              <w:jc w:val="both"/>
            </w:pPr>
          </w:p>
        </w:tc>
        <w:tc>
          <w:tcPr>
            <w:tcW w:w="765" w:type="dxa"/>
            <w:tcBorders>
              <w:top w:val="single" w:sz="4" w:space="0" w:color="auto"/>
              <w:bottom w:val="single" w:sz="4" w:space="0" w:color="auto"/>
            </w:tcBorders>
            <w:vAlign w:val="center"/>
          </w:tcPr>
          <w:p w14:paraId="11F114A6" w14:textId="77777777" w:rsidR="00D46A15" w:rsidRPr="007138D8" w:rsidRDefault="00D46A15" w:rsidP="00120A34">
            <w:pPr>
              <w:tabs>
                <w:tab w:val="left" w:pos="8775"/>
                <w:tab w:val="left" w:pos="10305"/>
              </w:tabs>
              <w:jc w:val="both"/>
            </w:pPr>
            <w:r w:rsidRPr="007138D8">
              <w:t>β</w:t>
            </w:r>
          </w:p>
        </w:tc>
        <w:tc>
          <w:tcPr>
            <w:tcW w:w="630" w:type="dxa"/>
            <w:tcBorders>
              <w:top w:val="single" w:sz="4" w:space="0" w:color="auto"/>
              <w:bottom w:val="single" w:sz="4" w:space="0" w:color="auto"/>
            </w:tcBorders>
            <w:vAlign w:val="center"/>
          </w:tcPr>
          <w:p w14:paraId="68B1CF63" w14:textId="77777777" w:rsidR="00D46A15" w:rsidRPr="007138D8" w:rsidRDefault="00D46A15" w:rsidP="00120A34">
            <w:pPr>
              <w:tabs>
                <w:tab w:val="left" w:pos="8775"/>
                <w:tab w:val="left" w:pos="10305"/>
              </w:tabs>
              <w:jc w:val="both"/>
            </w:pPr>
            <w:r w:rsidRPr="007138D8">
              <w:t>SE</w:t>
            </w:r>
          </w:p>
        </w:tc>
        <w:tc>
          <w:tcPr>
            <w:tcW w:w="996" w:type="dxa"/>
            <w:tcBorders>
              <w:top w:val="single" w:sz="4" w:space="0" w:color="auto"/>
              <w:bottom w:val="single" w:sz="4" w:space="0" w:color="auto"/>
            </w:tcBorders>
            <w:vAlign w:val="center"/>
          </w:tcPr>
          <w:p w14:paraId="086DF3D1" w14:textId="77777777" w:rsidR="00D46A15" w:rsidRPr="007138D8" w:rsidRDefault="00D46A15" w:rsidP="00120A34">
            <w:pPr>
              <w:tabs>
                <w:tab w:val="left" w:pos="8775"/>
                <w:tab w:val="left" w:pos="10305"/>
              </w:tabs>
              <w:jc w:val="both"/>
            </w:pPr>
            <w:r w:rsidRPr="007138D8">
              <w:t>t</w:t>
            </w:r>
          </w:p>
        </w:tc>
        <w:tc>
          <w:tcPr>
            <w:tcW w:w="516" w:type="dxa"/>
            <w:tcBorders>
              <w:top w:val="single" w:sz="4" w:space="0" w:color="auto"/>
              <w:bottom w:val="single" w:sz="4" w:space="0" w:color="auto"/>
            </w:tcBorders>
            <w:vAlign w:val="center"/>
          </w:tcPr>
          <w:p w14:paraId="7D2F4D26" w14:textId="77777777" w:rsidR="00D46A15" w:rsidRPr="007138D8" w:rsidRDefault="00000000" w:rsidP="00120A34">
            <w:pPr>
              <w:tabs>
                <w:tab w:val="left" w:pos="8775"/>
                <w:tab w:val="left" w:pos="10305"/>
              </w:tabs>
              <w:jc w:val="both"/>
            </w:pPr>
            <m:oMathPara>
              <m:oMath>
                <m:sSup>
                  <m:sSupPr>
                    <m:ctrlPr>
                      <w:rPr>
                        <w:rFonts w:ascii="Cambria Math" w:hAnsi="Cambria Math"/>
                      </w:rPr>
                    </m:ctrlPr>
                  </m:sSupPr>
                  <m:e>
                    <m:r>
                      <w:rPr>
                        <w:rFonts w:ascii="Cambria Math" w:hAnsi="Cambria Math"/>
                      </w:rPr>
                      <m:t>R</m:t>
                    </m:r>
                  </m:e>
                  <m:sup>
                    <m:r>
                      <w:rPr>
                        <w:rFonts w:ascii="Cambria Math"/>
                      </w:rPr>
                      <m:t>2</m:t>
                    </m:r>
                  </m:sup>
                </m:sSup>
              </m:oMath>
            </m:oMathPara>
          </w:p>
        </w:tc>
        <w:tc>
          <w:tcPr>
            <w:tcW w:w="731" w:type="dxa"/>
            <w:tcBorders>
              <w:top w:val="single" w:sz="4" w:space="0" w:color="auto"/>
              <w:bottom w:val="single" w:sz="4" w:space="0" w:color="auto"/>
            </w:tcBorders>
            <w:vAlign w:val="center"/>
          </w:tcPr>
          <w:p w14:paraId="1AAF9BCD" w14:textId="77777777" w:rsidR="00D46A15" w:rsidRPr="007138D8" w:rsidRDefault="00D46A15" w:rsidP="00120A34">
            <w:pPr>
              <w:tabs>
                <w:tab w:val="left" w:pos="8775"/>
                <w:tab w:val="left" w:pos="10305"/>
              </w:tabs>
              <w:jc w:val="both"/>
            </w:pPr>
            <w:r w:rsidRPr="007138D8">
              <w:t>β</w:t>
            </w:r>
          </w:p>
        </w:tc>
        <w:tc>
          <w:tcPr>
            <w:tcW w:w="627" w:type="dxa"/>
            <w:tcBorders>
              <w:top w:val="single" w:sz="4" w:space="0" w:color="auto"/>
              <w:bottom w:val="single" w:sz="4" w:space="0" w:color="auto"/>
            </w:tcBorders>
            <w:vAlign w:val="center"/>
          </w:tcPr>
          <w:p w14:paraId="5DF8B7A6" w14:textId="77777777" w:rsidR="00D46A15" w:rsidRPr="007138D8" w:rsidRDefault="00D46A15" w:rsidP="00120A34">
            <w:pPr>
              <w:tabs>
                <w:tab w:val="left" w:pos="8775"/>
                <w:tab w:val="left" w:pos="10305"/>
              </w:tabs>
              <w:jc w:val="both"/>
            </w:pPr>
            <w:r w:rsidRPr="007138D8">
              <w:t>SE</w:t>
            </w:r>
          </w:p>
        </w:tc>
        <w:tc>
          <w:tcPr>
            <w:tcW w:w="1080" w:type="dxa"/>
            <w:tcBorders>
              <w:top w:val="single" w:sz="4" w:space="0" w:color="auto"/>
              <w:bottom w:val="single" w:sz="4" w:space="0" w:color="auto"/>
            </w:tcBorders>
            <w:vAlign w:val="center"/>
          </w:tcPr>
          <w:p w14:paraId="29AA53A4" w14:textId="77777777" w:rsidR="00D46A15" w:rsidRPr="007138D8" w:rsidRDefault="00D46A15" w:rsidP="00120A34">
            <w:pPr>
              <w:tabs>
                <w:tab w:val="left" w:pos="8775"/>
                <w:tab w:val="left" w:pos="10305"/>
              </w:tabs>
              <w:jc w:val="both"/>
            </w:pPr>
            <w:r w:rsidRPr="007138D8">
              <w:t>t</w:t>
            </w:r>
          </w:p>
        </w:tc>
        <w:tc>
          <w:tcPr>
            <w:tcW w:w="810" w:type="dxa"/>
            <w:tcBorders>
              <w:top w:val="single" w:sz="4" w:space="0" w:color="auto"/>
              <w:bottom w:val="single" w:sz="4" w:space="0" w:color="auto"/>
            </w:tcBorders>
            <w:vAlign w:val="center"/>
          </w:tcPr>
          <w:p w14:paraId="0657897B" w14:textId="77777777" w:rsidR="00D46A15" w:rsidRPr="007138D8" w:rsidRDefault="00000000" w:rsidP="00120A34">
            <w:pPr>
              <w:tabs>
                <w:tab w:val="left" w:pos="8775"/>
                <w:tab w:val="left" w:pos="10305"/>
              </w:tabs>
              <w:jc w:val="both"/>
            </w:pPr>
            <m:oMathPara>
              <m:oMath>
                <m:sSup>
                  <m:sSupPr>
                    <m:ctrlPr>
                      <w:rPr>
                        <w:rFonts w:ascii="Cambria Math" w:hAnsi="Cambria Math"/>
                      </w:rPr>
                    </m:ctrlPr>
                  </m:sSupPr>
                  <m:e>
                    <m:r>
                      <w:rPr>
                        <w:rFonts w:ascii="Cambria Math" w:hAnsi="Cambria Math"/>
                      </w:rPr>
                      <m:t>R</m:t>
                    </m:r>
                  </m:e>
                  <m:sup>
                    <m:r>
                      <w:rPr>
                        <w:rFonts w:ascii="Cambria Math"/>
                      </w:rPr>
                      <m:t>2</m:t>
                    </m:r>
                  </m:sup>
                </m:sSup>
              </m:oMath>
            </m:oMathPara>
          </w:p>
        </w:tc>
      </w:tr>
      <w:tr w:rsidR="007138D8" w:rsidRPr="007138D8" w14:paraId="3D32F142" w14:textId="77777777" w:rsidTr="002F37E2">
        <w:trPr>
          <w:trHeight w:val="490"/>
          <w:jc w:val="center"/>
        </w:trPr>
        <w:tc>
          <w:tcPr>
            <w:tcW w:w="2813" w:type="dxa"/>
            <w:vAlign w:val="center"/>
          </w:tcPr>
          <w:p w14:paraId="67D7AFD9" w14:textId="77777777" w:rsidR="00D46A15" w:rsidRPr="007138D8" w:rsidRDefault="00D46A15" w:rsidP="00120A34">
            <w:pPr>
              <w:tabs>
                <w:tab w:val="left" w:pos="8775"/>
                <w:tab w:val="left" w:pos="10305"/>
              </w:tabs>
              <w:jc w:val="both"/>
            </w:pPr>
          </w:p>
        </w:tc>
        <w:tc>
          <w:tcPr>
            <w:tcW w:w="765" w:type="dxa"/>
            <w:vAlign w:val="center"/>
          </w:tcPr>
          <w:p w14:paraId="5881FC16" w14:textId="77777777" w:rsidR="00D46A15" w:rsidRPr="007138D8" w:rsidRDefault="00D46A15" w:rsidP="00120A34">
            <w:pPr>
              <w:tabs>
                <w:tab w:val="left" w:pos="8775"/>
                <w:tab w:val="left" w:pos="10305"/>
              </w:tabs>
              <w:jc w:val="both"/>
            </w:pPr>
          </w:p>
        </w:tc>
        <w:tc>
          <w:tcPr>
            <w:tcW w:w="630" w:type="dxa"/>
            <w:vAlign w:val="center"/>
          </w:tcPr>
          <w:p w14:paraId="0DB0B32F" w14:textId="77777777" w:rsidR="00D46A15" w:rsidRPr="007138D8" w:rsidRDefault="00D46A15" w:rsidP="00120A34">
            <w:pPr>
              <w:tabs>
                <w:tab w:val="left" w:pos="8775"/>
                <w:tab w:val="left" w:pos="10305"/>
              </w:tabs>
              <w:jc w:val="both"/>
            </w:pPr>
          </w:p>
        </w:tc>
        <w:tc>
          <w:tcPr>
            <w:tcW w:w="996" w:type="dxa"/>
            <w:vAlign w:val="center"/>
          </w:tcPr>
          <w:p w14:paraId="4ED6C7B9" w14:textId="77777777" w:rsidR="00D46A15" w:rsidRPr="007138D8" w:rsidRDefault="00D46A15" w:rsidP="00120A34">
            <w:pPr>
              <w:tabs>
                <w:tab w:val="left" w:pos="8775"/>
                <w:tab w:val="left" w:pos="10305"/>
              </w:tabs>
              <w:jc w:val="both"/>
            </w:pPr>
          </w:p>
        </w:tc>
        <w:tc>
          <w:tcPr>
            <w:tcW w:w="516" w:type="dxa"/>
            <w:vAlign w:val="center"/>
          </w:tcPr>
          <w:p w14:paraId="20B8E025" w14:textId="77777777" w:rsidR="00D46A15" w:rsidRPr="007138D8" w:rsidRDefault="00D46A15" w:rsidP="00120A34">
            <w:pPr>
              <w:tabs>
                <w:tab w:val="left" w:pos="8775"/>
                <w:tab w:val="left" w:pos="10305"/>
              </w:tabs>
              <w:jc w:val="both"/>
            </w:pPr>
            <w:r w:rsidRPr="007138D8">
              <w:t>.22</w:t>
            </w:r>
          </w:p>
        </w:tc>
        <w:tc>
          <w:tcPr>
            <w:tcW w:w="731" w:type="dxa"/>
            <w:vAlign w:val="center"/>
          </w:tcPr>
          <w:p w14:paraId="6F7BC068" w14:textId="77777777" w:rsidR="00D46A15" w:rsidRPr="007138D8" w:rsidRDefault="00D46A15" w:rsidP="00120A34">
            <w:pPr>
              <w:tabs>
                <w:tab w:val="left" w:pos="8775"/>
                <w:tab w:val="left" w:pos="10305"/>
              </w:tabs>
              <w:jc w:val="both"/>
            </w:pPr>
          </w:p>
        </w:tc>
        <w:tc>
          <w:tcPr>
            <w:tcW w:w="627" w:type="dxa"/>
            <w:vAlign w:val="center"/>
          </w:tcPr>
          <w:p w14:paraId="7991553B" w14:textId="77777777" w:rsidR="00D46A15" w:rsidRPr="007138D8" w:rsidRDefault="00D46A15" w:rsidP="00120A34">
            <w:pPr>
              <w:tabs>
                <w:tab w:val="left" w:pos="8775"/>
                <w:tab w:val="left" w:pos="10305"/>
              </w:tabs>
              <w:jc w:val="both"/>
            </w:pPr>
          </w:p>
        </w:tc>
        <w:tc>
          <w:tcPr>
            <w:tcW w:w="1080" w:type="dxa"/>
            <w:vAlign w:val="center"/>
          </w:tcPr>
          <w:p w14:paraId="577FB796" w14:textId="77777777" w:rsidR="00D46A15" w:rsidRPr="007138D8" w:rsidRDefault="00D46A15" w:rsidP="00120A34">
            <w:pPr>
              <w:tabs>
                <w:tab w:val="left" w:pos="8775"/>
                <w:tab w:val="left" w:pos="10305"/>
              </w:tabs>
              <w:jc w:val="both"/>
            </w:pPr>
          </w:p>
        </w:tc>
        <w:tc>
          <w:tcPr>
            <w:tcW w:w="810" w:type="dxa"/>
            <w:vAlign w:val="center"/>
          </w:tcPr>
          <w:p w14:paraId="59B2D8C5" w14:textId="77777777" w:rsidR="00D46A15" w:rsidRPr="007138D8" w:rsidRDefault="00D46A15" w:rsidP="00120A34">
            <w:pPr>
              <w:tabs>
                <w:tab w:val="left" w:pos="8775"/>
                <w:tab w:val="left" w:pos="10305"/>
              </w:tabs>
              <w:jc w:val="both"/>
            </w:pPr>
            <w:r w:rsidRPr="007138D8">
              <w:t>.37</w:t>
            </w:r>
          </w:p>
        </w:tc>
      </w:tr>
      <w:tr w:rsidR="007138D8" w:rsidRPr="007138D8" w14:paraId="4AE84F9C" w14:textId="77777777" w:rsidTr="002F37E2">
        <w:trPr>
          <w:trHeight w:val="490"/>
          <w:jc w:val="center"/>
        </w:trPr>
        <w:tc>
          <w:tcPr>
            <w:tcW w:w="2813" w:type="dxa"/>
            <w:vAlign w:val="center"/>
          </w:tcPr>
          <w:p w14:paraId="665E35D5" w14:textId="77777777" w:rsidR="00D46A15" w:rsidRPr="007138D8" w:rsidRDefault="00F321CD" w:rsidP="00120A34">
            <w:pPr>
              <w:tabs>
                <w:tab w:val="left" w:pos="8775"/>
                <w:tab w:val="left" w:pos="10305"/>
              </w:tabs>
              <w:jc w:val="both"/>
            </w:pPr>
            <w:r w:rsidRPr="007138D8">
              <w:t>C</w:t>
            </w:r>
            <w:r w:rsidR="00D46A15" w:rsidRPr="007138D8">
              <w:t>onstant</w:t>
            </w:r>
          </w:p>
        </w:tc>
        <w:tc>
          <w:tcPr>
            <w:tcW w:w="765" w:type="dxa"/>
            <w:vAlign w:val="center"/>
          </w:tcPr>
          <w:p w14:paraId="474429CF" w14:textId="77777777" w:rsidR="00D46A15" w:rsidRPr="007138D8" w:rsidRDefault="00D46A15" w:rsidP="00120A34">
            <w:pPr>
              <w:tabs>
                <w:tab w:val="left" w:pos="8775"/>
                <w:tab w:val="left" w:pos="10305"/>
              </w:tabs>
              <w:jc w:val="both"/>
            </w:pPr>
            <w:r w:rsidRPr="007138D8">
              <w:t>1.70</w:t>
            </w:r>
          </w:p>
        </w:tc>
        <w:tc>
          <w:tcPr>
            <w:tcW w:w="630" w:type="dxa"/>
            <w:vAlign w:val="center"/>
          </w:tcPr>
          <w:p w14:paraId="1D04C697" w14:textId="77777777" w:rsidR="00D46A15" w:rsidRPr="007138D8" w:rsidRDefault="00D46A15" w:rsidP="00120A34">
            <w:pPr>
              <w:tabs>
                <w:tab w:val="left" w:pos="8775"/>
                <w:tab w:val="left" w:pos="10305"/>
              </w:tabs>
              <w:jc w:val="both"/>
            </w:pPr>
            <w:r w:rsidRPr="007138D8">
              <w:t>.24</w:t>
            </w:r>
          </w:p>
        </w:tc>
        <w:tc>
          <w:tcPr>
            <w:tcW w:w="996" w:type="dxa"/>
            <w:vAlign w:val="center"/>
          </w:tcPr>
          <w:p w14:paraId="5B4340E8" w14:textId="77777777" w:rsidR="00D46A15" w:rsidRPr="007138D8" w:rsidRDefault="00D46A15" w:rsidP="00120A34">
            <w:pPr>
              <w:tabs>
                <w:tab w:val="left" w:pos="8775"/>
                <w:tab w:val="left" w:pos="10305"/>
              </w:tabs>
              <w:jc w:val="both"/>
            </w:pPr>
            <w:r w:rsidRPr="007138D8">
              <w:t>6.98***</w:t>
            </w:r>
          </w:p>
        </w:tc>
        <w:tc>
          <w:tcPr>
            <w:tcW w:w="516" w:type="dxa"/>
          </w:tcPr>
          <w:p w14:paraId="3E1DEB02" w14:textId="77777777" w:rsidR="00D46A15" w:rsidRPr="007138D8" w:rsidRDefault="00D46A15" w:rsidP="00120A34">
            <w:pPr>
              <w:tabs>
                <w:tab w:val="left" w:pos="8775"/>
                <w:tab w:val="left" w:pos="10305"/>
              </w:tabs>
              <w:jc w:val="both"/>
            </w:pPr>
          </w:p>
        </w:tc>
        <w:tc>
          <w:tcPr>
            <w:tcW w:w="731" w:type="dxa"/>
            <w:vAlign w:val="center"/>
          </w:tcPr>
          <w:p w14:paraId="1CCD86B1" w14:textId="77777777" w:rsidR="00D46A15" w:rsidRPr="007138D8" w:rsidRDefault="00D46A15" w:rsidP="00120A34">
            <w:pPr>
              <w:tabs>
                <w:tab w:val="left" w:pos="8775"/>
                <w:tab w:val="left" w:pos="10305"/>
              </w:tabs>
              <w:jc w:val="both"/>
            </w:pPr>
            <w:r w:rsidRPr="007138D8">
              <w:t>1.11</w:t>
            </w:r>
          </w:p>
        </w:tc>
        <w:tc>
          <w:tcPr>
            <w:tcW w:w="627" w:type="dxa"/>
            <w:vAlign w:val="center"/>
          </w:tcPr>
          <w:p w14:paraId="13B4FB69" w14:textId="77777777" w:rsidR="00D46A15" w:rsidRPr="007138D8" w:rsidRDefault="00D46A15" w:rsidP="00120A34">
            <w:pPr>
              <w:tabs>
                <w:tab w:val="left" w:pos="8775"/>
                <w:tab w:val="left" w:pos="10305"/>
              </w:tabs>
              <w:jc w:val="both"/>
            </w:pPr>
            <w:r w:rsidRPr="007138D8">
              <w:t>.22</w:t>
            </w:r>
          </w:p>
        </w:tc>
        <w:tc>
          <w:tcPr>
            <w:tcW w:w="1080" w:type="dxa"/>
            <w:vAlign w:val="center"/>
          </w:tcPr>
          <w:p w14:paraId="211DAD15" w14:textId="77777777" w:rsidR="00D46A15" w:rsidRPr="007138D8" w:rsidRDefault="00D46A15" w:rsidP="00120A34">
            <w:pPr>
              <w:tabs>
                <w:tab w:val="left" w:pos="8775"/>
                <w:tab w:val="left" w:pos="10305"/>
              </w:tabs>
              <w:jc w:val="both"/>
            </w:pPr>
            <w:r w:rsidRPr="007138D8">
              <w:t>4.88***</w:t>
            </w:r>
          </w:p>
        </w:tc>
        <w:tc>
          <w:tcPr>
            <w:tcW w:w="810" w:type="dxa"/>
          </w:tcPr>
          <w:p w14:paraId="0A85D27A" w14:textId="77777777" w:rsidR="00D46A15" w:rsidRPr="007138D8" w:rsidRDefault="00D46A15" w:rsidP="00120A34">
            <w:pPr>
              <w:tabs>
                <w:tab w:val="left" w:pos="8775"/>
                <w:tab w:val="left" w:pos="10305"/>
              </w:tabs>
              <w:jc w:val="both"/>
            </w:pPr>
          </w:p>
        </w:tc>
      </w:tr>
      <w:tr w:rsidR="007138D8" w:rsidRPr="007138D8" w14:paraId="648F1B63" w14:textId="77777777" w:rsidTr="002F37E2">
        <w:trPr>
          <w:trHeight w:val="490"/>
          <w:jc w:val="center"/>
        </w:trPr>
        <w:tc>
          <w:tcPr>
            <w:tcW w:w="2813" w:type="dxa"/>
            <w:vAlign w:val="center"/>
          </w:tcPr>
          <w:p w14:paraId="4D4303D7" w14:textId="77777777" w:rsidR="00D46A15" w:rsidRPr="007138D8" w:rsidRDefault="00D46A15" w:rsidP="00120A34">
            <w:pPr>
              <w:tabs>
                <w:tab w:val="left" w:pos="8775"/>
                <w:tab w:val="left" w:pos="10305"/>
              </w:tabs>
              <w:jc w:val="both"/>
            </w:pPr>
            <w:r w:rsidRPr="007138D8">
              <w:t>Psychological contract</w:t>
            </w:r>
          </w:p>
        </w:tc>
        <w:tc>
          <w:tcPr>
            <w:tcW w:w="765" w:type="dxa"/>
            <w:vAlign w:val="center"/>
          </w:tcPr>
          <w:p w14:paraId="1EF725BA" w14:textId="77777777" w:rsidR="00D46A15" w:rsidRPr="007138D8" w:rsidRDefault="00D46A15" w:rsidP="00120A34">
            <w:pPr>
              <w:tabs>
                <w:tab w:val="left" w:pos="8775"/>
                <w:tab w:val="left" w:pos="10305"/>
              </w:tabs>
              <w:jc w:val="both"/>
            </w:pPr>
            <w:r w:rsidRPr="007138D8">
              <w:t>.53</w:t>
            </w:r>
          </w:p>
        </w:tc>
        <w:tc>
          <w:tcPr>
            <w:tcW w:w="630" w:type="dxa"/>
            <w:vAlign w:val="center"/>
          </w:tcPr>
          <w:p w14:paraId="0A6F0327" w14:textId="77777777" w:rsidR="00D46A15" w:rsidRPr="007138D8" w:rsidRDefault="00D46A15" w:rsidP="00120A34">
            <w:pPr>
              <w:tabs>
                <w:tab w:val="left" w:pos="8775"/>
                <w:tab w:val="left" w:pos="10305"/>
              </w:tabs>
              <w:jc w:val="both"/>
            </w:pPr>
            <w:r w:rsidRPr="007138D8">
              <w:t>.07</w:t>
            </w:r>
          </w:p>
        </w:tc>
        <w:tc>
          <w:tcPr>
            <w:tcW w:w="996" w:type="dxa"/>
            <w:vAlign w:val="center"/>
          </w:tcPr>
          <w:p w14:paraId="5FD89395" w14:textId="77777777" w:rsidR="00D46A15" w:rsidRPr="007138D8" w:rsidRDefault="00D46A15" w:rsidP="00120A34">
            <w:pPr>
              <w:tabs>
                <w:tab w:val="left" w:pos="8775"/>
                <w:tab w:val="left" w:pos="10305"/>
              </w:tabs>
              <w:jc w:val="both"/>
            </w:pPr>
            <w:r w:rsidRPr="007138D8">
              <w:t>7.14***</w:t>
            </w:r>
          </w:p>
        </w:tc>
        <w:tc>
          <w:tcPr>
            <w:tcW w:w="516" w:type="dxa"/>
          </w:tcPr>
          <w:p w14:paraId="12A29F9C" w14:textId="77777777" w:rsidR="00D46A15" w:rsidRPr="007138D8" w:rsidRDefault="00D46A15" w:rsidP="00120A34">
            <w:pPr>
              <w:tabs>
                <w:tab w:val="left" w:pos="8775"/>
                <w:tab w:val="left" w:pos="10305"/>
              </w:tabs>
              <w:jc w:val="both"/>
            </w:pPr>
          </w:p>
        </w:tc>
        <w:tc>
          <w:tcPr>
            <w:tcW w:w="731" w:type="dxa"/>
            <w:vAlign w:val="center"/>
          </w:tcPr>
          <w:p w14:paraId="03D1ED68" w14:textId="77777777" w:rsidR="00D46A15" w:rsidRPr="007138D8" w:rsidRDefault="00D46A15" w:rsidP="00120A34">
            <w:pPr>
              <w:tabs>
                <w:tab w:val="left" w:pos="8775"/>
                <w:tab w:val="left" w:pos="10305"/>
              </w:tabs>
              <w:jc w:val="both"/>
            </w:pPr>
            <w:r w:rsidRPr="007138D8">
              <w:t>.16</w:t>
            </w:r>
          </w:p>
        </w:tc>
        <w:tc>
          <w:tcPr>
            <w:tcW w:w="627" w:type="dxa"/>
            <w:vAlign w:val="center"/>
          </w:tcPr>
          <w:p w14:paraId="278D5812" w14:textId="77777777" w:rsidR="00D46A15" w:rsidRPr="007138D8" w:rsidRDefault="00D46A15" w:rsidP="00120A34">
            <w:pPr>
              <w:tabs>
                <w:tab w:val="left" w:pos="8775"/>
                <w:tab w:val="left" w:pos="10305"/>
              </w:tabs>
              <w:jc w:val="both"/>
            </w:pPr>
            <w:r w:rsidRPr="007138D8">
              <w:t>.07</w:t>
            </w:r>
          </w:p>
        </w:tc>
        <w:tc>
          <w:tcPr>
            <w:tcW w:w="1080" w:type="dxa"/>
            <w:vAlign w:val="center"/>
          </w:tcPr>
          <w:p w14:paraId="7478613C" w14:textId="77777777" w:rsidR="00D46A15" w:rsidRPr="007138D8" w:rsidRDefault="00D46A15" w:rsidP="00120A34">
            <w:pPr>
              <w:tabs>
                <w:tab w:val="left" w:pos="8775"/>
                <w:tab w:val="left" w:pos="10305"/>
              </w:tabs>
              <w:jc w:val="both"/>
            </w:pPr>
            <w:r w:rsidRPr="007138D8">
              <w:t>2.31*</w:t>
            </w:r>
          </w:p>
        </w:tc>
        <w:tc>
          <w:tcPr>
            <w:tcW w:w="810" w:type="dxa"/>
          </w:tcPr>
          <w:p w14:paraId="49372B90" w14:textId="77777777" w:rsidR="00D46A15" w:rsidRPr="007138D8" w:rsidRDefault="00D46A15" w:rsidP="00120A34">
            <w:pPr>
              <w:tabs>
                <w:tab w:val="left" w:pos="8775"/>
                <w:tab w:val="left" w:pos="10305"/>
              </w:tabs>
              <w:jc w:val="both"/>
            </w:pPr>
          </w:p>
        </w:tc>
      </w:tr>
      <w:tr w:rsidR="007138D8" w:rsidRPr="007138D8" w14:paraId="099C97C9" w14:textId="77777777" w:rsidTr="002F37E2">
        <w:trPr>
          <w:trHeight w:val="490"/>
          <w:jc w:val="center"/>
        </w:trPr>
        <w:tc>
          <w:tcPr>
            <w:tcW w:w="2813" w:type="dxa"/>
            <w:vAlign w:val="center"/>
          </w:tcPr>
          <w:p w14:paraId="611A8A44" w14:textId="77777777" w:rsidR="00D46A15" w:rsidRPr="007138D8" w:rsidRDefault="00D46A15" w:rsidP="00120A34">
            <w:pPr>
              <w:tabs>
                <w:tab w:val="left" w:pos="8775"/>
                <w:tab w:val="left" w:pos="10305"/>
              </w:tabs>
              <w:jc w:val="both"/>
            </w:pPr>
            <w:r w:rsidRPr="007138D8">
              <w:t>Trust</w:t>
            </w:r>
          </w:p>
        </w:tc>
        <w:tc>
          <w:tcPr>
            <w:tcW w:w="765" w:type="dxa"/>
            <w:vAlign w:val="center"/>
          </w:tcPr>
          <w:p w14:paraId="523742B8" w14:textId="77777777" w:rsidR="00D46A15" w:rsidRPr="007138D8" w:rsidRDefault="00D46A15" w:rsidP="00120A34">
            <w:pPr>
              <w:tabs>
                <w:tab w:val="left" w:pos="8775"/>
                <w:tab w:val="left" w:pos="10305"/>
              </w:tabs>
              <w:jc w:val="both"/>
            </w:pPr>
            <w:r w:rsidRPr="007138D8">
              <w:t>-</w:t>
            </w:r>
          </w:p>
        </w:tc>
        <w:tc>
          <w:tcPr>
            <w:tcW w:w="630" w:type="dxa"/>
            <w:vAlign w:val="center"/>
          </w:tcPr>
          <w:p w14:paraId="2D077BE4" w14:textId="77777777" w:rsidR="00D46A15" w:rsidRPr="007138D8" w:rsidRDefault="00D46A15" w:rsidP="00120A34">
            <w:pPr>
              <w:tabs>
                <w:tab w:val="left" w:pos="8775"/>
                <w:tab w:val="left" w:pos="10305"/>
              </w:tabs>
              <w:jc w:val="both"/>
            </w:pPr>
            <w:r w:rsidRPr="007138D8">
              <w:t>-</w:t>
            </w:r>
          </w:p>
        </w:tc>
        <w:tc>
          <w:tcPr>
            <w:tcW w:w="996" w:type="dxa"/>
          </w:tcPr>
          <w:p w14:paraId="132894A6" w14:textId="77777777" w:rsidR="00D46A15" w:rsidRPr="007138D8" w:rsidRDefault="00D46A15" w:rsidP="00120A34">
            <w:pPr>
              <w:tabs>
                <w:tab w:val="left" w:pos="8775"/>
                <w:tab w:val="left" w:pos="10305"/>
              </w:tabs>
              <w:jc w:val="both"/>
            </w:pPr>
            <w:r w:rsidRPr="007138D8">
              <w:t>-</w:t>
            </w:r>
          </w:p>
        </w:tc>
        <w:tc>
          <w:tcPr>
            <w:tcW w:w="516" w:type="dxa"/>
          </w:tcPr>
          <w:p w14:paraId="16DB6E56" w14:textId="77777777" w:rsidR="00D46A15" w:rsidRPr="007138D8" w:rsidRDefault="00D46A15" w:rsidP="00120A34">
            <w:pPr>
              <w:tabs>
                <w:tab w:val="left" w:pos="8775"/>
                <w:tab w:val="left" w:pos="10305"/>
              </w:tabs>
              <w:jc w:val="both"/>
            </w:pPr>
          </w:p>
        </w:tc>
        <w:tc>
          <w:tcPr>
            <w:tcW w:w="731" w:type="dxa"/>
            <w:vAlign w:val="center"/>
          </w:tcPr>
          <w:p w14:paraId="7B249E66" w14:textId="77777777" w:rsidR="00D46A15" w:rsidRPr="007138D8" w:rsidRDefault="00D46A15" w:rsidP="00120A34">
            <w:pPr>
              <w:tabs>
                <w:tab w:val="left" w:pos="8775"/>
                <w:tab w:val="left" w:pos="10305"/>
              </w:tabs>
              <w:jc w:val="both"/>
            </w:pPr>
            <w:r w:rsidRPr="007138D8">
              <w:t>.47</w:t>
            </w:r>
          </w:p>
        </w:tc>
        <w:tc>
          <w:tcPr>
            <w:tcW w:w="627" w:type="dxa"/>
            <w:vAlign w:val="center"/>
          </w:tcPr>
          <w:p w14:paraId="46DDA1FF" w14:textId="77777777" w:rsidR="00D46A15" w:rsidRPr="007138D8" w:rsidRDefault="00D46A15" w:rsidP="00120A34">
            <w:pPr>
              <w:tabs>
                <w:tab w:val="left" w:pos="8775"/>
                <w:tab w:val="left" w:pos="10305"/>
              </w:tabs>
              <w:jc w:val="both"/>
            </w:pPr>
            <w:r w:rsidRPr="007138D8">
              <w:t>.06</w:t>
            </w:r>
          </w:p>
        </w:tc>
        <w:tc>
          <w:tcPr>
            <w:tcW w:w="1080" w:type="dxa"/>
            <w:vAlign w:val="center"/>
          </w:tcPr>
          <w:p w14:paraId="3F9C7FB0" w14:textId="77777777" w:rsidR="00D46A15" w:rsidRPr="007138D8" w:rsidRDefault="00D46A15" w:rsidP="00120A34">
            <w:pPr>
              <w:tabs>
                <w:tab w:val="left" w:pos="8775"/>
                <w:tab w:val="left" w:pos="10305"/>
              </w:tabs>
              <w:jc w:val="both"/>
            </w:pPr>
            <w:r w:rsidRPr="007138D8">
              <w:t>7.69***</w:t>
            </w:r>
          </w:p>
        </w:tc>
        <w:tc>
          <w:tcPr>
            <w:tcW w:w="810" w:type="dxa"/>
          </w:tcPr>
          <w:p w14:paraId="71DB6AC9" w14:textId="77777777" w:rsidR="00D46A15" w:rsidRPr="007138D8" w:rsidRDefault="00D46A15" w:rsidP="00120A34">
            <w:pPr>
              <w:tabs>
                <w:tab w:val="left" w:pos="8775"/>
                <w:tab w:val="left" w:pos="10305"/>
              </w:tabs>
              <w:jc w:val="both"/>
            </w:pPr>
          </w:p>
        </w:tc>
      </w:tr>
      <w:tr w:rsidR="007138D8" w:rsidRPr="007138D8" w14:paraId="5AB42767" w14:textId="77777777" w:rsidTr="002F37E2">
        <w:trPr>
          <w:trHeight w:val="616"/>
          <w:jc w:val="center"/>
        </w:trPr>
        <w:tc>
          <w:tcPr>
            <w:tcW w:w="2813" w:type="dxa"/>
            <w:vAlign w:val="center"/>
          </w:tcPr>
          <w:p w14:paraId="5777A9BF" w14:textId="77777777" w:rsidR="00D46A15" w:rsidRPr="007138D8" w:rsidRDefault="00D46A15" w:rsidP="00120A34">
            <w:pPr>
              <w:tabs>
                <w:tab w:val="left" w:pos="8775"/>
                <w:tab w:val="left" w:pos="10305"/>
              </w:tabs>
              <w:jc w:val="both"/>
              <w:rPr>
                <w:i/>
              </w:rPr>
            </w:pPr>
          </w:p>
        </w:tc>
        <w:tc>
          <w:tcPr>
            <w:tcW w:w="1395" w:type="dxa"/>
            <w:gridSpan w:val="2"/>
            <w:vAlign w:val="center"/>
          </w:tcPr>
          <w:p w14:paraId="24B7F947" w14:textId="77777777" w:rsidR="00D46A15" w:rsidRPr="007138D8" w:rsidRDefault="00D46A15" w:rsidP="00120A34">
            <w:pPr>
              <w:tabs>
                <w:tab w:val="left" w:pos="8775"/>
                <w:tab w:val="left" w:pos="10305"/>
              </w:tabs>
              <w:jc w:val="both"/>
            </w:pPr>
          </w:p>
        </w:tc>
        <w:tc>
          <w:tcPr>
            <w:tcW w:w="996" w:type="dxa"/>
            <w:vAlign w:val="center"/>
          </w:tcPr>
          <w:p w14:paraId="40E2DA0E" w14:textId="77777777" w:rsidR="00D46A15" w:rsidRPr="007138D8" w:rsidRDefault="00D46A15" w:rsidP="00120A34">
            <w:pPr>
              <w:tabs>
                <w:tab w:val="left" w:pos="8775"/>
                <w:tab w:val="left" w:pos="10305"/>
              </w:tabs>
              <w:jc w:val="both"/>
            </w:pPr>
          </w:p>
        </w:tc>
        <w:tc>
          <w:tcPr>
            <w:tcW w:w="516" w:type="dxa"/>
          </w:tcPr>
          <w:p w14:paraId="59D42CF1" w14:textId="77777777" w:rsidR="00D46A15" w:rsidRPr="007138D8" w:rsidRDefault="00D46A15" w:rsidP="00120A34">
            <w:pPr>
              <w:tabs>
                <w:tab w:val="left" w:pos="8775"/>
                <w:tab w:val="left" w:pos="10305"/>
              </w:tabs>
              <w:jc w:val="both"/>
            </w:pPr>
          </w:p>
        </w:tc>
        <w:tc>
          <w:tcPr>
            <w:tcW w:w="731" w:type="dxa"/>
            <w:tcBorders>
              <w:bottom w:val="single" w:sz="4" w:space="0" w:color="auto"/>
            </w:tcBorders>
            <w:vAlign w:val="center"/>
          </w:tcPr>
          <w:p w14:paraId="3BCCFBEF" w14:textId="77777777" w:rsidR="00D46A15" w:rsidRPr="007138D8" w:rsidRDefault="00D46A15" w:rsidP="00120A34">
            <w:pPr>
              <w:tabs>
                <w:tab w:val="left" w:pos="8775"/>
                <w:tab w:val="left" w:pos="10305"/>
              </w:tabs>
              <w:jc w:val="both"/>
            </w:pPr>
            <w:r w:rsidRPr="007138D8">
              <w:t>β</w:t>
            </w:r>
          </w:p>
        </w:tc>
        <w:tc>
          <w:tcPr>
            <w:tcW w:w="627" w:type="dxa"/>
            <w:tcBorders>
              <w:bottom w:val="single" w:sz="4" w:space="0" w:color="auto"/>
            </w:tcBorders>
            <w:vAlign w:val="center"/>
          </w:tcPr>
          <w:p w14:paraId="41E9C642" w14:textId="77777777" w:rsidR="00D46A15" w:rsidRPr="007138D8" w:rsidRDefault="00D46A15" w:rsidP="00120A34">
            <w:pPr>
              <w:tabs>
                <w:tab w:val="left" w:pos="8775"/>
                <w:tab w:val="left" w:pos="10305"/>
              </w:tabs>
              <w:jc w:val="both"/>
            </w:pPr>
            <w:r w:rsidRPr="007138D8">
              <w:t>SE</w:t>
            </w:r>
          </w:p>
        </w:tc>
        <w:tc>
          <w:tcPr>
            <w:tcW w:w="1080" w:type="dxa"/>
            <w:tcBorders>
              <w:bottom w:val="single" w:sz="4" w:space="0" w:color="auto"/>
            </w:tcBorders>
            <w:vAlign w:val="center"/>
          </w:tcPr>
          <w:p w14:paraId="4067A1ED" w14:textId="77777777" w:rsidR="00D46A15" w:rsidRPr="007138D8" w:rsidRDefault="00D46A15" w:rsidP="00120A34">
            <w:pPr>
              <w:tabs>
                <w:tab w:val="left" w:pos="8775"/>
                <w:tab w:val="left" w:pos="10305"/>
              </w:tabs>
              <w:jc w:val="both"/>
            </w:pPr>
            <w:r w:rsidRPr="007138D8">
              <w:t>LLCI</w:t>
            </w:r>
          </w:p>
        </w:tc>
        <w:tc>
          <w:tcPr>
            <w:tcW w:w="810" w:type="dxa"/>
            <w:tcBorders>
              <w:bottom w:val="single" w:sz="4" w:space="0" w:color="auto"/>
            </w:tcBorders>
            <w:vAlign w:val="center"/>
          </w:tcPr>
          <w:p w14:paraId="62BBD3AB" w14:textId="77777777" w:rsidR="00D46A15" w:rsidRPr="007138D8" w:rsidRDefault="00D46A15" w:rsidP="00120A34">
            <w:pPr>
              <w:tabs>
                <w:tab w:val="left" w:pos="8775"/>
                <w:tab w:val="left" w:pos="10305"/>
              </w:tabs>
              <w:jc w:val="both"/>
            </w:pPr>
            <w:r w:rsidRPr="007138D8">
              <w:t>ULCI</w:t>
            </w:r>
          </w:p>
        </w:tc>
      </w:tr>
      <w:tr w:rsidR="007138D8" w:rsidRPr="007138D8" w14:paraId="194A9885" w14:textId="77777777" w:rsidTr="002F37E2">
        <w:trPr>
          <w:trHeight w:val="616"/>
          <w:jc w:val="center"/>
        </w:trPr>
        <w:tc>
          <w:tcPr>
            <w:tcW w:w="2813" w:type="dxa"/>
            <w:tcBorders>
              <w:bottom w:val="single" w:sz="4" w:space="0" w:color="auto"/>
            </w:tcBorders>
            <w:vAlign w:val="center"/>
          </w:tcPr>
          <w:p w14:paraId="4C5883EB" w14:textId="77777777" w:rsidR="00D46A15" w:rsidRPr="007138D8" w:rsidRDefault="00183A2B" w:rsidP="00120A34">
            <w:pPr>
              <w:tabs>
                <w:tab w:val="left" w:pos="8775"/>
                <w:tab w:val="left" w:pos="10305"/>
              </w:tabs>
              <w:jc w:val="both"/>
              <w:rPr>
                <w:i/>
              </w:rPr>
            </w:pPr>
            <w:r w:rsidRPr="007138D8">
              <w:rPr>
                <w:i/>
              </w:rPr>
              <w:t>I</w:t>
            </w:r>
            <w:r w:rsidR="00D46A15" w:rsidRPr="007138D8">
              <w:rPr>
                <w:i/>
              </w:rPr>
              <w:t xml:space="preserve">ndirect effect of </w:t>
            </w:r>
            <w:r w:rsidRPr="007138D8">
              <w:rPr>
                <w:i/>
              </w:rPr>
              <w:t>P</w:t>
            </w:r>
            <w:r w:rsidR="00D46A15" w:rsidRPr="007138D8">
              <w:rPr>
                <w:i/>
              </w:rPr>
              <w:t>sychological contract</w:t>
            </w:r>
          </w:p>
        </w:tc>
        <w:tc>
          <w:tcPr>
            <w:tcW w:w="765" w:type="dxa"/>
            <w:tcBorders>
              <w:bottom w:val="single" w:sz="4" w:space="0" w:color="auto"/>
            </w:tcBorders>
            <w:vAlign w:val="center"/>
          </w:tcPr>
          <w:p w14:paraId="7AC99E9E" w14:textId="77777777" w:rsidR="00D46A15" w:rsidRPr="007138D8" w:rsidRDefault="00D46A15" w:rsidP="00120A34">
            <w:pPr>
              <w:tabs>
                <w:tab w:val="left" w:pos="8775"/>
                <w:tab w:val="left" w:pos="10305"/>
              </w:tabs>
              <w:jc w:val="both"/>
            </w:pPr>
          </w:p>
        </w:tc>
        <w:tc>
          <w:tcPr>
            <w:tcW w:w="630" w:type="dxa"/>
            <w:tcBorders>
              <w:bottom w:val="single" w:sz="4" w:space="0" w:color="auto"/>
            </w:tcBorders>
            <w:vAlign w:val="center"/>
          </w:tcPr>
          <w:p w14:paraId="23D701D8" w14:textId="77777777" w:rsidR="00D46A15" w:rsidRPr="007138D8" w:rsidRDefault="00D46A15" w:rsidP="00120A34">
            <w:pPr>
              <w:tabs>
                <w:tab w:val="left" w:pos="8775"/>
                <w:tab w:val="left" w:pos="10305"/>
              </w:tabs>
              <w:jc w:val="both"/>
            </w:pPr>
          </w:p>
        </w:tc>
        <w:tc>
          <w:tcPr>
            <w:tcW w:w="996" w:type="dxa"/>
            <w:tcBorders>
              <w:bottom w:val="single" w:sz="4" w:space="0" w:color="auto"/>
            </w:tcBorders>
          </w:tcPr>
          <w:p w14:paraId="0A6E8B6C" w14:textId="77777777" w:rsidR="00D46A15" w:rsidRPr="007138D8" w:rsidRDefault="00D46A15" w:rsidP="00120A34">
            <w:pPr>
              <w:tabs>
                <w:tab w:val="left" w:pos="8775"/>
                <w:tab w:val="left" w:pos="10305"/>
              </w:tabs>
              <w:jc w:val="both"/>
            </w:pPr>
          </w:p>
        </w:tc>
        <w:tc>
          <w:tcPr>
            <w:tcW w:w="516" w:type="dxa"/>
            <w:tcBorders>
              <w:bottom w:val="single" w:sz="4" w:space="0" w:color="auto"/>
            </w:tcBorders>
          </w:tcPr>
          <w:p w14:paraId="4DE75A71" w14:textId="77777777" w:rsidR="00D46A15" w:rsidRPr="007138D8" w:rsidRDefault="00D46A15" w:rsidP="00120A34">
            <w:pPr>
              <w:tabs>
                <w:tab w:val="left" w:pos="8775"/>
                <w:tab w:val="left" w:pos="10305"/>
              </w:tabs>
              <w:jc w:val="both"/>
            </w:pPr>
          </w:p>
        </w:tc>
        <w:tc>
          <w:tcPr>
            <w:tcW w:w="731" w:type="dxa"/>
            <w:tcBorders>
              <w:top w:val="single" w:sz="4" w:space="0" w:color="auto"/>
              <w:bottom w:val="single" w:sz="4" w:space="0" w:color="auto"/>
            </w:tcBorders>
            <w:vAlign w:val="center"/>
          </w:tcPr>
          <w:p w14:paraId="3F858156" w14:textId="77777777" w:rsidR="00D46A15" w:rsidRPr="007138D8" w:rsidRDefault="00D46A15" w:rsidP="00120A34">
            <w:pPr>
              <w:tabs>
                <w:tab w:val="left" w:pos="8775"/>
                <w:tab w:val="left" w:pos="10305"/>
              </w:tabs>
              <w:jc w:val="both"/>
            </w:pPr>
            <w:r w:rsidRPr="007138D8">
              <w:t>.25</w:t>
            </w:r>
          </w:p>
        </w:tc>
        <w:tc>
          <w:tcPr>
            <w:tcW w:w="627" w:type="dxa"/>
            <w:tcBorders>
              <w:top w:val="single" w:sz="4" w:space="0" w:color="auto"/>
              <w:bottom w:val="single" w:sz="4" w:space="0" w:color="auto"/>
            </w:tcBorders>
            <w:vAlign w:val="center"/>
          </w:tcPr>
          <w:p w14:paraId="7FBF8360" w14:textId="77777777" w:rsidR="00D46A15" w:rsidRPr="007138D8" w:rsidRDefault="00D46A15" w:rsidP="00120A34">
            <w:pPr>
              <w:tabs>
                <w:tab w:val="left" w:pos="8775"/>
                <w:tab w:val="left" w:pos="10305"/>
              </w:tabs>
              <w:jc w:val="both"/>
            </w:pPr>
            <w:r w:rsidRPr="007138D8">
              <w:t>.05</w:t>
            </w:r>
          </w:p>
        </w:tc>
        <w:tc>
          <w:tcPr>
            <w:tcW w:w="1080" w:type="dxa"/>
            <w:tcBorders>
              <w:top w:val="single" w:sz="4" w:space="0" w:color="auto"/>
              <w:bottom w:val="single" w:sz="4" w:space="0" w:color="auto"/>
            </w:tcBorders>
            <w:vAlign w:val="center"/>
          </w:tcPr>
          <w:p w14:paraId="711FF07C" w14:textId="77777777" w:rsidR="00D46A15" w:rsidRPr="007138D8" w:rsidRDefault="00D46A15" w:rsidP="00120A34">
            <w:pPr>
              <w:tabs>
                <w:tab w:val="left" w:pos="8775"/>
                <w:tab w:val="left" w:pos="10305"/>
              </w:tabs>
              <w:jc w:val="both"/>
            </w:pPr>
            <w:r w:rsidRPr="007138D8">
              <w:t>.16</w:t>
            </w:r>
          </w:p>
        </w:tc>
        <w:tc>
          <w:tcPr>
            <w:tcW w:w="810" w:type="dxa"/>
            <w:tcBorders>
              <w:top w:val="single" w:sz="4" w:space="0" w:color="auto"/>
              <w:bottom w:val="single" w:sz="4" w:space="0" w:color="auto"/>
            </w:tcBorders>
            <w:vAlign w:val="center"/>
          </w:tcPr>
          <w:p w14:paraId="7159B390" w14:textId="77777777" w:rsidR="00D46A15" w:rsidRPr="007138D8" w:rsidRDefault="00D46A15" w:rsidP="00120A34">
            <w:pPr>
              <w:tabs>
                <w:tab w:val="left" w:pos="8775"/>
                <w:tab w:val="left" w:pos="10305"/>
              </w:tabs>
              <w:jc w:val="both"/>
            </w:pPr>
            <w:r w:rsidRPr="007138D8">
              <w:t>.36</w:t>
            </w:r>
          </w:p>
        </w:tc>
      </w:tr>
    </w:tbl>
    <w:p w14:paraId="5DC9EDDF" w14:textId="77777777" w:rsidR="00D46A15" w:rsidRPr="007138D8" w:rsidRDefault="00D46A15" w:rsidP="00120A34">
      <w:pPr>
        <w:tabs>
          <w:tab w:val="left" w:pos="8775"/>
          <w:tab w:val="left" w:pos="10305"/>
        </w:tabs>
        <w:spacing w:before="240"/>
        <w:jc w:val="both"/>
        <w:rPr>
          <w:sz w:val="20"/>
          <w:szCs w:val="20"/>
        </w:rPr>
      </w:pPr>
      <w:r w:rsidRPr="007138D8">
        <w:rPr>
          <w:sz w:val="20"/>
          <w:szCs w:val="20"/>
        </w:rPr>
        <w:t>Note: *p&lt;.05; **p&lt;.01; ***p&lt;.001; Unstandardized regression coefficients are shown; Bootstrap sample size=5000; LLCI=Bias corrected lower limit confidence interval; ULCI=Bias corrected upper limit confidence interval</w:t>
      </w:r>
    </w:p>
    <w:p w14:paraId="26B76FC3" w14:textId="77777777" w:rsidR="00770A8A" w:rsidRPr="007138D8" w:rsidRDefault="00770A8A" w:rsidP="00120A34">
      <w:pPr>
        <w:spacing w:line="480" w:lineRule="auto"/>
        <w:ind w:firstLine="360"/>
        <w:jc w:val="both"/>
      </w:pPr>
    </w:p>
    <w:p w14:paraId="664746F5" w14:textId="221A0239" w:rsidR="00EB0D8E" w:rsidRPr="007138D8" w:rsidRDefault="00770A8A" w:rsidP="004368C1">
      <w:pPr>
        <w:spacing w:line="480" w:lineRule="auto"/>
        <w:ind w:firstLine="360"/>
        <w:jc w:val="both"/>
        <w:rPr>
          <w:b/>
        </w:rPr>
      </w:pPr>
      <w:r w:rsidRPr="007138D8">
        <w:t xml:space="preserve">In the second step, model 7 was used for moderated mediation. Table 3 shows that, again, PC fulfillment has a positive relationship with trust </w:t>
      </w:r>
      <w:r w:rsidRPr="007138D8">
        <w:rPr>
          <w:rFonts w:ascii="AdvOT46dcae81" w:hAnsi="AdvOT46dcae81"/>
          <w:szCs w:val="20"/>
        </w:rPr>
        <w:t>(</w:t>
      </w:r>
      <w:r w:rsidRPr="007138D8">
        <w:t xml:space="preserve">β = 0.34, t = 4.51, p &lt; 0.001) and organizational commitment </w:t>
      </w:r>
      <w:r w:rsidRPr="007138D8">
        <w:rPr>
          <w:rFonts w:ascii="AdvOT46dcae81" w:hAnsi="AdvOT46dcae81"/>
          <w:szCs w:val="20"/>
        </w:rPr>
        <w:t>(</w:t>
      </w:r>
      <w:r w:rsidRPr="007138D8">
        <w:t>β = 0.16, t = 2.31, p &lt; 0.05). Further, trust has a positive relationship with organizational commitment</w:t>
      </w:r>
      <w:r w:rsidRPr="007138D8">
        <w:rPr>
          <w:rFonts w:ascii="AdvOT46dcae81" w:hAnsi="AdvOT46dcae81"/>
          <w:szCs w:val="20"/>
        </w:rPr>
        <w:t>(</w:t>
      </w:r>
      <w:r w:rsidRPr="007138D8">
        <w:t xml:space="preserve">β = 0.47, t = 7.69, p &lt; 0.001). Table 3 also showed that AI </w:t>
      </w:r>
      <w:r w:rsidRPr="007138D8">
        <w:rPr>
          <w:rFonts w:ascii="AdvOT46dcae81" w:hAnsi="AdvOT46dcae81"/>
          <w:szCs w:val="20"/>
        </w:rPr>
        <w:t>(</w:t>
      </w:r>
      <w:r w:rsidRPr="007138D8">
        <w:t>β = -0.20, t = -3.12, p &lt; 0.01) moderates the relationship between PC fulfillment and trust.  Hence,</w:t>
      </w:r>
      <w:r w:rsidR="00423685" w:rsidRPr="007138D8">
        <w:t xml:space="preserve"> </w:t>
      </w:r>
      <w:r w:rsidRPr="007138D8">
        <w:t xml:space="preserve">H5 is supported. This study also plots the slope for moderation as shown in Fig 2, such that the slope of the relationship between PC fulfillment and trust is weaker when AI is high </w:t>
      </w:r>
      <w:r w:rsidRPr="007138D8">
        <w:rPr>
          <w:rFonts w:ascii="AdvOT46dcae81" w:hAnsi="AdvOT46dcae81"/>
          <w:szCs w:val="20"/>
        </w:rPr>
        <w:t>(</w:t>
      </w:r>
      <w:r w:rsidRPr="007138D8">
        <w:t xml:space="preserve">t = 0.83, ns) but stronger when AI is low </w:t>
      </w:r>
      <w:r w:rsidRPr="007138D8">
        <w:rPr>
          <w:rFonts w:ascii="AdvOT46dcae81" w:hAnsi="AdvOT46dcae81"/>
          <w:szCs w:val="20"/>
        </w:rPr>
        <w:t>(</w:t>
      </w:r>
      <w:r w:rsidRPr="007138D8">
        <w:t xml:space="preserve">t = 4.27, p &lt; 0.001). </w:t>
      </w:r>
      <w:r w:rsidR="00EB0D8E" w:rsidRPr="007138D8">
        <w:rPr>
          <w:b/>
        </w:rPr>
        <w:br w:type="page"/>
      </w:r>
    </w:p>
    <w:p w14:paraId="577A0AE8" w14:textId="24DF98F6" w:rsidR="00F321CD" w:rsidRPr="007138D8" w:rsidRDefault="00F321CD" w:rsidP="00187095">
      <w:pPr>
        <w:tabs>
          <w:tab w:val="left" w:pos="8775"/>
          <w:tab w:val="left" w:pos="10305"/>
        </w:tabs>
        <w:spacing w:before="240" w:after="240"/>
        <w:jc w:val="center"/>
      </w:pPr>
      <w:r w:rsidRPr="007138D8">
        <w:rPr>
          <w:b/>
        </w:rPr>
        <w:lastRenderedPageBreak/>
        <w:t>Table 3:</w:t>
      </w:r>
      <w:r w:rsidR="00B20EB6" w:rsidRPr="007138D8">
        <w:rPr>
          <w:b/>
        </w:rPr>
        <w:t xml:space="preserve"> </w:t>
      </w:r>
      <w:r w:rsidRPr="007138D8">
        <w:rPr>
          <w:rFonts w:ascii="TimesNewRoman" w:hAnsi="TimesNewRoman"/>
        </w:rPr>
        <w:t>Results of moderated mediation overall model</w:t>
      </w:r>
    </w:p>
    <w:tbl>
      <w:tblPr>
        <w:tblStyle w:val="TableGrid"/>
        <w:tblW w:w="9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640"/>
        <w:gridCol w:w="699"/>
        <w:gridCol w:w="1170"/>
        <w:gridCol w:w="900"/>
        <w:gridCol w:w="636"/>
        <w:gridCol w:w="626"/>
        <w:gridCol w:w="996"/>
        <w:gridCol w:w="750"/>
      </w:tblGrid>
      <w:tr w:rsidR="007138D8" w:rsidRPr="007138D8" w14:paraId="529DC550" w14:textId="77777777" w:rsidTr="00212866">
        <w:trPr>
          <w:trHeight w:val="485"/>
          <w:jc w:val="center"/>
        </w:trPr>
        <w:tc>
          <w:tcPr>
            <w:tcW w:w="3087" w:type="dxa"/>
            <w:vMerge w:val="restart"/>
            <w:tcBorders>
              <w:top w:val="single" w:sz="4" w:space="0" w:color="auto"/>
            </w:tcBorders>
            <w:vAlign w:val="center"/>
          </w:tcPr>
          <w:p w14:paraId="00014153" w14:textId="77777777" w:rsidR="00F321CD" w:rsidRPr="007138D8" w:rsidRDefault="00F321CD" w:rsidP="00120A34">
            <w:pPr>
              <w:tabs>
                <w:tab w:val="left" w:pos="8775"/>
                <w:tab w:val="left" w:pos="10305"/>
              </w:tabs>
              <w:jc w:val="both"/>
            </w:pPr>
            <w:r w:rsidRPr="007138D8">
              <w:t>antecedents</w:t>
            </w:r>
          </w:p>
        </w:tc>
        <w:tc>
          <w:tcPr>
            <w:tcW w:w="3409" w:type="dxa"/>
            <w:gridSpan w:val="4"/>
            <w:tcBorders>
              <w:top w:val="single" w:sz="4" w:space="0" w:color="auto"/>
              <w:bottom w:val="single" w:sz="4" w:space="0" w:color="auto"/>
            </w:tcBorders>
            <w:vAlign w:val="center"/>
          </w:tcPr>
          <w:p w14:paraId="4B33B4DD" w14:textId="77777777" w:rsidR="00F321CD" w:rsidRPr="007138D8" w:rsidRDefault="00F321CD" w:rsidP="00120A34">
            <w:pPr>
              <w:tabs>
                <w:tab w:val="left" w:pos="8775"/>
                <w:tab w:val="left" w:pos="10305"/>
              </w:tabs>
              <w:jc w:val="both"/>
            </w:pPr>
            <w:r w:rsidRPr="007138D8">
              <w:t>mediator</w:t>
            </w:r>
          </w:p>
        </w:tc>
        <w:tc>
          <w:tcPr>
            <w:tcW w:w="3008" w:type="dxa"/>
            <w:gridSpan w:val="4"/>
            <w:tcBorders>
              <w:top w:val="single" w:sz="4" w:space="0" w:color="auto"/>
              <w:bottom w:val="single" w:sz="4" w:space="0" w:color="auto"/>
            </w:tcBorders>
            <w:vAlign w:val="center"/>
          </w:tcPr>
          <w:p w14:paraId="19AE6678" w14:textId="77777777" w:rsidR="00F321CD" w:rsidRPr="007138D8" w:rsidRDefault="00F321CD" w:rsidP="00120A34">
            <w:pPr>
              <w:tabs>
                <w:tab w:val="left" w:pos="8775"/>
                <w:tab w:val="left" w:pos="10305"/>
              </w:tabs>
              <w:jc w:val="both"/>
            </w:pPr>
            <w:r w:rsidRPr="007138D8">
              <w:t>dependent variable</w:t>
            </w:r>
          </w:p>
        </w:tc>
      </w:tr>
      <w:tr w:rsidR="007138D8" w:rsidRPr="007138D8" w14:paraId="3E8A7322" w14:textId="77777777" w:rsidTr="00212866">
        <w:trPr>
          <w:trHeight w:val="530"/>
          <w:jc w:val="center"/>
        </w:trPr>
        <w:tc>
          <w:tcPr>
            <w:tcW w:w="3087" w:type="dxa"/>
            <w:vMerge/>
            <w:tcBorders>
              <w:top w:val="single" w:sz="4" w:space="0" w:color="auto"/>
            </w:tcBorders>
            <w:vAlign w:val="center"/>
          </w:tcPr>
          <w:p w14:paraId="09A75EFD" w14:textId="77777777" w:rsidR="00F321CD" w:rsidRPr="007138D8" w:rsidRDefault="00F321CD" w:rsidP="00120A34">
            <w:pPr>
              <w:tabs>
                <w:tab w:val="left" w:pos="8775"/>
                <w:tab w:val="left" w:pos="10305"/>
              </w:tabs>
              <w:jc w:val="both"/>
            </w:pPr>
          </w:p>
        </w:tc>
        <w:tc>
          <w:tcPr>
            <w:tcW w:w="3409" w:type="dxa"/>
            <w:gridSpan w:val="4"/>
            <w:tcBorders>
              <w:top w:val="single" w:sz="4" w:space="0" w:color="auto"/>
              <w:bottom w:val="single" w:sz="4" w:space="0" w:color="auto"/>
            </w:tcBorders>
            <w:vAlign w:val="center"/>
          </w:tcPr>
          <w:p w14:paraId="74F3C9FA" w14:textId="77777777" w:rsidR="00F321CD" w:rsidRPr="007138D8" w:rsidRDefault="00F321CD" w:rsidP="00120A34">
            <w:pPr>
              <w:tabs>
                <w:tab w:val="left" w:pos="8775"/>
                <w:tab w:val="left" w:pos="10305"/>
              </w:tabs>
              <w:jc w:val="both"/>
            </w:pPr>
            <w:r w:rsidRPr="007138D8">
              <w:t>trust</w:t>
            </w:r>
          </w:p>
        </w:tc>
        <w:tc>
          <w:tcPr>
            <w:tcW w:w="3008" w:type="dxa"/>
            <w:gridSpan w:val="4"/>
            <w:tcBorders>
              <w:top w:val="single" w:sz="4" w:space="0" w:color="auto"/>
              <w:bottom w:val="single" w:sz="4" w:space="0" w:color="auto"/>
            </w:tcBorders>
            <w:vAlign w:val="center"/>
          </w:tcPr>
          <w:p w14:paraId="47987342" w14:textId="77777777" w:rsidR="00F321CD" w:rsidRPr="007138D8" w:rsidRDefault="00F321CD" w:rsidP="00120A34">
            <w:pPr>
              <w:tabs>
                <w:tab w:val="left" w:pos="8775"/>
                <w:tab w:val="left" w:pos="10305"/>
              </w:tabs>
              <w:jc w:val="both"/>
            </w:pPr>
            <w:r w:rsidRPr="007138D8">
              <w:t>organizational commitment</w:t>
            </w:r>
          </w:p>
        </w:tc>
      </w:tr>
      <w:tr w:rsidR="007138D8" w:rsidRPr="007138D8" w14:paraId="1568D192" w14:textId="77777777" w:rsidTr="002F37E2">
        <w:trPr>
          <w:trHeight w:val="593"/>
          <w:jc w:val="center"/>
        </w:trPr>
        <w:tc>
          <w:tcPr>
            <w:tcW w:w="3087" w:type="dxa"/>
            <w:vMerge/>
            <w:tcBorders>
              <w:bottom w:val="single" w:sz="4" w:space="0" w:color="auto"/>
            </w:tcBorders>
          </w:tcPr>
          <w:p w14:paraId="606FB61E" w14:textId="77777777" w:rsidR="00F321CD" w:rsidRPr="007138D8" w:rsidRDefault="00F321CD" w:rsidP="00120A34">
            <w:pPr>
              <w:tabs>
                <w:tab w:val="left" w:pos="8775"/>
                <w:tab w:val="left" w:pos="10305"/>
              </w:tabs>
              <w:jc w:val="both"/>
            </w:pPr>
          </w:p>
        </w:tc>
        <w:tc>
          <w:tcPr>
            <w:tcW w:w="640" w:type="dxa"/>
            <w:tcBorders>
              <w:top w:val="single" w:sz="4" w:space="0" w:color="auto"/>
              <w:bottom w:val="single" w:sz="4" w:space="0" w:color="auto"/>
            </w:tcBorders>
            <w:vAlign w:val="center"/>
          </w:tcPr>
          <w:p w14:paraId="38AA83C7" w14:textId="77777777" w:rsidR="00F321CD" w:rsidRPr="007138D8" w:rsidRDefault="00F321CD" w:rsidP="00120A34">
            <w:pPr>
              <w:tabs>
                <w:tab w:val="left" w:pos="8775"/>
                <w:tab w:val="left" w:pos="10305"/>
              </w:tabs>
              <w:jc w:val="both"/>
            </w:pPr>
            <w:r w:rsidRPr="007138D8">
              <w:t>β</w:t>
            </w:r>
          </w:p>
        </w:tc>
        <w:tc>
          <w:tcPr>
            <w:tcW w:w="699" w:type="dxa"/>
            <w:tcBorders>
              <w:top w:val="single" w:sz="4" w:space="0" w:color="auto"/>
              <w:bottom w:val="single" w:sz="4" w:space="0" w:color="auto"/>
            </w:tcBorders>
            <w:vAlign w:val="center"/>
          </w:tcPr>
          <w:p w14:paraId="008E2BD5" w14:textId="77777777" w:rsidR="00F321CD" w:rsidRPr="007138D8" w:rsidRDefault="00F321CD" w:rsidP="00120A34">
            <w:pPr>
              <w:tabs>
                <w:tab w:val="left" w:pos="8775"/>
                <w:tab w:val="left" w:pos="10305"/>
              </w:tabs>
              <w:jc w:val="both"/>
            </w:pPr>
            <w:r w:rsidRPr="007138D8">
              <w:t>SE</w:t>
            </w:r>
          </w:p>
        </w:tc>
        <w:tc>
          <w:tcPr>
            <w:tcW w:w="1170" w:type="dxa"/>
            <w:tcBorders>
              <w:top w:val="single" w:sz="4" w:space="0" w:color="auto"/>
              <w:bottom w:val="single" w:sz="4" w:space="0" w:color="auto"/>
            </w:tcBorders>
            <w:vAlign w:val="center"/>
          </w:tcPr>
          <w:p w14:paraId="6934493E" w14:textId="77777777" w:rsidR="00F321CD" w:rsidRPr="007138D8" w:rsidRDefault="00F321CD" w:rsidP="00120A34">
            <w:pPr>
              <w:tabs>
                <w:tab w:val="left" w:pos="8775"/>
                <w:tab w:val="left" w:pos="10305"/>
              </w:tabs>
              <w:jc w:val="both"/>
            </w:pPr>
            <w:r w:rsidRPr="007138D8">
              <w:t>t</w:t>
            </w:r>
          </w:p>
        </w:tc>
        <w:tc>
          <w:tcPr>
            <w:tcW w:w="900" w:type="dxa"/>
            <w:tcBorders>
              <w:top w:val="single" w:sz="4" w:space="0" w:color="auto"/>
              <w:bottom w:val="single" w:sz="4" w:space="0" w:color="auto"/>
            </w:tcBorders>
            <w:vAlign w:val="center"/>
          </w:tcPr>
          <w:p w14:paraId="15EAB894" w14:textId="77777777" w:rsidR="00F321CD" w:rsidRPr="007138D8" w:rsidRDefault="00000000" w:rsidP="00120A34">
            <w:pPr>
              <w:tabs>
                <w:tab w:val="left" w:pos="8775"/>
                <w:tab w:val="left" w:pos="10305"/>
              </w:tabs>
              <w:jc w:val="both"/>
            </w:pPr>
            <m:oMathPara>
              <m:oMath>
                <m:sSup>
                  <m:sSupPr>
                    <m:ctrlPr>
                      <w:rPr>
                        <w:rFonts w:ascii="Cambria Math" w:hAnsi="Cambria Math"/>
                      </w:rPr>
                    </m:ctrlPr>
                  </m:sSupPr>
                  <m:e>
                    <m:r>
                      <w:rPr>
                        <w:rFonts w:ascii="Cambria Math" w:hAnsi="Cambria Math"/>
                      </w:rPr>
                      <m:t>R</m:t>
                    </m:r>
                  </m:e>
                  <m:sup>
                    <m:r>
                      <w:rPr>
                        <w:rFonts w:ascii="Cambria Math"/>
                      </w:rPr>
                      <m:t>2</m:t>
                    </m:r>
                  </m:sup>
                </m:sSup>
              </m:oMath>
            </m:oMathPara>
          </w:p>
        </w:tc>
        <w:tc>
          <w:tcPr>
            <w:tcW w:w="636" w:type="dxa"/>
            <w:tcBorders>
              <w:top w:val="single" w:sz="4" w:space="0" w:color="auto"/>
              <w:bottom w:val="single" w:sz="4" w:space="0" w:color="auto"/>
            </w:tcBorders>
            <w:vAlign w:val="center"/>
          </w:tcPr>
          <w:p w14:paraId="68B7B7AA" w14:textId="77777777" w:rsidR="00F321CD" w:rsidRPr="007138D8" w:rsidRDefault="00F321CD" w:rsidP="00120A34">
            <w:pPr>
              <w:tabs>
                <w:tab w:val="left" w:pos="8775"/>
                <w:tab w:val="left" w:pos="10305"/>
              </w:tabs>
              <w:jc w:val="both"/>
            </w:pPr>
            <w:r w:rsidRPr="007138D8">
              <w:t>β</w:t>
            </w:r>
          </w:p>
        </w:tc>
        <w:tc>
          <w:tcPr>
            <w:tcW w:w="626" w:type="dxa"/>
            <w:tcBorders>
              <w:top w:val="single" w:sz="4" w:space="0" w:color="auto"/>
              <w:bottom w:val="single" w:sz="4" w:space="0" w:color="auto"/>
            </w:tcBorders>
            <w:vAlign w:val="center"/>
          </w:tcPr>
          <w:p w14:paraId="6B0DF3E9" w14:textId="77777777" w:rsidR="00F321CD" w:rsidRPr="007138D8" w:rsidRDefault="00F321CD" w:rsidP="00120A34">
            <w:pPr>
              <w:tabs>
                <w:tab w:val="left" w:pos="8775"/>
                <w:tab w:val="left" w:pos="10305"/>
              </w:tabs>
              <w:jc w:val="both"/>
            </w:pPr>
            <w:r w:rsidRPr="007138D8">
              <w:t>SE</w:t>
            </w:r>
          </w:p>
        </w:tc>
        <w:tc>
          <w:tcPr>
            <w:tcW w:w="996" w:type="dxa"/>
            <w:tcBorders>
              <w:top w:val="single" w:sz="4" w:space="0" w:color="auto"/>
              <w:bottom w:val="single" w:sz="4" w:space="0" w:color="auto"/>
            </w:tcBorders>
            <w:vAlign w:val="center"/>
          </w:tcPr>
          <w:p w14:paraId="115314DA" w14:textId="77777777" w:rsidR="00F321CD" w:rsidRPr="007138D8" w:rsidRDefault="00F321CD" w:rsidP="00120A34">
            <w:pPr>
              <w:tabs>
                <w:tab w:val="left" w:pos="8775"/>
                <w:tab w:val="left" w:pos="10305"/>
              </w:tabs>
              <w:jc w:val="both"/>
            </w:pPr>
            <w:r w:rsidRPr="007138D8">
              <w:t>t</w:t>
            </w:r>
          </w:p>
        </w:tc>
        <w:tc>
          <w:tcPr>
            <w:tcW w:w="750" w:type="dxa"/>
            <w:tcBorders>
              <w:top w:val="single" w:sz="4" w:space="0" w:color="auto"/>
              <w:bottom w:val="single" w:sz="4" w:space="0" w:color="auto"/>
            </w:tcBorders>
            <w:vAlign w:val="center"/>
          </w:tcPr>
          <w:p w14:paraId="3B53B58E" w14:textId="77777777" w:rsidR="00F321CD" w:rsidRPr="007138D8" w:rsidRDefault="00000000" w:rsidP="00120A34">
            <w:pPr>
              <w:tabs>
                <w:tab w:val="left" w:pos="8775"/>
                <w:tab w:val="left" w:pos="10305"/>
              </w:tabs>
              <w:jc w:val="both"/>
            </w:pPr>
            <m:oMathPara>
              <m:oMath>
                <m:sSup>
                  <m:sSupPr>
                    <m:ctrlPr>
                      <w:rPr>
                        <w:rFonts w:ascii="Cambria Math" w:hAnsi="Cambria Math"/>
                      </w:rPr>
                    </m:ctrlPr>
                  </m:sSupPr>
                  <m:e>
                    <m:r>
                      <w:rPr>
                        <w:rFonts w:ascii="Cambria Math" w:hAnsi="Cambria Math"/>
                      </w:rPr>
                      <m:t>R</m:t>
                    </m:r>
                  </m:e>
                  <m:sup>
                    <m:r>
                      <w:rPr>
                        <w:rFonts w:ascii="Cambria Math"/>
                      </w:rPr>
                      <m:t>2</m:t>
                    </m:r>
                  </m:sup>
                </m:sSup>
              </m:oMath>
            </m:oMathPara>
          </w:p>
        </w:tc>
      </w:tr>
      <w:tr w:rsidR="007138D8" w:rsidRPr="007138D8" w14:paraId="1B2C662A" w14:textId="77777777" w:rsidTr="002F37E2">
        <w:trPr>
          <w:trHeight w:val="490"/>
          <w:jc w:val="center"/>
        </w:trPr>
        <w:tc>
          <w:tcPr>
            <w:tcW w:w="3087" w:type="dxa"/>
            <w:vAlign w:val="center"/>
          </w:tcPr>
          <w:p w14:paraId="713C7E5D" w14:textId="77777777" w:rsidR="00F321CD" w:rsidRPr="007138D8" w:rsidRDefault="00F321CD" w:rsidP="00120A34">
            <w:pPr>
              <w:tabs>
                <w:tab w:val="left" w:pos="8775"/>
                <w:tab w:val="left" w:pos="10305"/>
              </w:tabs>
              <w:jc w:val="both"/>
            </w:pPr>
          </w:p>
        </w:tc>
        <w:tc>
          <w:tcPr>
            <w:tcW w:w="640" w:type="dxa"/>
            <w:vAlign w:val="center"/>
          </w:tcPr>
          <w:p w14:paraId="38C8BC0F" w14:textId="77777777" w:rsidR="00F321CD" w:rsidRPr="007138D8" w:rsidRDefault="00F321CD" w:rsidP="00120A34">
            <w:pPr>
              <w:tabs>
                <w:tab w:val="left" w:pos="8775"/>
                <w:tab w:val="left" w:pos="10305"/>
              </w:tabs>
              <w:jc w:val="both"/>
            </w:pPr>
          </w:p>
        </w:tc>
        <w:tc>
          <w:tcPr>
            <w:tcW w:w="699" w:type="dxa"/>
            <w:vAlign w:val="center"/>
          </w:tcPr>
          <w:p w14:paraId="07E3521C" w14:textId="77777777" w:rsidR="00F321CD" w:rsidRPr="007138D8" w:rsidRDefault="00F321CD" w:rsidP="00120A34">
            <w:pPr>
              <w:tabs>
                <w:tab w:val="left" w:pos="8775"/>
                <w:tab w:val="left" w:pos="10305"/>
              </w:tabs>
              <w:jc w:val="both"/>
            </w:pPr>
          </w:p>
        </w:tc>
        <w:tc>
          <w:tcPr>
            <w:tcW w:w="1170" w:type="dxa"/>
            <w:vAlign w:val="center"/>
          </w:tcPr>
          <w:p w14:paraId="36D1BAAA" w14:textId="77777777" w:rsidR="00F321CD" w:rsidRPr="007138D8" w:rsidRDefault="00F321CD" w:rsidP="00120A34">
            <w:pPr>
              <w:tabs>
                <w:tab w:val="left" w:pos="8775"/>
                <w:tab w:val="left" w:pos="10305"/>
              </w:tabs>
              <w:jc w:val="both"/>
            </w:pPr>
          </w:p>
        </w:tc>
        <w:tc>
          <w:tcPr>
            <w:tcW w:w="900" w:type="dxa"/>
            <w:vAlign w:val="center"/>
          </w:tcPr>
          <w:p w14:paraId="26F2D1F8" w14:textId="77777777" w:rsidR="00F321CD" w:rsidRPr="007138D8" w:rsidRDefault="00F321CD" w:rsidP="00120A34">
            <w:pPr>
              <w:tabs>
                <w:tab w:val="left" w:pos="8775"/>
                <w:tab w:val="left" w:pos="10305"/>
              </w:tabs>
              <w:jc w:val="both"/>
            </w:pPr>
            <w:r w:rsidRPr="007138D8">
              <w:t>.34</w:t>
            </w:r>
          </w:p>
        </w:tc>
        <w:tc>
          <w:tcPr>
            <w:tcW w:w="636" w:type="dxa"/>
            <w:vAlign w:val="center"/>
          </w:tcPr>
          <w:p w14:paraId="4C6DD223" w14:textId="77777777" w:rsidR="00F321CD" w:rsidRPr="007138D8" w:rsidRDefault="00F321CD" w:rsidP="00120A34">
            <w:pPr>
              <w:tabs>
                <w:tab w:val="left" w:pos="8775"/>
                <w:tab w:val="left" w:pos="10305"/>
              </w:tabs>
              <w:jc w:val="both"/>
            </w:pPr>
          </w:p>
        </w:tc>
        <w:tc>
          <w:tcPr>
            <w:tcW w:w="626" w:type="dxa"/>
            <w:vAlign w:val="center"/>
          </w:tcPr>
          <w:p w14:paraId="2C2367A7" w14:textId="77777777" w:rsidR="00F321CD" w:rsidRPr="007138D8" w:rsidRDefault="00F321CD" w:rsidP="00120A34">
            <w:pPr>
              <w:tabs>
                <w:tab w:val="left" w:pos="8775"/>
                <w:tab w:val="left" w:pos="10305"/>
              </w:tabs>
              <w:jc w:val="both"/>
            </w:pPr>
          </w:p>
        </w:tc>
        <w:tc>
          <w:tcPr>
            <w:tcW w:w="996" w:type="dxa"/>
            <w:vAlign w:val="center"/>
          </w:tcPr>
          <w:p w14:paraId="654C2A76" w14:textId="77777777" w:rsidR="00F321CD" w:rsidRPr="007138D8" w:rsidRDefault="00F321CD" w:rsidP="00120A34">
            <w:pPr>
              <w:tabs>
                <w:tab w:val="left" w:pos="8775"/>
                <w:tab w:val="left" w:pos="10305"/>
              </w:tabs>
              <w:jc w:val="both"/>
            </w:pPr>
          </w:p>
        </w:tc>
        <w:tc>
          <w:tcPr>
            <w:tcW w:w="750" w:type="dxa"/>
            <w:vAlign w:val="center"/>
          </w:tcPr>
          <w:p w14:paraId="3605E4EF" w14:textId="77777777" w:rsidR="00F321CD" w:rsidRPr="007138D8" w:rsidRDefault="00F321CD" w:rsidP="00120A34">
            <w:pPr>
              <w:tabs>
                <w:tab w:val="left" w:pos="8775"/>
                <w:tab w:val="left" w:pos="10305"/>
              </w:tabs>
              <w:jc w:val="both"/>
            </w:pPr>
            <w:r w:rsidRPr="007138D8">
              <w:t>.37</w:t>
            </w:r>
          </w:p>
        </w:tc>
      </w:tr>
      <w:tr w:rsidR="007138D8" w:rsidRPr="007138D8" w14:paraId="531F714E" w14:textId="77777777" w:rsidTr="002F37E2">
        <w:trPr>
          <w:trHeight w:val="490"/>
          <w:jc w:val="center"/>
        </w:trPr>
        <w:tc>
          <w:tcPr>
            <w:tcW w:w="3087" w:type="dxa"/>
            <w:vAlign w:val="center"/>
          </w:tcPr>
          <w:p w14:paraId="11581BB9" w14:textId="77777777" w:rsidR="00F321CD" w:rsidRPr="007138D8" w:rsidRDefault="00F321CD" w:rsidP="00120A34">
            <w:pPr>
              <w:tabs>
                <w:tab w:val="left" w:pos="8775"/>
                <w:tab w:val="left" w:pos="10305"/>
              </w:tabs>
              <w:jc w:val="both"/>
            </w:pPr>
            <w:r w:rsidRPr="007138D8">
              <w:t>constant</w:t>
            </w:r>
          </w:p>
        </w:tc>
        <w:tc>
          <w:tcPr>
            <w:tcW w:w="640" w:type="dxa"/>
            <w:vAlign w:val="center"/>
          </w:tcPr>
          <w:p w14:paraId="7C2C401A" w14:textId="77777777" w:rsidR="00F321CD" w:rsidRPr="007138D8" w:rsidRDefault="00F321CD" w:rsidP="00120A34">
            <w:pPr>
              <w:tabs>
                <w:tab w:val="left" w:pos="8775"/>
                <w:tab w:val="left" w:pos="10305"/>
              </w:tabs>
              <w:jc w:val="both"/>
            </w:pPr>
            <w:r w:rsidRPr="007138D8">
              <w:t>3.45</w:t>
            </w:r>
          </w:p>
        </w:tc>
        <w:tc>
          <w:tcPr>
            <w:tcW w:w="699" w:type="dxa"/>
            <w:vAlign w:val="center"/>
          </w:tcPr>
          <w:p w14:paraId="48A4129E" w14:textId="77777777" w:rsidR="00F321CD" w:rsidRPr="007138D8" w:rsidRDefault="00F321CD" w:rsidP="00120A34">
            <w:pPr>
              <w:tabs>
                <w:tab w:val="left" w:pos="8775"/>
                <w:tab w:val="left" w:pos="10305"/>
              </w:tabs>
              <w:jc w:val="both"/>
            </w:pPr>
            <w:r w:rsidRPr="007138D8">
              <w:t>.08</w:t>
            </w:r>
          </w:p>
        </w:tc>
        <w:tc>
          <w:tcPr>
            <w:tcW w:w="1170" w:type="dxa"/>
            <w:vAlign w:val="center"/>
          </w:tcPr>
          <w:p w14:paraId="596B03E6" w14:textId="77777777" w:rsidR="00F321CD" w:rsidRPr="007138D8" w:rsidRDefault="00F321CD" w:rsidP="00120A34">
            <w:pPr>
              <w:tabs>
                <w:tab w:val="left" w:pos="8775"/>
                <w:tab w:val="left" w:pos="10305"/>
              </w:tabs>
              <w:jc w:val="both"/>
            </w:pPr>
            <w:r w:rsidRPr="007138D8">
              <w:t>38.69***</w:t>
            </w:r>
          </w:p>
        </w:tc>
        <w:tc>
          <w:tcPr>
            <w:tcW w:w="900" w:type="dxa"/>
          </w:tcPr>
          <w:p w14:paraId="798179D9" w14:textId="77777777" w:rsidR="00F321CD" w:rsidRPr="007138D8" w:rsidRDefault="00F321CD" w:rsidP="00120A34">
            <w:pPr>
              <w:tabs>
                <w:tab w:val="left" w:pos="8775"/>
                <w:tab w:val="left" w:pos="10305"/>
              </w:tabs>
              <w:jc w:val="both"/>
            </w:pPr>
          </w:p>
        </w:tc>
        <w:tc>
          <w:tcPr>
            <w:tcW w:w="636" w:type="dxa"/>
            <w:vAlign w:val="center"/>
          </w:tcPr>
          <w:p w14:paraId="772C7E3A" w14:textId="77777777" w:rsidR="00F321CD" w:rsidRPr="007138D8" w:rsidRDefault="00F321CD" w:rsidP="00120A34">
            <w:pPr>
              <w:tabs>
                <w:tab w:val="left" w:pos="8775"/>
                <w:tab w:val="left" w:pos="10305"/>
              </w:tabs>
              <w:jc w:val="both"/>
            </w:pPr>
            <w:r w:rsidRPr="007138D8">
              <w:t>1.60</w:t>
            </w:r>
          </w:p>
        </w:tc>
        <w:tc>
          <w:tcPr>
            <w:tcW w:w="626" w:type="dxa"/>
            <w:vAlign w:val="center"/>
          </w:tcPr>
          <w:p w14:paraId="00F375C7" w14:textId="77777777" w:rsidR="00F321CD" w:rsidRPr="007138D8" w:rsidRDefault="00F321CD" w:rsidP="00120A34">
            <w:pPr>
              <w:tabs>
                <w:tab w:val="left" w:pos="8775"/>
                <w:tab w:val="left" w:pos="10305"/>
              </w:tabs>
              <w:jc w:val="both"/>
            </w:pPr>
            <w:r w:rsidRPr="007138D8">
              <w:t>.21</w:t>
            </w:r>
          </w:p>
        </w:tc>
        <w:tc>
          <w:tcPr>
            <w:tcW w:w="996" w:type="dxa"/>
            <w:vAlign w:val="center"/>
          </w:tcPr>
          <w:p w14:paraId="16FA0CC4" w14:textId="77777777" w:rsidR="00F321CD" w:rsidRPr="007138D8" w:rsidRDefault="00F321CD" w:rsidP="00120A34">
            <w:pPr>
              <w:tabs>
                <w:tab w:val="left" w:pos="8775"/>
                <w:tab w:val="left" w:pos="10305"/>
              </w:tabs>
              <w:jc w:val="both"/>
            </w:pPr>
            <w:r w:rsidRPr="007138D8">
              <w:t>7.34***</w:t>
            </w:r>
          </w:p>
        </w:tc>
        <w:tc>
          <w:tcPr>
            <w:tcW w:w="750" w:type="dxa"/>
          </w:tcPr>
          <w:p w14:paraId="11C87AE6" w14:textId="77777777" w:rsidR="00F321CD" w:rsidRPr="007138D8" w:rsidRDefault="00F321CD" w:rsidP="00120A34">
            <w:pPr>
              <w:tabs>
                <w:tab w:val="left" w:pos="8775"/>
                <w:tab w:val="left" w:pos="10305"/>
              </w:tabs>
              <w:jc w:val="both"/>
            </w:pPr>
          </w:p>
        </w:tc>
      </w:tr>
      <w:tr w:rsidR="007138D8" w:rsidRPr="007138D8" w14:paraId="383038A6" w14:textId="77777777" w:rsidTr="002F37E2">
        <w:trPr>
          <w:trHeight w:val="490"/>
          <w:jc w:val="center"/>
        </w:trPr>
        <w:tc>
          <w:tcPr>
            <w:tcW w:w="3087" w:type="dxa"/>
            <w:vAlign w:val="center"/>
          </w:tcPr>
          <w:p w14:paraId="784A91D1" w14:textId="77777777" w:rsidR="00F321CD" w:rsidRPr="007138D8" w:rsidRDefault="00F321CD" w:rsidP="00120A34">
            <w:pPr>
              <w:tabs>
                <w:tab w:val="left" w:pos="8775"/>
                <w:tab w:val="left" w:pos="10305"/>
              </w:tabs>
              <w:jc w:val="both"/>
            </w:pPr>
            <w:r w:rsidRPr="007138D8">
              <w:t>Psychological contract</w:t>
            </w:r>
          </w:p>
        </w:tc>
        <w:tc>
          <w:tcPr>
            <w:tcW w:w="640" w:type="dxa"/>
            <w:vAlign w:val="center"/>
          </w:tcPr>
          <w:p w14:paraId="5FC8E43A" w14:textId="77777777" w:rsidR="00F321CD" w:rsidRPr="007138D8" w:rsidRDefault="00F321CD" w:rsidP="00120A34">
            <w:pPr>
              <w:tabs>
                <w:tab w:val="left" w:pos="8775"/>
                <w:tab w:val="left" w:pos="10305"/>
              </w:tabs>
              <w:jc w:val="both"/>
            </w:pPr>
            <w:r w:rsidRPr="007138D8">
              <w:t>.34</w:t>
            </w:r>
          </w:p>
        </w:tc>
        <w:tc>
          <w:tcPr>
            <w:tcW w:w="699" w:type="dxa"/>
            <w:vAlign w:val="center"/>
          </w:tcPr>
          <w:p w14:paraId="38E87517" w14:textId="77777777" w:rsidR="00F321CD" w:rsidRPr="007138D8" w:rsidRDefault="00F321CD" w:rsidP="00120A34">
            <w:pPr>
              <w:tabs>
                <w:tab w:val="left" w:pos="8775"/>
                <w:tab w:val="left" w:pos="10305"/>
              </w:tabs>
              <w:jc w:val="both"/>
            </w:pPr>
            <w:r w:rsidRPr="007138D8">
              <w:t>.07</w:t>
            </w:r>
          </w:p>
        </w:tc>
        <w:tc>
          <w:tcPr>
            <w:tcW w:w="1170" w:type="dxa"/>
            <w:vAlign w:val="center"/>
          </w:tcPr>
          <w:p w14:paraId="48E0BC09" w14:textId="77777777" w:rsidR="00F321CD" w:rsidRPr="007138D8" w:rsidRDefault="00F321CD" w:rsidP="00120A34">
            <w:pPr>
              <w:tabs>
                <w:tab w:val="left" w:pos="8775"/>
                <w:tab w:val="left" w:pos="10305"/>
              </w:tabs>
              <w:jc w:val="both"/>
            </w:pPr>
            <w:r w:rsidRPr="007138D8">
              <w:t>4.51***</w:t>
            </w:r>
          </w:p>
        </w:tc>
        <w:tc>
          <w:tcPr>
            <w:tcW w:w="900" w:type="dxa"/>
          </w:tcPr>
          <w:p w14:paraId="709A8673" w14:textId="77777777" w:rsidR="00F321CD" w:rsidRPr="007138D8" w:rsidRDefault="00F321CD" w:rsidP="00120A34">
            <w:pPr>
              <w:tabs>
                <w:tab w:val="left" w:pos="8775"/>
                <w:tab w:val="left" w:pos="10305"/>
              </w:tabs>
              <w:jc w:val="both"/>
            </w:pPr>
          </w:p>
        </w:tc>
        <w:tc>
          <w:tcPr>
            <w:tcW w:w="636" w:type="dxa"/>
            <w:vAlign w:val="center"/>
          </w:tcPr>
          <w:p w14:paraId="7324DA2B" w14:textId="77777777" w:rsidR="00F321CD" w:rsidRPr="007138D8" w:rsidRDefault="00F321CD" w:rsidP="00120A34">
            <w:pPr>
              <w:tabs>
                <w:tab w:val="left" w:pos="8775"/>
                <w:tab w:val="left" w:pos="10305"/>
              </w:tabs>
              <w:jc w:val="both"/>
            </w:pPr>
            <w:r w:rsidRPr="007138D8">
              <w:t>.16</w:t>
            </w:r>
          </w:p>
        </w:tc>
        <w:tc>
          <w:tcPr>
            <w:tcW w:w="626" w:type="dxa"/>
            <w:vAlign w:val="center"/>
          </w:tcPr>
          <w:p w14:paraId="67D28F24" w14:textId="77777777" w:rsidR="00F321CD" w:rsidRPr="007138D8" w:rsidRDefault="00F321CD" w:rsidP="00120A34">
            <w:pPr>
              <w:tabs>
                <w:tab w:val="left" w:pos="8775"/>
                <w:tab w:val="left" w:pos="10305"/>
              </w:tabs>
              <w:jc w:val="both"/>
            </w:pPr>
            <w:r w:rsidRPr="007138D8">
              <w:t>.07</w:t>
            </w:r>
          </w:p>
        </w:tc>
        <w:tc>
          <w:tcPr>
            <w:tcW w:w="996" w:type="dxa"/>
            <w:vAlign w:val="center"/>
          </w:tcPr>
          <w:p w14:paraId="13CA4B19" w14:textId="77777777" w:rsidR="00F321CD" w:rsidRPr="007138D8" w:rsidRDefault="00F321CD" w:rsidP="00120A34">
            <w:pPr>
              <w:tabs>
                <w:tab w:val="left" w:pos="8775"/>
                <w:tab w:val="left" w:pos="10305"/>
              </w:tabs>
              <w:jc w:val="both"/>
            </w:pPr>
            <w:r w:rsidRPr="007138D8">
              <w:t>2.31*</w:t>
            </w:r>
          </w:p>
        </w:tc>
        <w:tc>
          <w:tcPr>
            <w:tcW w:w="750" w:type="dxa"/>
          </w:tcPr>
          <w:p w14:paraId="52AFAA97" w14:textId="77777777" w:rsidR="00F321CD" w:rsidRPr="007138D8" w:rsidRDefault="00F321CD" w:rsidP="00120A34">
            <w:pPr>
              <w:tabs>
                <w:tab w:val="left" w:pos="8775"/>
                <w:tab w:val="left" w:pos="10305"/>
              </w:tabs>
              <w:jc w:val="both"/>
            </w:pPr>
          </w:p>
        </w:tc>
      </w:tr>
      <w:tr w:rsidR="007138D8" w:rsidRPr="007138D8" w14:paraId="3830AFCB" w14:textId="77777777" w:rsidTr="002F37E2">
        <w:trPr>
          <w:trHeight w:val="490"/>
          <w:jc w:val="center"/>
        </w:trPr>
        <w:tc>
          <w:tcPr>
            <w:tcW w:w="3087" w:type="dxa"/>
            <w:vAlign w:val="center"/>
          </w:tcPr>
          <w:p w14:paraId="2CFA1152" w14:textId="77777777" w:rsidR="00F321CD" w:rsidRPr="007138D8" w:rsidRDefault="00F321CD" w:rsidP="00120A34">
            <w:pPr>
              <w:tabs>
                <w:tab w:val="left" w:pos="8775"/>
                <w:tab w:val="left" w:pos="10305"/>
              </w:tabs>
              <w:jc w:val="both"/>
            </w:pPr>
            <w:r w:rsidRPr="007138D8">
              <w:t>trust</w:t>
            </w:r>
          </w:p>
        </w:tc>
        <w:tc>
          <w:tcPr>
            <w:tcW w:w="640" w:type="dxa"/>
            <w:vAlign w:val="center"/>
          </w:tcPr>
          <w:p w14:paraId="1077488A" w14:textId="77777777" w:rsidR="00F321CD" w:rsidRPr="007138D8" w:rsidRDefault="00F321CD" w:rsidP="00120A34">
            <w:pPr>
              <w:tabs>
                <w:tab w:val="left" w:pos="8775"/>
                <w:tab w:val="left" w:pos="10305"/>
              </w:tabs>
              <w:jc w:val="both"/>
            </w:pPr>
            <w:r w:rsidRPr="007138D8">
              <w:t>-</w:t>
            </w:r>
          </w:p>
        </w:tc>
        <w:tc>
          <w:tcPr>
            <w:tcW w:w="699" w:type="dxa"/>
            <w:vAlign w:val="center"/>
          </w:tcPr>
          <w:p w14:paraId="4B269021" w14:textId="77777777" w:rsidR="00F321CD" w:rsidRPr="007138D8" w:rsidRDefault="00F321CD" w:rsidP="00120A34">
            <w:pPr>
              <w:tabs>
                <w:tab w:val="left" w:pos="8775"/>
                <w:tab w:val="left" w:pos="10305"/>
              </w:tabs>
              <w:jc w:val="both"/>
            </w:pPr>
            <w:r w:rsidRPr="007138D8">
              <w:t>-</w:t>
            </w:r>
          </w:p>
        </w:tc>
        <w:tc>
          <w:tcPr>
            <w:tcW w:w="1170" w:type="dxa"/>
          </w:tcPr>
          <w:p w14:paraId="21740C18" w14:textId="77777777" w:rsidR="00F321CD" w:rsidRPr="007138D8" w:rsidRDefault="00F321CD" w:rsidP="00120A34">
            <w:pPr>
              <w:tabs>
                <w:tab w:val="left" w:pos="8775"/>
                <w:tab w:val="left" w:pos="10305"/>
              </w:tabs>
              <w:jc w:val="both"/>
            </w:pPr>
            <w:r w:rsidRPr="007138D8">
              <w:t>-</w:t>
            </w:r>
          </w:p>
        </w:tc>
        <w:tc>
          <w:tcPr>
            <w:tcW w:w="900" w:type="dxa"/>
          </w:tcPr>
          <w:p w14:paraId="7C00C0D8" w14:textId="77777777" w:rsidR="00F321CD" w:rsidRPr="007138D8" w:rsidRDefault="00F321CD" w:rsidP="00120A34">
            <w:pPr>
              <w:tabs>
                <w:tab w:val="left" w:pos="8775"/>
                <w:tab w:val="left" w:pos="10305"/>
              </w:tabs>
              <w:jc w:val="both"/>
            </w:pPr>
          </w:p>
        </w:tc>
        <w:tc>
          <w:tcPr>
            <w:tcW w:w="636" w:type="dxa"/>
            <w:vAlign w:val="center"/>
          </w:tcPr>
          <w:p w14:paraId="43F30D4A" w14:textId="77777777" w:rsidR="00F321CD" w:rsidRPr="007138D8" w:rsidRDefault="00F321CD" w:rsidP="00120A34">
            <w:pPr>
              <w:tabs>
                <w:tab w:val="left" w:pos="8775"/>
                <w:tab w:val="left" w:pos="10305"/>
              </w:tabs>
              <w:jc w:val="both"/>
            </w:pPr>
            <w:r w:rsidRPr="007138D8">
              <w:t>.47</w:t>
            </w:r>
          </w:p>
        </w:tc>
        <w:tc>
          <w:tcPr>
            <w:tcW w:w="626" w:type="dxa"/>
            <w:vAlign w:val="center"/>
          </w:tcPr>
          <w:p w14:paraId="5E519C3C" w14:textId="77777777" w:rsidR="00F321CD" w:rsidRPr="007138D8" w:rsidRDefault="00F321CD" w:rsidP="00120A34">
            <w:pPr>
              <w:tabs>
                <w:tab w:val="left" w:pos="8775"/>
                <w:tab w:val="left" w:pos="10305"/>
              </w:tabs>
              <w:jc w:val="both"/>
            </w:pPr>
            <w:r w:rsidRPr="007138D8">
              <w:t>.06</w:t>
            </w:r>
          </w:p>
        </w:tc>
        <w:tc>
          <w:tcPr>
            <w:tcW w:w="996" w:type="dxa"/>
            <w:vAlign w:val="center"/>
          </w:tcPr>
          <w:p w14:paraId="7BE38727" w14:textId="77777777" w:rsidR="00F321CD" w:rsidRPr="007138D8" w:rsidRDefault="00F321CD" w:rsidP="00120A34">
            <w:pPr>
              <w:tabs>
                <w:tab w:val="left" w:pos="8775"/>
                <w:tab w:val="left" w:pos="10305"/>
              </w:tabs>
              <w:jc w:val="both"/>
            </w:pPr>
            <w:r w:rsidRPr="007138D8">
              <w:t>7.69***</w:t>
            </w:r>
          </w:p>
        </w:tc>
        <w:tc>
          <w:tcPr>
            <w:tcW w:w="750" w:type="dxa"/>
          </w:tcPr>
          <w:p w14:paraId="62C4EFCE" w14:textId="77777777" w:rsidR="00F321CD" w:rsidRPr="007138D8" w:rsidRDefault="00F321CD" w:rsidP="00120A34">
            <w:pPr>
              <w:tabs>
                <w:tab w:val="left" w:pos="8775"/>
                <w:tab w:val="left" w:pos="10305"/>
              </w:tabs>
              <w:jc w:val="both"/>
            </w:pPr>
          </w:p>
        </w:tc>
      </w:tr>
      <w:tr w:rsidR="007138D8" w:rsidRPr="007138D8" w14:paraId="38299D08" w14:textId="77777777" w:rsidTr="002F37E2">
        <w:trPr>
          <w:trHeight w:val="490"/>
          <w:jc w:val="center"/>
        </w:trPr>
        <w:tc>
          <w:tcPr>
            <w:tcW w:w="3087" w:type="dxa"/>
            <w:vAlign w:val="center"/>
          </w:tcPr>
          <w:p w14:paraId="3ED4BF2F" w14:textId="77777777" w:rsidR="00F321CD" w:rsidRPr="007138D8" w:rsidRDefault="00F321CD" w:rsidP="00120A34">
            <w:pPr>
              <w:tabs>
                <w:tab w:val="left" w:pos="8775"/>
                <w:tab w:val="left" w:pos="10305"/>
              </w:tabs>
              <w:jc w:val="both"/>
            </w:pPr>
            <w:r w:rsidRPr="007138D8">
              <w:t>AI</w:t>
            </w:r>
          </w:p>
        </w:tc>
        <w:tc>
          <w:tcPr>
            <w:tcW w:w="640" w:type="dxa"/>
            <w:vAlign w:val="center"/>
          </w:tcPr>
          <w:p w14:paraId="02B75002" w14:textId="77777777" w:rsidR="00F321CD" w:rsidRPr="007138D8" w:rsidRDefault="00F321CD" w:rsidP="00120A34">
            <w:pPr>
              <w:tabs>
                <w:tab w:val="left" w:pos="8775"/>
                <w:tab w:val="left" w:pos="10305"/>
              </w:tabs>
              <w:jc w:val="both"/>
            </w:pPr>
            <w:r w:rsidRPr="007138D8">
              <w:t>.37</w:t>
            </w:r>
          </w:p>
        </w:tc>
        <w:tc>
          <w:tcPr>
            <w:tcW w:w="699" w:type="dxa"/>
            <w:vAlign w:val="center"/>
          </w:tcPr>
          <w:p w14:paraId="4D851FB6" w14:textId="77777777" w:rsidR="00F321CD" w:rsidRPr="007138D8" w:rsidRDefault="00F321CD" w:rsidP="00120A34">
            <w:pPr>
              <w:tabs>
                <w:tab w:val="left" w:pos="8775"/>
                <w:tab w:val="left" w:pos="10305"/>
              </w:tabs>
              <w:jc w:val="both"/>
            </w:pPr>
            <w:r w:rsidRPr="007138D8">
              <w:t>.07</w:t>
            </w:r>
          </w:p>
        </w:tc>
        <w:tc>
          <w:tcPr>
            <w:tcW w:w="1170" w:type="dxa"/>
            <w:vAlign w:val="center"/>
          </w:tcPr>
          <w:p w14:paraId="071E71CC" w14:textId="77777777" w:rsidR="00F321CD" w:rsidRPr="007138D8" w:rsidRDefault="00F321CD" w:rsidP="00120A34">
            <w:pPr>
              <w:tabs>
                <w:tab w:val="left" w:pos="8775"/>
                <w:tab w:val="left" w:pos="10305"/>
              </w:tabs>
              <w:jc w:val="both"/>
            </w:pPr>
            <w:r w:rsidRPr="007138D8">
              <w:t>5.03***</w:t>
            </w:r>
          </w:p>
        </w:tc>
        <w:tc>
          <w:tcPr>
            <w:tcW w:w="900" w:type="dxa"/>
          </w:tcPr>
          <w:p w14:paraId="36006013" w14:textId="77777777" w:rsidR="00F321CD" w:rsidRPr="007138D8" w:rsidRDefault="00F321CD" w:rsidP="00120A34">
            <w:pPr>
              <w:tabs>
                <w:tab w:val="left" w:pos="8775"/>
                <w:tab w:val="left" w:pos="10305"/>
              </w:tabs>
              <w:jc w:val="both"/>
            </w:pPr>
          </w:p>
        </w:tc>
        <w:tc>
          <w:tcPr>
            <w:tcW w:w="636" w:type="dxa"/>
            <w:vAlign w:val="center"/>
          </w:tcPr>
          <w:p w14:paraId="47727EE3" w14:textId="77777777" w:rsidR="00F321CD" w:rsidRPr="007138D8" w:rsidRDefault="00F321CD" w:rsidP="00120A34">
            <w:pPr>
              <w:tabs>
                <w:tab w:val="left" w:pos="8775"/>
                <w:tab w:val="left" w:pos="10305"/>
              </w:tabs>
              <w:jc w:val="both"/>
            </w:pPr>
          </w:p>
        </w:tc>
        <w:tc>
          <w:tcPr>
            <w:tcW w:w="626" w:type="dxa"/>
            <w:vAlign w:val="center"/>
          </w:tcPr>
          <w:p w14:paraId="0E7A96F8" w14:textId="77777777" w:rsidR="00F321CD" w:rsidRPr="007138D8" w:rsidRDefault="00F321CD" w:rsidP="00120A34">
            <w:pPr>
              <w:tabs>
                <w:tab w:val="left" w:pos="8775"/>
                <w:tab w:val="left" w:pos="10305"/>
              </w:tabs>
              <w:jc w:val="both"/>
            </w:pPr>
          </w:p>
        </w:tc>
        <w:tc>
          <w:tcPr>
            <w:tcW w:w="996" w:type="dxa"/>
            <w:vAlign w:val="center"/>
          </w:tcPr>
          <w:p w14:paraId="0FFE6D08" w14:textId="77777777" w:rsidR="00F321CD" w:rsidRPr="007138D8" w:rsidRDefault="00F321CD" w:rsidP="00120A34">
            <w:pPr>
              <w:tabs>
                <w:tab w:val="left" w:pos="8775"/>
                <w:tab w:val="left" w:pos="10305"/>
              </w:tabs>
              <w:jc w:val="both"/>
            </w:pPr>
          </w:p>
        </w:tc>
        <w:tc>
          <w:tcPr>
            <w:tcW w:w="750" w:type="dxa"/>
          </w:tcPr>
          <w:p w14:paraId="2EA98394" w14:textId="77777777" w:rsidR="00F321CD" w:rsidRPr="007138D8" w:rsidRDefault="00F321CD" w:rsidP="00120A34">
            <w:pPr>
              <w:tabs>
                <w:tab w:val="left" w:pos="8775"/>
                <w:tab w:val="left" w:pos="10305"/>
              </w:tabs>
              <w:jc w:val="both"/>
            </w:pPr>
          </w:p>
        </w:tc>
      </w:tr>
      <w:tr w:rsidR="007138D8" w:rsidRPr="007138D8" w14:paraId="2428EC70" w14:textId="77777777" w:rsidTr="002F37E2">
        <w:trPr>
          <w:trHeight w:val="490"/>
          <w:jc w:val="center"/>
        </w:trPr>
        <w:tc>
          <w:tcPr>
            <w:tcW w:w="3087" w:type="dxa"/>
            <w:tcBorders>
              <w:bottom w:val="single" w:sz="4" w:space="0" w:color="auto"/>
            </w:tcBorders>
            <w:vAlign w:val="center"/>
          </w:tcPr>
          <w:p w14:paraId="2F7A14B3" w14:textId="77777777" w:rsidR="00F321CD" w:rsidRPr="007138D8" w:rsidRDefault="00F321CD" w:rsidP="00120A34">
            <w:pPr>
              <w:tabs>
                <w:tab w:val="left" w:pos="8775"/>
                <w:tab w:val="left" w:pos="10305"/>
              </w:tabs>
              <w:jc w:val="both"/>
            </w:pPr>
            <w:r w:rsidRPr="007138D8">
              <w:t>Psychological contract × AI</w:t>
            </w:r>
          </w:p>
        </w:tc>
        <w:tc>
          <w:tcPr>
            <w:tcW w:w="640" w:type="dxa"/>
            <w:tcBorders>
              <w:bottom w:val="single" w:sz="4" w:space="0" w:color="auto"/>
            </w:tcBorders>
            <w:vAlign w:val="center"/>
          </w:tcPr>
          <w:p w14:paraId="7978D3DE" w14:textId="77777777" w:rsidR="00F321CD" w:rsidRPr="007138D8" w:rsidRDefault="00F321CD" w:rsidP="00120A34">
            <w:pPr>
              <w:tabs>
                <w:tab w:val="left" w:pos="8775"/>
                <w:tab w:val="left" w:pos="10305"/>
              </w:tabs>
              <w:jc w:val="both"/>
            </w:pPr>
            <w:r w:rsidRPr="007138D8">
              <w:t>-.20</w:t>
            </w:r>
          </w:p>
        </w:tc>
        <w:tc>
          <w:tcPr>
            <w:tcW w:w="699" w:type="dxa"/>
            <w:tcBorders>
              <w:bottom w:val="single" w:sz="4" w:space="0" w:color="auto"/>
            </w:tcBorders>
            <w:vAlign w:val="center"/>
          </w:tcPr>
          <w:p w14:paraId="2B64D85F" w14:textId="77777777" w:rsidR="00F321CD" w:rsidRPr="007138D8" w:rsidRDefault="00F321CD" w:rsidP="00120A34">
            <w:pPr>
              <w:tabs>
                <w:tab w:val="left" w:pos="8775"/>
                <w:tab w:val="left" w:pos="10305"/>
              </w:tabs>
              <w:jc w:val="both"/>
            </w:pPr>
            <w:r w:rsidRPr="007138D8">
              <w:t>.06</w:t>
            </w:r>
          </w:p>
        </w:tc>
        <w:tc>
          <w:tcPr>
            <w:tcW w:w="1170" w:type="dxa"/>
            <w:tcBorders>
              <w:bottom w:val="single" w:sz="4" w:space="0" w:color="auto"/>
            </w:tcBorders>
            <w:vAlign w:val="center"/>
          </w:tcPr>
          <w:p w14:paraId="56CD7D91" w14:textId="77777777" w:rsidR="00F321CD" w:rsidRPr="007138D8" w:rsidRDefault="00F321CD" w:rsidP="00120A34">
            <w:pPr>
              <w:tabs>
                <w:tab w:val="left" w:pos="8775"/>
                <w:tab w:val="left" w:pos="10305"/>
              </w:tabs>
              <w:jc w:val="both"/>
            </w:pPr>
            <w:r w:rsidRPr="007138D8">
              <w:t>-3.12**</w:t>
            </w:r>
          </w:p>
        </w:tc>
        <w:tc>
          <w:tcPr>
            <w:tcW w:w="900" w:type="dxa"/>
            <w:tcBorders>
              <w:bottom w:val="single" w:sz="4" w:space="0" w:color="auto"/>
            </w:tcBorders>
          </w:tcPr>
          <w:p w14:paraId="24570157" w14:textId="77777777" w:rsidR="00F321CD" w:rsidRPr="007138D8" w:rsidRDefault="00F321CD" w:rsidP="00120A34">
            <w:pPr>
              <w:tabs>
                <w:tab w:val="left" w:pos="8775"/>
                <w:tab w:val="left" w:pos="10305"/>
              </w:tabs>
              <w:jc w:val="both"/>
            </w:pPr>
          </w:p>
        </w:tc>
        <w:tc>
          <w:tcPr>
            <w:tcW w:w="636" w:type="dxa"/>
            <w:tcBorders>
              <w:bottom w:val="single" w:sz="4" w:space="0" w:color="auto"/>
            </w:tcBorders>
            <w:vAlign w:val="center"/>
          </w:tcPr>
          <w:p w14:paraId="38DB1C08" w14:textId="77777777" w:rsidR="00F321CD" w:rsidRPr="007138D8" w:rsidRDefault="00F321CD" w:rsidP="00120A34">
            <w:pPr>
              <w:tabs>
                <w:tab w:val="left" w:pos="8775"/>
                <w:tab w:val="left" w:pos="10305"/>
              </w:tabs>
              <w:jc w:val="both"/>
            </w:pPr>
          </w:p>
        </w:tc>
        <w:tc>
          <w:tcPr>
            <w:tcW w:w="626" w:type="dxa"/>
            <w:tcBorders>
              <w:bottom w:val="single" w:sz="4" w:space="0" w:color="auto"/>
            </w:tcBorders>
            <w:vAlign w:val="center"/>
          </w:tcPr>
          <w:p w14:paraId="48CF25F0" w14:textId="77777777" w:rsidR="00F321CD" w:rsidRPr="007138D8" w:rsidRDefault="00F321CD" w:rsidP="00120A34">
            <w:pPr>
              <w:tabs>
                <w:tab w:val="left" w:pos="8775"/>
                <w:tab w:val="left" w:pos="10305"/>
              </w:tabs>
              <w:jc w:val="both"/>
            </w:pPr>
          </w:p>
        </w:tc>
        <w:tc>
          <w:tcPr>
            <w:tcW w:w="996" w:type="dxa"/>
            <w:tcBorders>
              <w:bottom w:val="single" w:sz="4" w:space="0" w:color="auto"/>
            </w:tcBorders>
            <w:vAlign w:val="center"/>
          </w:tcPr>
          <w:p w14:paraId="4DEF4985" w14:textId="77777777" w:rsidR="00F321CD" w:rsidRPr="007138D8" w:rsidRDefault="00F321CD" w:rsidP="00120A34">
            <w:pPr>
              <w:tabs>
                <w:tab w:val="left" w:pos="8775"/>
                <w:tab w:val="left" w:pos="10305"/>
              </w:tabs>
              <w:jc w:val="both"/>
            </w:pPr>
          </w:p>
        </w:tc>
        <w:tc>
          <w:tcPr>
            <w:tcW w:w="750" w:type="dxa"/>
            <w:tcBorders>
              <w:bottom w:val="single" w:sz="4" w:space="0" w:color="auto"/>
            </w:tcBorders>
          </w:tcPr>
          <w:p w14:paraId="6FE44B48" w14:textId="77777777" w:rsidR="00F321CD" w:rsidRPr="007138D8" w:rsidRDefault="00F321CD" w:rsidP="00120A34">
            <w:pPr>
              <w:tabs>
                <w:tab w:val="left" w:pos="8775"/>
                <w:tab w:val="left" w:pos="10305"/>
              </w:tabs>
              <w:jc w:val="both"/>
            </w:pPr>
          </w:p>
        </w:tc>
      </w:tr>
    </w:tbl>
    <w:p w14:paraId="51035216" w14:textId="77777777" w:rsidR="00F321CD" w:rsidRPr="007138D8" w:rsidRDefault="00F321CD" w:rsidP="00120A34">
      <w:pPr>
        <w:tabs>
          <w:tab w:val="left" w:pos="8775"/>
          <w:tab w:val="left" w:pos="10305"/>
        </w:tabs>
        <w:spacing w:before="240"/>
        <w:jc w:val="both"/>
        <w:rPr>
          <w:sz w:val="20"/>
          <w:szCs w:val="20"/>
        </w:rPr>
      </w:pPr>
      <w:r w:rsidRPr="007138D8">
        <w:rPr>
          <w:sz w:val="20"/>
          <w:szCs w:val="20"/>
        </w:rPr>
        <w:t>Note: *p&lt;.05; **p&lt;.01; ***p&lt;.001; Unstandardized regression coefficients are shown; Bootstrap sample size=5000; LLCI=Bias corrected lower limit confidence interval; ULCI=Bias corrected upper limit confidence interval</w:t>
      </w:r>
    </w:p>
    <w:p w14:paraId="07710830" w14:textId="77777777" w:rsidR="00770A8A" w:rsidRPr="007138D8" w:rsidRDefault="00770A8A" w:rsidP="00120A34">
      <w:pPr>
        <w:spacing w:line="480" w:lineRule="auto"/>
        <w:ind w:firstLine="360"/>
        <w:jc w:val="both"/>
      </w:pPr>
    </w:p>
    <w:p w14:paraId="1653C606" w14:textId="5AD40A3D" w:rsidR="00187095" w:rsidRPr="007138D8" w:rsidRDefault="00770A8A" w:rsidP="00120A34">
      <w:pPr>
        <w:spacing w:line="480" w:lineRule="auto"/>
        <w:ind w:firstLine="360"/>
        <w:jc w:val="both"/>
      </w:pPr>
      <w:r w:rsidRPr="007138D8">
        <w:t xml:space="preserve">Table 4 shows the index of moderated mediation (β = -.09, SE = 0.03, 95% CI: -0.16 to -0.03). Moreover, </w:t>
      </w:r>
      <w:r w:rsidRPr="007138D8">
        <w:rPr>
          <w:rFonts w:hint="eastAsia"/>
        </w:rPr>
        <w:t>T</w:t>
      </w:r>
      <w:r w:rsidRPr="007138D8">
        <w:t>able 4 also showed the conditional indirect relationship between PC fulfillment and organizational commitment via trust across levels of AI at a low level (β =0.28, CI: 0.16 to 0.42) and a high level (β =0.05, CI: -0.05 to 0.16). This suggests that the indirect relationship between PC fulfillment and organizational commitment via trust is weaker at a high level of AI and stronger at a low level of AI. Hence,</w:t>
      </w:r>
      <w:r w:rsidR="00423685" w:rsidRPr="007138D8">
        <w:t xml:space="preserve"> </w:t>
      </w:r>
      <w:r w:rsidRPr="007138D8">
        <w:t>H6 is supported.</w:t>
      </w:r>
    </w:p>
    <w:p w14:paraId="26E08A94" w14:textId="77777777" w:rsidR="00187095" w:rsidRPr="007138D8" w:rsidRDefault="00187095">
      <w:pPr>
        <w:spacing w:after="160" w:line="259" w:lineRule="auto"/>
      </w:pPr>
      <w:r w:rsidRPr="007138D8">
        <w:br w:type="page"/>
      </w:r>
    </w:p>
    <w:p w14:paraId="0F3124AA" w14:textId="77777777" w:rsidR="00770A8A" w:rsidRPr="007138D8" w:rsidRDefault="00770A8A" w:rsidP="00120A34">
      <w:pPr>
        <w:spacing w:line="480" w:lineRule="auto"/>
        <w:ind w:firstLine="360"/>
        <w:jc w:val="both"/>
        <w:rPr>
          <w:b/>
        </w:rPr>
      </w:pPr>
    </w:p>
    <w:p w14:paraId="6B583983" w14:textId="77777777" w:rsidR="00770A8A" w:rsidRPr="007138D8" w:rsidRDefault="00770A8A" w:rsidP="00120A34">
      <w:pPr>
        <w:tabs>
          <w:tab w:val="left" w:pos="1485"/>
        </w:tabs>
        <w:jc w:val="both"/>
        <w:rPr>
          <w:sz w:val="20"/>
          <w:szCs w:val="20"/>
        </w:rPr>
      </w:pPr>
      <w:r w:rsidRPr="007138D8">
        <w:rPr>
          <w:noProof/>
          <w:sz w:val="20"/>
          <w:szCs w:val="20"/>
          <w:lang w:val="en-GB" w:eastAsia="en-GB"/>
        </w:rPr>
        <w:drawing>
          <wp:inline distT="0" distB="0" distL="0" distR="0" wp14:anchorId="2AEC1772" wp14:editId="3E4C363F">
            <wp:extent cx="5895975" cy="1990725"/>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7138D8">
        <w:rPr>
          <w:sz w:val="20"/>
          <w:szCs w:val="20"/>
        </w:rPr>
        <w:tab/>
      </w:r>
    </w:p>
    <w:p w14:paraId="32A359CA" w14:textId="77777777" w:rsidR="00770A8A" w:rsidRPr="007138D8" w:rsidRDefault="00770A8A" w:rsidP="001A4628">
      <w:pPr>
        <w:tabs>
          <w:tab w:val="left" w:pos="1485"/>
        </w:tabs>
        <w:spacing w:before="240"/>
        <w:jc w:val="center"/>
        <w:rPr>
          <w:sz w:val="20"/>
          <w:szCs w:val="20"/>
        </w:rPr>
      </w:pPr>
      <w:r w:rsidRPr="007138D8">
        <w:rPr>
          <w:b/>
        </w:rPr>
        <w:t>Figure 2</w:t>
      </w:r>
      <w:r w:rsidRPr="007138D8">
        <w:t xml:space="preserve">. </w:t>
      </w:r>
      <w:r w:rsidR="00D62867" w:rsidRPr="007138D8">
        <w:t>Mode</w:t>
      </w:r>
      <w:r w:rsidR="00F23319" w:rsidRPr="007138D8">
        <w:t>ra</w:t>
      </w:r>
      <w:r w:rsidR="00D62867" w:rsidRPr="007138D8">
        <w:t xml:space="preserve">tion effect of AI acceptance </w:t>
      </w:r>
    </w:p>
    <w:p w14:paraId="3FB87652" w14:textId="77777777" w:rsidR="00770A8A" w:rsidRPr="007138D8" w:rsidRDefault="00770A8A" w:rsidP="00120A34">
      <w:pPr>
        <w:tabs>
          <w:tab w:val="left" w:pos="8775"/>
          <w:tab w:val="left" w:pos="10305"/>
        </w:tabs>
        <w:jc w:val="both"/>
        <w:rPr>
          <w:b/>
        </w:rPr>
      </w:pPr>
    </w:p>
    <w:p w14:paraId="229FFCC3" w14:textId="77777777" w:rsidR="006160FB" w:rsidRPr="007138D8" w:rsidRDefault="006160FB" w:rsidP="001A4628">
      <w:pPr>
        <w:tabs>
          <w:tab w:val="left" w:pos="8775"/>
          <w:tab w:val="left" w:pos="10305"/>
        </w:tabs>
        <w:jc w:val="center"/>
      </w:pPr>
      <w:r w:rsidRPr="007138D8">
        <w:rPr>
          <w:b/>
        </w:rPr>
        <w:t>Table 4:</w:t>
      </w:r>
      <w:r w:rsidRPr="007138D8">
        <w:t xml:space="preserve"> Results of Index of moderated mediation model and conditional indirect effects across levels of moderator</w:t>
      </w:r>
    </w:p>
    <w:p w14:paraId="6EB07790" w14:textId="77777777" w:rsidR="006160FB" w:rsidRPr="007138D8" w:rsidRDefault="006160FB" w:rsidP="00120A34">
      <w:pPr>
        <w:jc w:val="both"/>
        <w:rPr>
          <w:sz w:val="2"/>
          <w:szCs w:val="22"/>
        </w:rPr>
      </w:pPr>
    </w:p>
    <w:tbl>
      <w:tblPr>
        <w:tblStyle w:val="TableGrid"/>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1019"/>
        <w:gridCol w:w="1170"/>
        <w:gridCol w:w="1530"/>
        <w:gridCol w:w="1980"/>
      </w:tblGrid>
      <w:tr w:rsidR="007138D8" w:rsidRPr="007138D8" w14:paraId="5A87130B" w14:textId="77777777" w:rsidTr="002F37E2">
        <w:trPr>
          <w:trHeight w:val="808"/>
          <w:jc w:val="center"/>
        </w:trPr>
        <w:tc>
          <w:tcPr>
            <w:tcW w:w="3054" w:type="dxa"/>
            <w:tcBorders>
              <w:top w:val="single" w:sz="12" w:space="0" w:color="auto"/>
              <w:bottom w:val="single" w:sz="12" w:space="0" w:color="auto"/>
            </w:tcBorders>
          </w:tcPr>
          <w:p w14:paraId="02E7CE65" w14:textId="77777777" w:rsidR="006160FB" w:rsidRPr="007138D8" w:rsidRDefault="006160FB" w:rsidP="00120A34">
            <w:pPr>
              <w:jc w:val="both"/>
              <w:rPr>
                <w:sz w:val="20"/>
                <w:szCs w:val="20"/>
              </w:rPr>
            </w:pPr>
          </w:p>
        </w:tc>
        <w:tc>
          <w:tcPr>
            <w:tcW w:w="1019" w:type="dxa"/>
            <w:tcBorders>
              <w:top w:val="single" w:sz="12" w:space="0" w:color="auto"/>
              <w:bottom w:val="single" w:sz="12" w:space="0" w:color="auto"/>
            </w:tcBorders>
          </w:tcPr>
          <w:p w14:paraId="11E5AE91" w14:textId="77777777" w:rsidR="006160FB" w:rsidRPr="007138D8" w:rsidRDefault="006160FB" w:rsidP="00120A34">
            <w:pPr>
              <w:jc w:val="both"/>
              <w:rPr>
                <w:sz w:val="20"/>
                <w:szCs w:val="20"/>
              </w:rPr>
            </w:pPr>
            <w:r w:rsidRPr="007138D8">
              <w:rPr>
                <w:sz w:val="20"/>
                <w:szCs w:val="20"/>
              </w:rPr>
              <w:t>Effect</w:t>
            </w:r>
          </w:p>
        </w:tc>
        <w:tc>
          <w:tcPr>
            <w:tcW w:w="1170" w:type="dxa"/>
            <w:tcBorders>
              <w:top w:val="single" w:sz="12" w:space="0" w:color="auto"/>
              <w:bottom w:val="single" w:sz="12" w:space="0" w:color="auto"/>
            </w:tcBorders>
          </w:tcPr>
          <w:p w14:paraId="3366BB28" w14:textId="77777777" w:rsidR="006160FB" w:rsidRPr="007138D8" w:rsidRDefault="006160FB" w:rsidP="00120A34">
            <w:pPr>
              <w:jc w:val="both"/>
              <w:rPr>
                <w:sz w:val="20"/>
                <w:szCs w:val="20"/>
              </w:rPr>
            </w:pPr>
            <w:r w:rsidRPr="007138D8">
              <w:rPr>
                <w:sz w:val="20"/>
                <w:szCs w:val="20"/>
              </w:rPr>
              <w:t>SE</w:t>
            </w:r>
          </w:p>
        </w:tc>
        <w:tc>
          <w:tcPr>
            <w:tcW w:w="1530" w:type="dxa"/>
            <w:tcBorders>
              <w:top w:val="single" w:sz="12" w:space="0" w:color="auto"/>
              <w:bottom w:val="single" w:sz="12" w:space="0" w:color="auto"/>
            </w:tcBorders>
          </w:tcPr>
          <w:p w14:paraId="0726CD25" w14:textId="77777777" w:rsidR="006160FB" w:rsidRPr="007138D8" w:rsidRDefault="006160FB" w:rsidP="00120A34">
            <w:pPr>
              <w:jc w:val="both"/>
              <w:rPr>
                <w:sz w:val="20"/>
                <w:szCs w:val="20"/>
              </w:rPr>
            </w:pPr>
            <w:r w:rsidRPr="007138D8">
              <w:rPr>
                <w:sz w:val="20"/>
                <w:szCs w:val="20"/>
              </w:rPr>
              <w:t>Boot Lower limit 95% CI</w:t>
            </w:r>
          </w:p>
        </w:tc>
        <w:tc>
          <w:tcPr>
            <w:tcW w:w="1980" w:type="dxa"/>
            <w:tcBorders>
              <w:top w:val="single" w:sz="12" w:space="0" w:color="auto"/>
              <w:bottom w:val="single" w:sz="12" w:space="0" w:color="auto"/>
            </w:tcBorders>
          </w:tcPr>
          <w:p w14:paraId="7698AF39" w14:textId="77777777" w:rsidR="006160FB" w:rsidRPr="007138D8" w:rsidRDefault="006160FB" w:rsidP="00120A34">
            <w:pPr>
              <w:jc w:val="both"/>
              <w:rPr>
                <w:sz w:val="20"/>
                <w:szCs w:val="20"/>
              </w:rPr>
            </w:pPr>
            <w:r w:rsidRPr="007138D8">
              <w:rPr>
                <w:sz w:val="20"/>
                <w:szCs w:val="20"/>
              </w:rPr>
              <w:t>Boot Upper limit 95% CI</w:t>
            </w:r>
          </w:p>
        </w:tc>
      </w:tr>
      <w:tr w:rsidR="007138D8" w:rsidRPr="007138D8" w14:paraId="12FAD36A" w14:textId="77777777" w:rsidTr="002F37E2">
        <w:trPr>
          <w:trHeight w:val="404"/>
          <w:jc w:val="center"/>
        </w:trPr>
        <w:tc>
          <w:tcPr>
            <w:tcW w:w="8753" w:type="dxa"/>
            <w:gridSpan w:val="5"/>
            <w:tcBorders>
              <w:top w:val="single" w:sz="12" w:space="0" w:color="auto"/>
            </w:tcBorders>
            <w:vAlign w:val="center"/>
          </w:tcPr>
          <w:p w14:paraId="0AF27839" w14:textId="77777777" w:rsidR="006160FB" w:rsidRPr="007138D8" w:rsidRDefault="006160FB" w:rsidP="00120A34">
            <w:pPr>
              <w:jc w:val="both"/>
              <w:rPr>
                <w:b/>
                <w:sz w:val="20"/>
                <w:szCs w:val="20"/>
              </w:rPr>
            </w:pPr>
            <w:r w:rsidRPr="007138D8">
              <w:rPr>
                <w:b/>
                <w:sz w:val="20"/>
                <w:szCs w:val="20"/>
              </w:rPr>
              <w:t xml:space="preserve">Index of </w:t>
            </w:r>
            <w:r w:rsidR="00F23319" w:rsidRPr="007138D8">
              <w:rPr>
                <w:b/>
                <w:sz w:val="20"/>
                <w:szCs w:val="20"/>
              </w:rPr>
              <w:t xml:space="preserve">the </w:t>
            </w:r>
            <w:r w:rsidRPr="007138D8">
              <w:rPr>
                <w:b/>
                <w:sz w:val="20"/>
                <w:szCs w:val="20"/>
              </w:rPr>
              <w:t>moderated mediation model</w:t>
            </w:r>
          </w:p>
        </w:tc>
      </w:tr>
      <w:tr w:rsidR="007138D8" w:rsidRPr="007138D8" w14:paraId="44C91CDD" w14:textId="77777777" w:rsidTr="002F37E2">
        <w:trPr>
          <w:trHeight w:val="404"/>
          <w:jc w:val="center"/>
        </w:trPr>
        <w:tc>
          <w:tcPr>
            <w:tcW w:w="3054" w:type="dxa"/>
          </w:tcPr>
          <w:p w14:paraId="3B8D3F88" w14:textId="77777777" w:rsidR="006160FB" w:rsidRPr="007138D8" w:rsidRDefault="006160FB" w:rsidP="00120A34">
            <w:pPr>
              <w:jc w:val="both"/>
              <w:rPr>
                <w:sz w:val="20"/>
                <w:szCs w:val="20"/>
              </w:rPr>
            </w:pPr>
          </w:p>
        </w:tc>
        <w:tc>
          <w:tcPr>
            <w:tcW w:w="1019" w:type="dxa"/>
            <w:vAlign w:val="center"/>
          </w:tcPr>
          <w:p w14:paraId="34CB1CD3" w14:textId="77777777" w:rsidR="006160FB" w:rsidRPr="007138D8" w:rsidRDefault="006160FB" w:rsidP="00120A34">
            <w:pPr>
              <w:jc w:val="both"/>
              <w:rPr>
                <w:sz w:val="20"/>
                <w:szCs w:val="20"/>
              </w:rPr>
            </w:pPr>
            <w:r w:rsidRPr="007138D8">
              <w:rPr>
                <w:sz w:val="20"/>
                <w:szCs w:val="20"/>
              </w:rPr>
              <w:t>-.09</w:t>
            </w:r>
          </w:p>
        </w:tc>
        <w:tc>
          <w:tcPr>
            <w:tcW w:w="1170" w:type="dxa"/>
            <w:vAlign w:val="center"/>
          </w:tcPr>
          <w:p w14:paraId="6F1D8B03" w14:textId="77777777" w:rsidR="006160FB" w:rsidRPr="007138D8" w:rsidRDefault="006160FB" w:rsidP="00120A34">
            <w:pPr>
              <w:jc w:val="both"/>
              <w:rPr>
                <w:sz w:val="20"/>
                <w:szCs w:val="20"/>
              </w:rPr>
            </w:pPr>
            <w:r w:rsidRPr="007138D8">
              <w:rPr>
                <w:sz w:val="20"/>
                <w:szCs w:val="20"/>
              </w:rPr>
              <w:t>.03</w:t>
            </w:r>
          </w:p>
        </w:tc>
        <w:tc>
          <w:tcPr>
            <w:tcW w:w="1530" w:type="dxa"/>
            <w:vAlign w:val="center"/>
          </w:tcPr>
          <w:p w14:paraId="5B6AF36A" w14:textId="77777777" w:rsidR="006160FB" w:rsidRPr="007138D8" w:rsidRDefault="006160FB" w:rsidP="00120A34">
            <w:pPr>
              <w:jc w:val="both"/>
              <w:rPr>
                <w:sz w:val="20"/>
                <w:szCs w:val="20"/>
              </w:rPr>
            </w:pPr>
            <w:r w:rsidRPr="007138D8">
              <w:rPr>
                <w:sz w:val="20"/>
                <w:szCs w:val="20"/>
              </w:rPr>
              <w:t>-.16</w:t>
            </w:r>
          </w:p>
        </w:tc>
        <w:tc>
          <w:tcPr>
            <w:tcW w:w="1980" w:type="dxa"/>
            <w:vAlign w:val="center"/>
          </w:tcPr>
          <w:p w14:paraId="31091721" w14:textId="77777777" w:rsidR="006160FB" w:rsidRPr="007138D8" w:rsidRDefault="006160FB" w:rsidP="00120A34">
            <w:pPr>
              <w:jc w:val="both"/>
              <w:rPr>
                <w:sz w:val="20"/>
                <w:szCs w:val="20"/>
              </w:rPr>
            </w:pPr>
            <w:r w:rsidRPr="007138D8">
              <w:rPr>
                <w:sz w:val="20"/>
                <w:szCs w:val="20"/>
              </w:rPr>
              <w:t>-.03</w:t>
            </w:r>
          </w:p>
        </w:tc>
      </w:tr>
      <w:tr w:rsidR="007138D8" w:rsidRPr="007138D8" w14:paraId="2B0589DF" w14:textId="77777777" w:rsidTr="002F37E2">
        <w:trPr>
          <w:trHeight w:val="404"/>
          <w:jc w:val="center"/>
        </w:trPr>
        <w:tc>
          <w:tcPr>
            <w:tcW w:w="8753" w:type="dxa"/>
            <w:gridSpan w:val="5"/>
            <w:vAlign w:val="center"/>
          </w:tcPr>
          <w:p w14:paraId="726515E3" w14:textId="77777777" w:rsidR="006160FB" w:rsidRPr="007138D8" w:rsidRDefault="006160FB" w:rsidP="00120A34">
            <w:pPr>
              <w:jc w:val="both"/>
              <w:rPr>
                <w:sz w:val="20"/>
                <w:szCs w:val="20"/>
              </w:rPr>
            </w:pPr>
            <w:r w:rsidRPr="007138D8">
              <w:rPr>
                <w:b/>
                <w:sz w:val="20"/>
                <w:szCs w:val="20"/>
              </w:rPr>
              <w:t xml:space="preserve">Conditional Indirect effects </w:t>
            </w:r>
          </w:p>
        </w:tc>
      </w:tr>
      <w:tr w:rsidR="007138D8" w:rsidRPr="007138D8" w14:paraId="6CBFACB7" w14:textId="77777777" w:rsidTr="002F37E2">
        <w:trPr>
          <w:trHeight w:val="404"/>
          <w:jc w:val="center"/>
        </w:trPr>
        <w:tc>
          <w:tcPr>
            <w:tcW w:w="3054" w:type="dxa"/>
          </w:tcPr>
          <w:p w14:paraId="0E86F2C7" w14:textId="77777777" w:rsidR="006160FB" w:rsidRPr="007138D8" w:rsidRDefault="006160FB" w:rsidP="00120A34">
            <w:pPr>
              <w:jc w:val="both"/>
              <w:rPr>
                <w:sz w:val="20"/>
                <w:szCs w:val="20"/>
              </w:rPr>
            </w:pPr>
            <w:r w:rsidRPr="007138D8">
              <w:rPr>
                <w:sz w:val="20"/>
                <w:szCs w:val="20"/>
              </w:rPr>
              <w:t>-1 SD</w:t>
            </w:r>
          </w:p>
        </w:tc>
        <w:tc>
          <w:tcPr>
            <w:tcW w:w="1019" w:type="dxa"/>
            <w:vAlign w:val="center"/>
          </w:tcPr>
          <w:p w14:paraId="6A1C69B3" w14:textId="77777777" w:rsidR="006160FB" w:rsidRPr="007138D8" w:rsidRDefault="006160FB" w:rsidP="00120A34">
            <w:pPr>
              <w:jc w:val="both"/>
              <w:rPr>
                <w:sz w:val="20"/>
                <w:szCs w:val="20"/>
              </w:rPr>
            </w:pPr>
            <w:r w:rsidRPr="007138D8">
              <w:rPr>
                <w:sz w:val="20"/>
                <w:szCs w:val="20"/>
              </w:rPr>
              <w:t>.28</w:t>
            </w:r>
          </w:p>
        </w:tc>
        <w:tc>
          <w:tcPr>
            <w:tcW w:w="1170" w:type="dxa"/>
            <w:vAlign w:val="center"/>
          </w:tcPr>
          <w:p w14:paraId="5F0FD4B6" w14:textId="77777777" w:rsidR="006160FB" w:rsidRPr="007138D8" w:rsidRDefault="006160FB" w:rsidP="00120A34">
            <w:pPr>
              <w:jc w:val="both"/>
              <w:rPr>
                <w:sz w:val="20"/>
                <w:szCs w:val="20"/>
              </w:rPr>
            </w:pPr>
            <w:r w:rsidRPr="007138D8">
              <w:rPr>
                <w:sz w:val="20"/>
                <w:szCs w:val="20"/>
              </w:rPr>
              <w:t>.06</w:t>
            </w:r>
          </w:p>
        </w:tc>
        <w:tc>
          <w:tcPr>
            <w:tcW w:w="1530" w:type="dxa"/>
            <w:vAlign w:val="center"/>
          </w:tcPr>
          <w:p w14:paraId="7D603E67" w14:textId="77777777" w:rsidR="006160FB" w:rsidRPr="007138D8" w:rsidRDefault="006160FB" w:rsidP="00120A34">
            <w:pPr>
              <w:jc w:val="both"/>
              <w:rPr>
                <w:sz w:val="20"/>
                <w:szCs w:val="20"/>
              </w:rPr>
            </w:pPr>
            <w:r w:rsidRPr="007138D8">
              <w:rPr>
                <w:sz w:val="20"/>
                <w:szCs w:val="20"/>
              </w:rPr>
              <w:t>.16</w:t>
            </w:r>
          </w:p>
        </w:tc>
        <w:tc>
          <w:tcPr>
            <w:tcW w:w="1980" w:type="dxa"/>
            <w:vAlign w:val="center"/>
          </w:tcPr>
          <w:p w14:paraId="7046F205" w14:textId="77777777" w:rsidR="006160FB" w:rsidRPr="007138D8" w:rsidRDefault="006160FB" w:rsidP="00120A34">
            <w:pPr>
              <w:jc w:val="both"/>
              <w:rPr>
                <w:sz w:val="20"/>
                <w:szCs w:val="20"/>
              </w:rPr>
            </w:pPr>
            <w:r w:rsidRPr="007138D8">
              <w:rPr>
                <w:sz w:val="20"/>
                <w:szCs w:val="20"/>
              </w:rPr>
              <w:t>.42</w:t>
            </w:r>
          </w:p>
        </w:tc>
      </w:tr>
      <w:tr w:rsidR="007138D8" w:rsidRPr="007138D8" w14:paraId="733CB270" w14:textId="77777777" w:rsidTr="002F37E2">
        <w:trPr>
          <w:trHeight w:val="404"/>
          <w:jc w:val="center"/>
        </w:trPr>
        <w:tc>
          <w:tcPr>
            <w:tcW w:w="3054" w:type="dxa"/>
          </w:tcPr>
          <w:p w14:paraId="1051CEE9" w14:textId="77777777" w:rsidR="006160FB" w:rsidRPr="007138D8" w:rsidRDefault="006160FB" w:rsidP="00120A34">
            <w:pPr>
              <w:jc w:val="both"/>
              <w:rPr>
                <w:sz w:val="20"/>
                <w:szCs w:val="20"/>
              </w:rPr>
            </w:pPr>
            <w:r w:rsidRPr="007138D8">
              <w:rPr>
                <w:sz w:val="20"/>
                <w:szCs w:val="20"/>
              </w:rPr>
              <w:t>+1 SD</w:t>
            </w:r>
          </w:p>
        </w:tc>
        <w:tc>
          <w:tcPr>
            <w:tcW w:w="1019" w:type="dxa"/>
            <w:vAlign w:val="center"/>
          </w:tcPr>
          <w:p w14:paraId="2D7B7FCF" w14:textId="77777777" w:rsidR="006160FB" w:rsidRPr="007138D8" w:rsidRDefault="006160FB" w:rsidP="00120A34">
            <w:pPr>
              <w:jc w:val="both"/>
              <w:rPr>
                <w:sz w:val="20"/>
                <w:szCs w:val="20"/>
              </w:rPr>
            </w:pPr>
            <w:r w:rsidRPr="007138D8">
              <w:rPr>
                <w:sz w:val="20"/>
                <w:szCs w:val="20"/>
              </w:rPr>
              <w:t>.05</w:t>
            </w:r>
          </w:p>
        </w:tc>
        <w:tc>
          <w:tcPr>
            <w:tcW w:w="1170" w:type="dxa"/>
            <w:vAlign w:val="center"/>
          </w:tcPr>
          <w:p w14:paraId="75E306C1" w14:textId="77777777" w:rsidR="006160FB" w:rsidRPr="007138D8" w:rsidRDefault="006160FB" w:rsidP="00120A34">
            <w:pPr>
              <w:jc w:val="both"/>
              <w:rPr>
                <w:sz w:val="20"/>
                <w:szCs w:val="20"/>
              </w:rPr>
            </w:pPr>
            <w:r w:rsidRPr="007138D8">
              <w:rPr>
                <w:sz w:val="20"/>
                <w:szCs w:val="20"/>
              </w:rPr>
              <w:t>.05</w:t>
            </w:r>
          </w:p>
        </w:tc>
        <w:tc>
          <w:tcPr>
            <w:tcW w:w="1530" w:type="dxa"/>
            <w:vAlign w:val="center"/>
          </w:tcPr>
          <w:p w14:paraId="21872329" w14:textId="77777777" w:rsidR="006160FB" w:rsidRPr="007138D8" w:rsidRDefault="006160FB" w:rsidP="00120A34">
            <w:pPr>
              <w:jc w:val="both"/>
              <w:rPr>
                <w:sz w:val="20"/>
                <w:szCs w:val="20"/>
              </w:rPr>
            </w:pPr>
            <w:r w:rsidRPr="007138D8">
              <w:rPr>
                <w:sz w:val="20"/>
                <w:szCs w:val="20"/>
              </w:rPr>
              <w:t>-.05</w:t>
            </w:r>
          </w:p>
        </w:tc>
        <w:tc>
          <w:tcPr>
            <w:tcW w:w="1980" w:type="dxa"/>
            <w:vAlign w:val="center"/>
          </w:tcPr>
          <w:p w14:paraId="585C97E9" w14:textId="77777777" w:rsidR="006160FB" w:rsidRPr="007138D8" w:rsidRDefault="006160FB" w:rsidP="00120A34">
            <w:pPr>
              <w:jc w:val="both"/>
              <w:rPr>
                <w:sz w:val="20"/>
                <w:szCs w:val="20"/>
              </w:rPr>
            </w:pPr>
            <w:r w:rsidRPr="007138D8">
              <w:rPr>
                <w:sz w:val="20"/>
                <w:szCs w:val="20"/>
              </w:rPr>
              <w:t>.16</w:t>
            </w:r>
          </w:p>
        </w:tc>
      </w:tr>
      <w:tr w:rsidR="007138D8" w:rsidRPr="007138D8" w14:paraId="78975C44" w14:textId="77777777" w:rsidTr="002F37E2">
        <w:trPr>
          <w:trHeight w:val="708"/>
          <w:jc w:val="center"/>
        </w:trPr>
        <w:tc>
          <w:tcPr>
            <w:tcW w:w="8753" w:type="dxa"/>
            <w:gridSpan w:val="5"/>
            <w:tcBorders>
              <w:top w:val="single" w:sz="12" w:space="0" w:color="auto"/>
            </w:tcBorders>
          </w:tcPr>
          <w:p w14:paraId="7A9668FF" w14:textId="77777777" w:rsidR="006160FB" w:rsidRPr="007138D8" w:rsidRDefault="006160FB" w:rsidP="00120A34">
            <w:pPr>
              <w:tabs>
                <w:tab w:val="left" w:pos="8775"/>
                <w:tab w:val="left" w:pos="10305"/>
              </w:tabs>
              <w:spacing w:before="240"/>
              <w:jc w:val="both"/>
              <w:rPr>
                <w:sz w:val="20"/>
                <w:szCs w:val="20"/>
              </w:rPr>
            </w:pPr>
            <w:r w:rsidRPr="007138D8">
              <w:rPr>
                <w:sz w:val="20"/>
                <w:szCs w:val="20"/>
              </w:rPr>
              <w:t>Note: *p&lt;.05; **p&lt;.01; ***p&lt;.001; Unstandardized regression coefficients are shown; Bootstrap sample size=5000; LLCI=Bias corrected lower limit confidence interval; ULCI=Bias corrected upper limit confidence interval</w:t>
            </w:r>
          </w:p>
          <w:p w14:paraId="7746F7A5" w14:textId="77777777" w:rsidR="00FD49D2" w:rsidRPr="007138D8" w:rsidRDefault="00FD49D2" w:rsidP="00120A34">
            <w:pPr>
              <w:tabs>
                <w:tab w:val="left" w:pos="8775"/>
                <w:tab w:val="left" w:pos="10305"/>
              </w:tabs>
              <w:spacing w:before="240"/>
              <w:jc w:val="both"/>
              <w:rPr>
                <w:sz w:val="20"/>
                <w:szCs w:val="20"/>
              </w:rPr>
            </w:pPr>
          </w:p>
        </w:tc>
      </w:tr>
    </w:tbl>
    <w:p w14:paraId="61BB891F" w14:textId="77777777" w:rsidR="00FD49D2" w:rsidRPr="007138D8" w:rsidRDefault="00770A8A" w:rsidP="00120A34">
      <w:pPr>
        <w:spacing w:line="480" w:lineRule="auto"/>
        <w:ind w:firstLine="360"/>
        <w:jc w:val="both"/>
      </w:pPr>
      <w:r w:rsidRPr="007138D8">
        <w:t>To check the robustness of results, we conducted CFAs and examined the distinctiveness of four constructs included in our analyses: psychological contract, trust, organizational commitment, and AI acceptance. The findings show that the four-factor model suited the data well and was a substantially better fit than the alternate model, indicating the discriminant validity of the measures of our main variables.</w:t>
      </w:r>
    </w:p>
    <w:p w14:paraId="7288642B" w14:textId="77777777" w:rsidR="00770A8A" w:rsidRPr="007138D8" w:rsidRDefault="00770A8A" w:rsidP="00120A34">
      <w:pPr>
        <w:spacing w:line="480" w:lineRule="auto"/>
        <w:ind w:firstLine="360"/>
        <w:jc w:val="both"/>
      </w:pPr>
    </w:p>
    <w:p w14:paraId="7577B3C3" w14:textId="7892359A" w:rsidR="007B303B" w:rsidRPr="007138D8" w:rsidRDefault="00B23244" w:rsidP="00120A34">
      <w:pPr>
        <w:spacing w:before="240" w:line="480" w:lineRule="auto"/>
        <w:jc w:val="both"/>
        <w:rPr>
          <w:b/>
          <w:sz w:val="28"/>
          <w:szCs w:val="28"/>
        </w:rPr>
      </w:pPr>
      <w:r w:rsidRPr="007138D8">
        <w:rPr>
          <w:b/>
          <w:sz w:val="28"/>
          <w:szCs w:val="28"/>
        </w:rPr>
        <w:lastRenderedPageBreak/>
        <w:t>6</w:t>
      </w:r>
      <w:r w:rsidR="007940B8" w:rsidRPr="007138D8">
        <w:rPr>
          <w:b/>
          <w:sz w:val="28"/>
          <w:szCs w:val="28"/>
        </w:rPr>
        <w:t xml:space="preserve">. </w:t>
      </w:r>
      <w:r w:rsidR="00E21EB3" w:rsidRPr="007138D8">
        <w:rPr>
          <w:b/>
          <w:sz w:val="28"/>
          <w:szCs w:val="28"/>
        </w:rPr>
        <w:t xml:space="preserve">Discussion </w:t>
      </w:r>
      <w:r w:rsidR="00366005" w:rsidRPr="007138D8">
        <w:rPr>
          <w:b/>
          <w:sz w:val="28"/>
          <w:szCs w:val="28"/>
        </w:rPr>
        <w:t>and Conclusion</w:t>
      </w:r>
    </w:p>
    <w:p w14:paraId="23D08791" w14:textId="760FC1EF" w:rsidR="00A365D2" w:rsidRPr="007138D8" w:rsidRDefault="00A365D2" w:rsidP="00120A34">
      <w:pPr>
        <w:spacing w:line="480" w:lineRule="auto"/>
        <w:jc w:val="both"/>
        <w:rPr>
          <w:b/>
          <w:bCs/>
        </w:rPr>
      </w:pPr>
      <w:r w:rsidRPr="007138D8">
        <w:rPr>
          <w:b/>
          <w:bCs/>
        </w:rPr>
        <w:t>6.1 Summary of Findings</w:t>
      </w:r>
    </w:p>
    <w:p w14:paraId="08DE8FCC" w14:textId="6BF0475A" w:rsidR="00A365D2" w:rsidRPr="007138D8" w:rsidRDefault="008D2CB4" w:rsidP="00A365D2">
      <w:pPr>
        <w:spacing w:line="480" w:lineRule="auto"/>
        <w:jc w:val="both"/>
      </w:pPr>
      <w:r w:rsidRPr="007138D8">
        <w:t>Based on social exchange theory (Blau, 1964), this study explores how fulfilling PC impacts organizational commitment through trust</w:t>
      </w:r>
      <w:r w:rsidR="00A365D2" w:rsidRPr="007138D8">
        <w:t xml:space="preserve"> and how AI affects this relationship. The findings show that PC fulfillment increases organizational commitment both directly and through trust. However, AI weakens this positive effect on job outcomes.</w:t>
      </w:r>
    </w:p>
    <w:p w14:paraId="5F72F842" w14:textId="7E631EA5" w:rsidR="00A365D2" w:rsidRPr="007138D8" w:rsidRDefault="00A365D2" w:rsidP="00A365D2">
      <w:pPr>
        <w:spacing w:line="480" w:lineRule="auto"/>
        <w:ind w:firstLine="360"/>
        <w:jc w:val="both"/>
      </w:pPr>
      <w:r w:rsidRPr="007138D8">
        <w:t xml:space="preserve">Organizations value commitment due to its link with productivity (Tremblay et al., 2010), so </w:t>
      </w:r>
      <w:r w:rsidR="008D2CB4" w:rsidRPr="007138D8">
        <w:t>it is crucial to understand the factors that influence it</w:t>
      </w:r>
      <w:r w:rsidRPr="007138D8">
        <w:t>. This research uses a social exchange perspective, showing that when employers treat workers fairly, it builds trust and creates a sense of obligation in employees, leading to greater commitment. The results align with previous studies (Agarwal, 2014; Braganza et al., 2021), suggesting that PC fulfillment and trust improve employee outcomes. From a job demands-resources view (Bakker &amp; de Vries, 2021), PC fulfillment serves as a resource that workers expect from their organization. Another key finding is that AI adoption reduces the positive impact of PC fulfillment on job outcomes, likely due to job insecurity (Frey &amp; Osborne, 2017).</w:t>
      </w:r>
    </w:p>
    <w:p w14:paraId="66B22381" w14:textId="2C6F2962" w:rsidR="004F51DC" w:rsidRPr="007138D8" w:rsidRDefault="00A365D2" w:rsidP="00A365D2">
      <w:pPr>
        <w:spacing w:line="480" w:lineRule="auto"/>
        <w:ind w:firstLine="360"/>
        <w:jc w:val="both"/>
      </w:pPr>
      <w:r w:rsidRPr="007138D8">
        <w:t xml:space="preserve">This research contributes to several areas of literature. It expands the understanding of organizational commitment by identifying factors like PC fulfillment and trust that influence it (Jaramillo et al., 2005). The study also adds to the psychological contract literature by examining organizational commitment as a result of PC fulfillment (Bal et al., 2008; Conway &amp; Briner, 2009; Coyle-Shapiro et al., 2019). Trust is highlighted as a key mediator in this relationship—when employees feel their employer meets promises, trust develops, leading to greater commitment (Mayer et al., 1995). Additionally, by considering AI as a moderator, the research </w:t>
      </w:r>
      <w:r w:rsidRPr="007138D8">
        <w:lastRenderedPageBreak/>
        <w:t>contributes to studies on AI in the workplace (</w:t>
      </w:r>
      <w:proofErr w:type="spellStart"/>
      <w:r w:rsidRPr="007138D8">
        <w:t>Prikshat</w:t>
      </w:r>
      <w:proofErr w:type="spellEnd"/>
      <w:r w:rsidRPr="007138D8">
        <w:t xml:space="preserve"> et al., 2023), showing its role in altering the effects of PC fulfillment on job outcomes.</w:t>
      </w:r>
    </w:p>
    <w:p w14:paraId="5B08FF54" w14:textId="77777777" w:rsidR="000C1250" w:rsidRPr="007138D8" w:rsidRDefault="00B23244" w:rsidP="000C1250">
      <w:pPr>
        <w:spacing w:before="240" w:line="480" w:lineRule="auto"/>
        <w:jc w:val="both"/>
        <w:rPr>
          <w:b/>
        </w:rPr>
      </w:pPr>
      <w:r w:rsidRPr="007138D8">
        <w:rPr>
          <w:b/>
        </w:rPr>
        <w:t>6</w:t>
      </w:r>
      <w:r w:rsidR="00D66B36" w:rsidRPr="007138D8">
        <w:rPr>
          <w:b/>
        </w:rPr>
        <w:t xml:space="preserve">.1 </w:t>
      </w:r>
      <w:r w:rsidR="000C1250" w:rsidRPr="007138D8">
        <w:rPr>
          <w:b/>
        </w:rPr>
        <w:t xml:space="preserve">Theoretical </w:t>
      </w:r>
      <w:r w:rsidR="00074567" w:rsidRPr="007138D8">
        <w:rPr>
          <w:b/>
        </w:rPr>
        <w:t>C</w:t>
      </w:r>
      <w:r w:rsidR="000C1250" w:rsidRPr="007138D8">
        <w:rPr>
          <w:b/>
        </w:rPr>
        <w:t>ontributions</w:t>
      </w:r>
    </w:p>
    <w:p w14:paraId="66299CBB" w14:textId="77777777" w:rsidR="00A365D2" w:rsidRPr="007138D8" w:rsidRDefault="00A365D2" w:rsidP="00A365D2">
      <w:pPr>
        <w:spacing w:line="480" w:lineRule="auto"/>
        <w:jc w:val="both"/>
      </w:pPr>
      <w:r w:rsidRPr="007138D8">
        <w:t>This study makes a unique contribution to AI literature by exploring how different psychological contracts influence organizational commitment through trust in an AI-driven environment. It builds on social exchange theory to better understand how AI affects employee commitment.</w:t>
      </w:r>
    </w:p>
    <w:p w14:paraId="5E9B8997" w14:textId="24F77057" w:rsidR="00A365D2" w:rsidRPr="007138D8" w:rsidRDefault="00A365D2" w:rsidP="00A365D2">
      <w:pPr>
        <w:spacing w:line="480" w:lineRule="auto"/>
        <w:ind w:firstLine="360"/>
        <w:jc w:val="both"/>
      </w:pPr>
      <w:r w:rsidRPr="007138D8">
        <w:t xml:space="preserve">First, the research addresses the lack of studies on how AI impacts employee behavior, especially commitment, amid job insecurity due to AI adoption. While previous studies focused on AI’s role in enhancing business performance (Dwivedi et al., 2023; </w:t>
      </w:r>
      <w:proofErr w:type="spellStart"/>
      <w:r w:rsidRPr="007138D8">
        <w:t>Kshetri</w:t>
      </w:r>
      <w:proofErr w:type="spellEnd"/>
      <w:r w:rsidRPr="007138D8">
        <w:t xml:space="preserve"> et al., 2023), this study fills the gap by investigating its effect on employee commitment using a quantitative survey-based approach. The study also examines the role of trust and AI acceptance, offering a unique contribution to the literature.</w:t>
      </w:r>
    </w:p>
    <w:p w14:paraId="0F8CB447" w14:textId="1F6B1328" w:rsidR="00A365D2" w:rsidRPr="007138D8" w:rsidRDefault="00A365D2" w:rsidP="00A365D2">
      <w:pPr>
        <w:spacing w:line="480" w:lineRule="auto"/>
        <w:ind w:firstLine="360"/>
        <w:jc w:val="both"/>
      </w:pPr>
      <w:r w:rsidRPr="007138D8">
        <w:t xml:space="preserve">Second, it highlights how </w:t>
      </w:r>
      <w:r w:rsidR="008D2CB4" w:rsidRPr="007138D8">
        <w:t>PC</w:t>
      </w:r>
      <w:r w:rsidRPr="007138D8">
        <w:t xml:space="preserve"> boost</w:t>
      </w:r>
      <w:r w:rsidR="008D2CB4" w:rsidRPr="007138D8">
        <w:t>s</w:t>
      </w:r>
      <w:r w:rsidRPr="007138D8">
        <w:t xml:space="preserve"> employee commitment and how innovative AI technologies influence that commitment, contributing to organizational commitment research.</w:t>
      </w:r>
    </w:p>
    <w:p w14:paraId="4CA52E8E" w14:textId="77777777" w:rsidR="00A365D2" w:rsidRPr="007138D8" w:rsidRDefault="00A365D2" w:rsidP="00A365D2">
      <w:pPr>
        <w:spacing w:line="480" w:lineRule="auto"/>
        <w:ind w:firstLine="360"/>
        <w:jc w:val="both"/>
      </w:pPr>
      <w:r w:rsidRPr="007138D8">
        <w:t>Third, by applying social exchange theory, the research provides a deeper understanding of employee behavior in the digital age, significantly advancing the literature on technology adoption and social exchange theory in new contexts.</w:t>
      </w:r>
    </w:p>
    <w:p w14:paraId="7C240A57" w14:textId="77777777" w:rsidR="00A365D2" w:rsidRPr="007138D8" w:rsidRDefault="00A365D2" w:rsidP="00A365D2">
      <w:pPr>
        <w:spacing w:line="480" w:lineRule="auto"/>
        <w:ind w:firstLine="360"/>
        <w:jc w:val="both"/>
      </w:pPr>
      <w:r w:rsidRPr="007138D8">
        <w:t>Fourth, the study shows that trust plays a key role in shaping employee behavior, contributing to both trust literature and the understanding of how trust mediates the effect of psychological contracts on organizational commitment.</w:t>
      </w:r>
    </w:p>
    <w:p w14:paraId="3DB0A6F2" w14:textId="0E6245A8" w:rsidR="005D7B15" w:rsidRPr="007138D8" w:rsidRDefault="00A365D2" w:rsidP="00A365D2">
      <w:pPr>
        <w:spacing w:line="480" w:lineRule="auto"/>
        <w:ind w:firstLine="360"/>
        <w:jc w:val="both"/>
      </w:pPr>
      <w:r w:rsidRPr="007138D8">
        <w:t>Finally, the study examines how AI acceptance affects the role of trust as a mediator, further expanding the literature on AI acceptance. In summary, this research fills important gaps and adds to the growing conversation on AI’s impact on employee commitment and behavior.</w:t>
      </w:r>
    </w:p>
    <w:p w14:paraId="3D016815" w14:textId="77777777" w:rsidR="00C51853" w:rsidRPr="007138D8" w:rsidRDefault="00B23244" w:rsidP="00120A34">
      <w:pPr>
        <w:spacing w:line="480" w:lineRule="auto"/>
        <w:jc w:val="both"/>
        <w:rPr>
          <w:b/>
        </w:rPr>
      </w:pPr>
      <w:r w:rsidRPr="007138D8">
        <w:rPr>
          <w:b/>
        </w:rPr>
        <w:lastRenderedPageBreak/>
        <w:t>6</w:t>
      </w:r>
      <w:r w:rsidR="00D66B36" w:rsidRPr="007138D8">
        <w:rPr>
          <w:b/>
        </w:rPr>
        <w:t xml:space="preserve">.2 </w:t>
      </w:r>
      <w:r w:rsidR="00E21EB3" w:rsidRPr="007138D8">
        <w:rPr>
          <w:b/>
        </w:rPr>
        <w:t>Practical Implications</w:t>
      </w:r>
    </w:p>
    <w:p w14:paraId="0159AD6A" w14:textId="1FE62AAA" w:rsidR="00A365D2" w:rsidRPr="007138D8" w:rsidRDefault="00A365D2" w:rsidP="00A365D2">
      <w:pPr>
        <w:spacing w:line="480" w:lineRule="auto"/>
        <w:jc w:val="both"/>
      </w:pPr>
      <w:r w:rsidRPr="007138D8">
        <w:t>This study gives useful advice for managers adopting AI. Organizational commitment is key for good outcomes, so employers should focus on creating a fair and trusting work environment. Fair treatment builds trust, which boosts employees</w:t>
      </w:r>
      <w:r w:rsidR="008D2CB4" w:rsidRPr="007138D8">
        <w:t>’</w:t>
      </w:r>
      <w:r w:rsidRPr="007138D8">
        <w:t xml:space="preserve"> commitment (Conway &amp; Briner, 2009). To ensure fairness, employers should be transparent about how benefits are distributed and communicate regularly with employees, explaining decisions and changes (Bal et al., 2008).</w:t>
      </w:r>
    </w:p>
    <w:p w14:paraId="08D1D6DD" w14:textId="177CD35A" w:rsidR="00A365D2" w:rsidRPr="007138D8" w:rsidRDefault="00A365D2" w:rsidP="00A365D2">
      <w:pPr>
        <w:spacing w:line="480" w:lineRule="auto"/>
        <w:ind w:firstLine="360"/>
        <w:jc w:val="both"/>
      </w:pPr>
      <w:r w:rsidRPr="007138D8">
        <w:t xml:space="preserve">Building trust involves actions that show fairness. Employers should involve employees in decisions, gather feedback, and make sure they explain reasons for choices (Jayaweera et al., 2021). Top management </w:t>
      </w:r>
      <w:r w:rsidR="008D2CB4" w:rsidRPr="007138D8">
        <w:t>is key</w:t>
      </w:r>
      <w:r w:rsidRPr="007138D8">
        <w:t xml:space="preserve"> in creating a fair work environment, as employees look to them for support. Managers need training to treat employees fairly and explain decisions well (Coyle-Shapiro et al., 2019). Being approachable is also important.</w:t>
      </w:r>
    </w:p>
    <w:p w14:paraId="4951E07C" w14:textId="189FD301" w:rsidR="00A365D2" w:rsidRPr="007138D8" w:rsidRDefault="00A365D2" w:rsidP="00A365D2">
      <w:pPr>
        <w:spacing w:line="480" w:lineRule="auto"/>
        <w:ind w:firstLine="360"/>
        <w:jc w:val="both"/>
      </w:pPr>
      <w:r w:rsidRPr="007138D8">
        <w:t xml:space="preserve">Trust is essential for organizational commitment. </w:t>
      </w:r>
      <w:r w:rsidR="008D2CB4" w:rsidRPr="007138D8">
        <w:t>Employees who trust management</w:t>
      </w:r>
      <w:r w:rsidRPr="007138D8">
        <w:t xml:space="preserve"> feel safe and willing to commit to their jobs. This sense of security is especially important during tough times (Colquitt et al., 2007). Trust builds quickly with new employees, so </w:t>
      </w:r>
      <w:r w:rsidR="008D2CB4" w:rsidRPr="007138D8">
        <w:t>treating them fairly from the start is importan</w:t>
      </w:r>
      <w:r w:rsidRPr="007138D8">
        <w:t>t. Managers should ensure trust is maintained within teams by showing appreciation and being considerate (Colquitt &amp; Rodell, 2011). Giving employees a say in decisions also helps.</w:t>
      </w:r>
    </w:p>
    <w:p w14:paraId="5DDAC46F" w14:textId="3F26A679" w:rsidR="00E21EB3" w:rsidRPr="007138D8" w:rsidRDefault="00A365D2" w:rsidP="00A365D2">
      <w:pPr>
        <w:spacing w:line="480" w:lineRule="auto"/>
        <w:ind w:firstLine="360"/>
        <w:jc w:val="both"/>
      </w:pPr>
      <w:r w:rsidRPr="007138D8">
        <w:t>AI adoption is often driven by competition or regulations (Frey &amp; Osborne, 2017). It typically has strong support from senior management due to its high cost. Employees at all levels should be involved in the process. However, the study shows that AI may reduce job satisfaction due to job uncertainty. Managers should c</w:t>
      </w:r>
      <w:r w:rsidR="008D2CB4" w:rsidRPr="007138D8">
        <w:t>learly communicate</w:t>
      </w:r>
      <w:r w:rsidRPr="007138D8">
        <w:t xml:space="preserve"> how AI will be used and </w:t>
      </w:r>
      <w:r w:rsidR="008D2CB4" w:rsidRPr="007138D8">
        <w:t>what its impact will be</w:t>
      </w:r>
      <w:r w:rsidRPr="007138D8">
        <w:t xml:space="preserve"> on work. AI can create anxiety, so managers </w:t>
      </w:r>
      <w:r w:rsidR="008D2CB4" w:rsidRPr="007138D8">
        <w:t>must support and reassure employees</w:t>
      </w:r>
      <w:r w:rsidRPr="007138D8">
        <w:t>, especially when jobs or tasks may be automated (</w:t>
      </w:r>
      <w:proofErr w:type="spellStart"/>
      <w:r w:rsidRPr="007138D8">
        <w:t>Makridakis</w:t>
      </w:r>
      <w:proofErr w:type="spellEnd"/>
      <w:r w:rsidRPr="007138D8">
        <w:t>, 2017).</w:t>
      </w:r>
    </w:p>
    <w:p w14:paraId="2CAEB52F" w14:textId="1F2A90F5" w:rsidR="00DB35F2" w:rsidRPr="007138D8" w:rsidRDefault="00366005" w:rsidP="00120A34">
      <w:pPr>
        <w:spacing w:line="480" w:lineRule="auto"/>
        <w:jc w:val="both"/>
        <w:rPr>
          <w:b/>
        </w:rPr>
      </w:pPr>
      <w:r w:rsidRPr="007138D8">
        <w:rPr>
          <w:b/>
        </w:rPr>
        <w:lastRenderedPageBreak/>
        <w:t xml:space="preserve">6.4 </w:t>
      </w:r>
      <w:r w:rsidR="00E21EB3" w:rsidRPr="007138D8">
        <w:rPr>
          <w:b/>
        </w:rPr>
        <w:t>Limitations and Future Research Directions</w:t>
      </w:r>
    </w:p>
    <w:p w14:paraId="36CE7A02" w14:textId="2F40324D" w:rsidR="00187095" w:rsidRPr="007138D8" w:rsidRDefault="00A365D2" w:rsidP="00A365D2">
      <w:pPr>
        <w:spacing w:line="480" w:lineRule="auto"/>
        <w:jc w:val="both"/>
        <w:rPr>
          <w:b/>
          <w:sz w:val="28"/>
          <w:szCs w:val="28"/>
        </w:rPr>
      </w:pPr>
      <w:r w:rsidRPr="007138D8">
        <w:t>This study has some limitations, offering opportunities for future research. First, it used a time-lagged design to reduce common method bias (Podsakoff et al., 2003), but future studies could employ a longitudinal design. Second, the findings are based on data from a service sector firm in China, so future research could replicate this in other sectors and regions. Third, future studies could examine how violations of promissory expectations affect trust and other types of commitment, such as normative and continuance. Previous research has shown that higher trust produces numerous advantages, including better working conditions, teamwork, and open communication (Costa et al., 2018). Exploring trust within enterprises at multiple levels, from supervisors to immediate bosses and colleagues, could also be valuable. Future research could further explore the roles of gender, organizational support, and leader-member exchange (LMX) in reciprocal relationships. Although this study highlights AI’s negative impact at work, AI may also improve society by enhancing job inclusion, reducing gender discrimination, and lowering cyberbullying—areas worth further exploration. Additionally, AI might inspire creativity and optimism, positively influencing trust. The effects of AI on job outcomes may also vary depending on the nature of the task or job type, so further exploration is needed (</w:t>
      </w:r>
      <w:proofErr w:type="spellStart"/>
      <w:r w:rsidRPr="007138D8">
        <w:t>Prikshat</w:t>
      </w:r>
      <w:proofErr w:type="spellEnd"/>
      <w:r w:rsidRPr="007138D8">
        <w:t xml:space="preserve"> et al., 2023; </w:t>
      </w:r>
      <w:proofErr w:type="spellStart"/>
      <w:r w:rsidRPr="007138D8">
        <w:t>Makridakis</w:t>
      </w:r>
      <w:proofErr w:type="spellEnd"/>
      <w:r w:rsidRPr="007138D8">
        <w:t xml:space="preserve"> et al., 2017). Finally, this study used the social exchange framework, but future studies could apply other theories, such as equity theory, which suggests that individuals seek fairness in relationships. A perceived imbalance in rewards and costs can lead to dissatisfaction and efforts to restore fairness.</w:t>
      </w:r>
      <w:r w:rsidR="00187095" w:rsidRPr="007138D8">
        <w:rPr>
          <w:b/>
          <w:sz w:val="28"/>
          <w:szCs w:val="28"/>
        </w:rPr>
        <w:br w:type="page"/>
      </w:r>
    </w:p>
    <w:p w14:paraId="2A2B64B6" w14:textId="77777777" w:rsidR="00C20049" w:rsidRPr="007138D8" w:rsidRDefault="00C20049" w:rsidP="00120A34">
      <w:pPr>
        <w:spacing w:line="480" w:lineRule="auto"/>
        <w:jc w:val="both"/>
        <w:rPr>
          <w:b/>
          <w:sz w:val="28"/>
          <w:szCs w:val="28"/>
        </w:rPr>
      </w:pPr>
      <w:r w:rsidRPr="007138D8">
        <w:rPr>
          <w:b/>
          <w:sz w:val="28"/>
          <w:szCs w:val="28"/>
        </w:rPr>
        <w:lastRenderedPageBreak/>
        <w:t>Declarations</w:t>
      </w:r>
    </w:p>
    <w:p w14:paraId="5DC37215" w14:textId="77777777" w:rsidR="00AD58E1" w:rsidRPr="007138D8" w:rsidRDefault="00E31C09" w:rsidP="00E31C09">
      <w:pPr>
        <w:spacing w:line="480" w:lineRule="auto"/>
        <w:rPr>
          <w:b/>
          <w:bCs/>
          <w:sz w:val="22"/>
          <w:szCs w:val="22"/>
        </w:rPr>
      </w:pPr>
      <w:r w:rsidRPr="007138D8">
        <w:rPr>
          <w:b/>
          <w:bCs/>
          <w:sz w:val="22"/>
          <w:szCs w:val="22"/>
        </w:rPr>
        <w:t>• Ethics approval and consent to participate</w:t>
      </w:r>
    </w:p>
    <w:p w14:paraId="2DFC72E9" w14:textId="77777777" w:rsidR="00AD58E1" w:rsidRPr="007138D8" w:rsidRDefault="00B216B8" w:rsidP="00E31C09">
      <w:pPr>
        <w:spacing w:line="480" w:lineRule="auto"/>
        <w:rPr>
          <w:b/>
          <w:bCs/>
          <w:sz w:val="22"/>
          <w:szCs w:val="22"/>
        </w:rPr>
      </w:pPr>
      <w:r w:rsidRPr="007138D8">
        <w:rPr>
          <w:sz w:val="22"/>
          <w:szCs w:val="22"/>
        </w:rPr>
        <w:t xml:space="preserve">The paper does not involve any human objects and does not require ethics </w:t>
      </w:r>
      <w:r w:rsidR="00721E1D" w:rsidRPr="007138D8">
        <w:rPr>
          <w:sz w:val="22"/>
          <w:szCs w:val="22"/>
        </w:rPr>
        <w:t xml:space="preserve">approval. </w:t>
      </w:r>
      <w:r w:rsidR="00E31C09" w:rsidRPr="007138D8">
        <w:rPr>
          <w:sz w:val="22"/>
          <w:szCs w:val="22"/>
        </w:rPr>
        <w:br/>
      </w:r>
      <w:r w:rsidR="00E31C09" w:rsidRPr="007138D8">
        <w:rPr>
          <w:b/>
          <w:bCs/>
          <w:sz w:val="22"/>
          <w:szCs w:val="22"/>
        </w:rPr>
        <w:t>• Consent for publication</w:t>
      </w:r>
    </w:p>
    <w:p w14:paraId="48D121F8" w14:textId="77777777" w:rsidR="005E022C" w:rsidRPr="007138D8" w:rsidRDefault="00AD58E1" w:rsidP="00E31C09">
      <w:pPr>
        <w:spacing w:line="480" w:lineRule="auto"/>
        <w:rPr>
          <w:b/>
          <w:bCs/>
          <w:sz w:val="22"/>
          <w:szCs w:val="22"/>
        </w:rPr>
      </w:pPr>
      <w:r w:rsidRPr="007138D8">
        <w:rPr>
          <w:sz w:val="22"/>
          <w:szCs w:val="22"/>
        </w:rPr>
        <w:t xml:space="preserve">All authors </w:t>
      </w:r>
      <w:r w:rsidR="00B216B8" w:rsidRPr="007138D8">
        <w:rPr>
          <w:sz w:val="22"/>
          <w:szCs w:val="22"/>
        </w:rPr>
        <w:t>agree with the publication of this manuscript.</w:t>
      </w:r>
      <w:r w:rsidR="00E31C09" w:rsidRPr="007138D8">
        <w:rPr>
          <w:sz w:val="22"/>
          <w:szCs w:val="22"/>
        </w:rPr>
        <w:br/>
      </w:r>
      <w:r w:rsidR="00E31C09" w:rsidRPr="007138D8">
        <w:rPr>
          <w:b/>
          <w:bCs/>
          <w:sz w:val="22"/>
          <w:szCs w:val="22"/>
        </w:rPr>
        <w:t>• Availability of data and materials</w:t>
      </w:r>
    </w:p>
    <w:p w14:paraId="1A111252" w14:textId="77777777" w:rsidR="00721E1D" w:rsidRPr="007138D8" w:rsidRDefault="005E022C" w:rsidP="00E31C09">
      <w:pPr>
        <w:spacing w:line="480" w:lineRule="auto"/>
        <w:rPr>
          <w:b/>
          <w:bCs/>
          <w:sz w:val="22"/>
          <w:szCs w:val="22"/>
        </w:rPr>
      </w:pPr>
      <w:r w:rsidRPr="007138D8">
        <w:rPr>
          <w:sz w:val="22"/>
          <w:szCs w:val="22"/>
        </w:rPr>
        <w:t xml:space="preserve">Data is available </w:t>
      </w:r>
      <w:r w:rsidR="00FD2C4D" w:rsidRPr="007138D8">
        <w:rPr>
          <w:sz w:val="22"/>
          <w:szCs w:val="22"/>
        </w:rPr>
        <w:t>from the corresponding author upon reasonable request.</w:t>
      </w:r>
      <w:r w:rsidR="00E31C09" w:rsidRPr="007138D8">
        <w:rPr>
          <w:sz w:val="22"/>
          <w:szCs w:val="22"/>
        </w:rPr>
        <w:br/>
      </w:r>
      <w:r w:rsidR="00E31C09" w:rsidRPr="007138D8">
        <w:rPr>
          <w:b/>
          <w:bCs/>
          <w:sz w:val="22"/>
          <w:szCs w:val="22"/>
        </w:rPr>
        <w:t>• Competing interests</w:t>
      </w:r>
    </w:p>
    <w:p w14:paraId="1BF8847F" w14:textId="77777777" w:rsidR="00B1574C" w:rsidRPr="007138D8" w:rsidRDefault="00721E1D" w:rsidP="00E31C09">
      <w:pPr>
        <w:spacing w:line="480" w:lineRule="auto"/>
        <w:rPr>
          <w:b/>
          <w:bCs/>
          <w:sz w:val="22"/>
          <w:szCs w:val="22"/>
        </w:rPr>
      </w:pPr>
      <w:r w:rsidRPr="007138D8">
        <w:rPr>
          <w:sz w:val="22"/>
          <w:szCs w:val="22"/>
        </w:rPr>
        <w:t>The authors declare no competing interests.</w:t>
      </w:r>
      <w:r w:rsidR="00E31C09" w:rsidRPr="007138D8">
        <w:rPr>
          <w:sz w:val="22"/>
          <w:szCs w:val="22"/>
        </w:rPr>
        <w:br/>
      </w:r>
      <w:r w:rsidR="00E31C09" w:rsidRPr="007138D8">
        <w:rPr>
          <w:b/>
          <w:bCs/>
          <w:sz w:val="22"/>
          <w:szCs w:val="22"/>
        </w:rPr>
        <w:t>• Funding</w:t>
      </w:r>
    </w:p>
    <w:p w14:paraId="27FFB229" w14:textId="77777777" w:rsidR="009F2182" w:rsidRPr="007138D8" w:rsidRDefault="00B1574C" w:rsidP="00E31C09">
      <w:pPr>
        <w:spacing w:line="480" w:lineRule="auto"/>
        <w:rPr>
          <w:b/>
          <w:bCs/>
          <w:sz w:val="22"/>
          <w:szCs w:val="22"/>
        </w:rPr>
      </w:pPr>
      <w:r w:rsidRPr="007138D8">
        <w:rPr>
          <w:sz w:val="22"/>
          <w:szCs w:val="22"/>
        </w:rPr>
        <w:t>The authors did not receive support from any organization for the submitted work.</w:t>
      </w:r>
      <w:r w:rsidR="00E31C09" w:rsidRPr="007138D8">
        <w:rPr>
          <w:sz w:val="22"/>
          <w:szCs w:val="22"/>
        </w:rPr>
        <w:br/>
      </w:r>
      <w:r w:rsidR="00E31C09" w:rsidRPr="007138D8">
        <w:rPr>
          <w:b/>
          <w:bCs/>
          <w:sz w:val="22"/>
          <w:szCs w:val="22"/>
        </w:rPr>
        <w:t>• Authors</w:t>
      </w:r>
      <w:r w:rsidR="00010355" w:rsidRPr="007138D8">
        <w:rPr>
          <w:b/>
          <w:bCs/>
          <w:sz w:val="22"/>
          <w:szCs w:val="22"/>
        </w:rPr>
        <w:t>’</w:t>
      </w:r>
      <w:r w:rsidR="00E31C09" w:rsidRPr="007138D8">
        <w:rPr>
          <w:b/>
          <w:bCs/>
          <w:sz w:val="22"/>
          <w:szCs w:val="22"/>
        </w:rPr>
        <w:t xml:space="preserve"> contributions</w:t>
      </w:r>
    </w:p>
    <w:p w14:paraId="1762A750" w14:textId="77777777" w:rsidR="00721E1D" w:rsidRPr="007138D8" w:rsidRDefault="009F2182" w:rsidP="00E31C09">
      <w:pPr>
        <w:spacing w:line="480" w:lineRule="auto"/>
        <w:rPr>
          <w:b/>
          <w:bCs/>
          <w:sz w:val="22"/>
          <w:szCs w:val="22"/>
        </w:rPr>
      </w:pPr>
      <w:r w:rsidRPr="007138D8">
        <w:rPr>
          <w:sz w:val="22"/>
          <w:szCs w:val="22"/>
        </w:rPr>
        <w:t xml:space="preserve">Conceptualization: </w:t>
      </w:r>
      <w:r w:rsidR="00DD23C6" w:rsidRPr="007138D8">
        <w:rPr>
          <w:sz w:val="22"/>
          <w:szCs w:val="22"/>
        </w:rPr>
        <w:t>Muhammad Farrukh Moin, Justin Zhang</w:t>
      </w:r>
      <w:r w:rsidRPr="007138D8">
        <w:rPr>
          <w:sz w:val="22"/>
          <w:szCs w:val="22"/>
        </w:rPr>
        <w:t xml:space="preserve">; Methodology: </w:t>
      </w:r>
      <w:r w:rsidR="00D24C05" w:rsidRPr="007138D8">
        <w:rPr>
          <w:sz w:val="22"/>
          <w:szCs w:val="22"/>
        </w:rPr>
        <w:t>Muhammad Farrukh Moin</w:t>
      </w:r>
      <w:r w:rsidR="00F9456B" w:rsidRPr="007138D8">
        <w:rPr>
          <w:sz w:val="22"/>
          <w:szCs w:val="22"/>
        </w:rPr>
        <w:t>, Justin Zhang</w:t>
      </w:r>
      <w:r w:rsidR="00010355" w:rsidRPr="007138D8">
        <w:rPr>
          <w:sz w:val="22"/>
          <w:szCs w:val="22"/>
        </w:rPr>
        <w:t>, Abhishek Behl</w:t>
      </w:r>
      <w:r w:rsidRPr="007138D8">
        <w:rPr>
          <w:sz w:val="22"/>
          <w:szCs w:val="22"/>
        </w:rPr>
        <w:t xml:space="preserve">; Formal analysis and </w:t>
      </w:r>
      <w:proofErr w:type="spellStart"/>
      <w:r w:rsidRPr="007138D8">
        <w:rPr>
          <w:sz w:val="22"/>
          <w:szCs w:val="22"/>
        </w:rPr>
        <w:t>investigation:</w:t>
      </w:r>
      <w:r w:rsidR="00010355" w:rsidRPr="007138D8">
        <w:rPr>
          <w:sz w:val="22"/>
          <w:szCs w:val="22"/>
        </w:rPr>
        <w:t>Muhammad</w:t>
      </w:r>
      <w:proofErr w:type="spellEnd"/>
      <w:r w:rsidR="00010355" w:rsidRPr="007138D8">
        <w:rPr>
          <w:sz w:val="22"/>
          <w:szCs w:val="22"/>
        </w:rPr>
        <w:t xml:space="preserve"> Farrukh Moin, Justin Zhang, Abhishek Behl, Amit Shankar</w:t>
      </w:r>
      <w:r w:rsidRPr="007138D8">
        <w:rPr>
          <w:sz w:val="22"/>
          <w:szCs w:val="22"/>
        </w:rPr>
        <w:t xml:space="preserve">; Writing - original draft </w:t>
      </w:r>
      <w:proofErr w:type="spellStart"/>
      <w:r w:rsidRPr="007138D8">
        <w:rPr>
          <w:sz w:val="22"/>
          <w:szCs w:val="22"/>
        </w:rPr>
        <w:t>preparation:</w:t>
      </w:r>
      <w:r w:rsidR="00010355" w:rsidRPr="007138D8">
        <w:rPr>
          <w:sz w:val="22"/>
          <w:szCs w:val="22"/>
        </w:rPr>
        <w:t>Muhammad</w:t>
      </w:r>
      <w:proofErr w:type="spellEnd"/>
      <w:r w:rsidR="00010355" w:rsidRPr="007138D8">
        <w:rPr>
          <w:sz w:val="22"/>
          <w:szCs w:val="22"/>
        </w:rPr>
        <w:t xml:space="preserve"> Farrukh Moin, Justin Zhang, Abhishek Behl, Amit Shankar</w:t>
      </w:r>
      <w:r w:rsidRPr="007138D8">
        <w:rPr>
          <w:sz w:val="22"/>
          <w:szCs w:val="22"/>
        </w:rPr>
        <w:t xml:space="preserve">; </w:t>
      </w:r>
      <w:r w:rsidR="00EB0D8E" w:rsidRPr="007138D8">
        <w:rPr>
          <w:sz w:val="22"/>
          <w:szCs w:val="22"/>
        </w:rPr>
        <w:t xml:space="preserve">Writing - revised draft preparation: Muhammad Farrukh Moin, Justin Zhang, Abhishek Behl, Amit Shankar; </w:t>
      </w:r>
      <w:r w:rsidRPr="007138D8">
        <w:rPr>
          <w:sz w:val="22"/>
          <w:szCs w:val="22"/>
        </w:rPr>
        <w:t xml:space="preserve">Supervision: </w:t>
      </w:r>
      <w:r w:rsidR="00F9456B" w:rsidRPr="007138D8">
        <w:rPr>
          <w:sz w:val="22"/>
          <w:szCs w:val="22"/>
        </w:rPr>
        <w:t>Justin Zhang</w:t>
      </w:r>
      <w:r w:rsidR="00010355" w:rsidRPr="007138D8">
        <w:rPr>
          <w:sz w:val="22"/>
          <w:szCs w:val="22"/>
        </w:rPr>
        <w:t>.</w:t>
      </w:r>
      <w:r w:rsidR="00E31C09" w:rsidRPr="007138D8">
        <w:rPr>
          <w:sz w:val="22"/>
          <w:szCs w:val="22"/>
        </w:rPr>
        <w:br/>
      </w:r>
      <w:r w:rsidR="00E31C09" w:rsidRPr="007138D8">
        <w:rPr>
          <w:b/>
          <w:bCs/>
          <w:sz w:val="22"/>
          <w:szCs w:val="22"/>
        </w:rPr>
        <w:t>• Acknowledgements</w:t>
      </w:r>
    </w:p>
    <w:p w14:paraId="3EB9686D" w14:textId="77777777" w:rsidR="00C20049" w:rsidRPr="007138D8" w:rsidRDefault="00010355" w:rsidP="00E31C09">
      <w:pPr>
        <w:spacing w:line="480" w:lineRule="auto"/>
        <w:rPr>
          <w:b/>
          <w:bCs/>
          <w:sz w:val="22"/>
          <w:szCs w:val="22"/>
        </w:rPr>
      </w:pPr>
      <w:r w:rsidRPr="007138D8">
        <w:rPr>
          <w:sz w:val="22"/>
          <w:szCs w:val="22"/>
        </w:rPr>
        <w:t>None</w:t>
      </w:r>
      <w:r w:rsidR="00E31C09" w:rsidRPr="007138D8">
        <w:rPr>
          <w:sz w:val="22"/>
          <w:szCs w:val="22"/>
        </w:rPr>
        <w:br/>
      </w:r>
      <w:r w:rsidR="00E31C09" w:rsidRPr="007138D8">
        <w:rPr>
          <w:b/>
          <w:bCs/>
          <w:sz w:val="22"/>
          <w:szCs w:val="22"/>
        </w:rPr>
        <w:t>• Authors</w:t>
      </w:r>
      <w:r w:rsidRPr="007138D8">
        <w:rPr>
          <w:b/>
          <w:bCs/>
          <w:sz w:val="22"/>
          <w:szCs w:val="22"/>
        </w:rPr>
        <w:t>’</w:t>
      </w:r>
      <w:r w:rsidR="00E31C09" w:rsidRPr="007138D8">
        <w:rPr>
          <w:b/>
          <w:bCs/>
          <w:sz w:val="22"/>
          <w:szCs w:val="22"/>
        </w:rPr>
        <w:t xml:space="preserve"> information</w:t>
      </w:r>
    </w:p>
    <w:p w14:paraId="69E7F88F" w14:textId="77777777" w:rsidR="00010355" w:rsidRPr="007138D8" w:rsidRDefault="00010355" w:rsidP="00E31C09">
      <w:pPr>
        <w:spacing w:line="480" w:lineRule="auto"/>
        <w:rPr>
          <w:b/>
          <w:sz w:val="28"/>
          <w:szCs w:val="28"/>
        </w:rPr>
      </w:pPr>
      <w:r w:rsidRPr="007138D8">
        <w:rPr>
          <w:sz w:val="22"/>
          <w:szCs w:val="22"/>
        </w:rPr>
        <w:t>None</w:t>
      </w:r>
    </w:p>
    <w:p w14:paraId="0337736C" w14:textId="77777777" w:rsidR="00C46979" w:rsidRPr="007138D8" w:rsidRDefault="00C46979" w:rsidP="00120A34">
      <w:pPr>
        <w:spacing w:line="480" w:lineRule="auto"/>
        <w:jc w:val="both"/>
        <w:rPr>
          <w:b/>
          <w:sz w:val="28"/>
          <w:szCs w:val="28"/>
        </w:rPr>
      </w:pPr>
    </w:p>
    <w:p w14:paraId="0153B82D" w14:textId="77777777" w:rsidR="00D30CFC" w:rsidRPr="007138D8" w:rsidRDefault="001A4628" w:rsidP="00120A34">
      <w:pPr>
        <w:spacing w:line="480" w:lineRule="auto"/>
        <w:jc w:val="both"/>
        <w:rPr>
          <w:b/>
          <w:sz w:val="28"/>
          <w:szCs w:val="28"/>
        </w:rPr>
      </w:pPr>
      <w:r w:rsidRPr="007138D8">
        <w:rPr>
          <w:b/>
          <w:sz w:val="28"/>
          <w:szCs w:val="28"/>
        </w:rPr>
        <w:t>References</w:t>
      </w:r>
    </w:p>
    <w:p w14:paraId="03CD43D6" w14:textId="77777777" w:rsidR="0000253A" w:rsidRPr="007138D8" w:rsidRDefault="00456E63" w:rsidP="00120A34">
      <w:pPr>
        <w:widowControl w:val="0"/>
        <w:autoSpaceDE w:val="0"/>
        <w:autoSpaceDN w:val="0"/>
        <w:adjustRightInd w:val="0"/>
        <w:spacing w:line="480" w:lineRule="auto"/>
        <w:ind w:left="480" w:hanging="480"/>
        <w:jc w:val="both"/>
        <w:rPr>
          <w:noProof/>
        </w:rPr>
      </w:pPr>
      <w:r w:rsidRPr="007138D8">
        <w:fldChar w:fldCharType="begin" w:fldLock="1"/>
      </w:r>
      <w:r w:rsidR="00E4111F" w:rsidRPr="007138D8">
        <w:instrText xml:space="preserve">ADDIN Mendeley Bibliography CSL_BIBLIOGRAPHY </w:instrText>
      </w:r>
      <w:r w:rsidRPr="007138D8">
        <w:fldChar w:fldCharType="separate"/>
      </w:r>
      <w:r w:rsidR="0000253A" w:rsidRPr="007138D8">
        <w:rPr>
          <w:noProof/>
        </w:rPr>
        <w:t xml:space="preserve">A. Agarwal, U. (2014). Linking justice, trust and innovative work behaviour to work engagement. </w:t>
      </w:r>
      <w:r w:rsidR="0000253A" w:rsidRPr="007138D8">
        <w:rPr>
          <w:i/>
          <w:iCs/>
          <w:noProof/>
        </w:rPr>
        <w:t>Personnel Review</w:t>
      </w:r>
      <w:r w:rsidR="0000253A" w:rsidRPr="007138D8">
        <w:rPr>
          <w:noProof/>
        </w:rPr>
        <w:t xml:space="preserve">, </w:t>
      </w:r>
      <w:r w:rsidR="0000253A" w:rsidRPr="007138D8">
        <w:rPr>
          <w:i/>
          <w:iCs/>
          <w:noProof/>
        </w:rPr>
        <w:t>43</w:t>
      </w:r>
      <w:r w:rsidR="0000253A" w:rsidRPr="007138D8">
        <w:rPr>
          <w:noProof/>
        </w:rPr>
        <w:t>(1), 41–73. https://doi.org/10.1108/PR-02-2012-0019</w:t>
      </w:r>
    </w:p>
    <w:p w14:paraId="74B016AA"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lastRenderedPageBreak/>
        <w:t xml:space="preserve">Ababneh, K. I., Dedousis, E., &amp; Braendle, U. (2022). Employees’ reactions to supervisors’ fulfillment/non-fulfillment of psychological contract promises: an experimental field study. </w:t>
      </w:r>
      <w:r w:rsidRPr="007138D8">
        <w:rPr>
          <w:i/>
          <w:iCs/>
          <w:noProof/>
        </w:rPr>
        <w:t>Employee Relations: The International Journal</w:t>
      </w:r>
      <w:r w:rsidRPr="007138D8">
        <w:rPr>
          <w:noProof/>
        </w:rPr>
        <w:t xml:space="preserve">, </w:t>
      </w:r>
      <w:r w:rsidRPr="007138D8">
        <w:rPr>
          <w:i/>
          <w:iCs/>
          <w:noProof/>
        </w:rPr>
        <w:t>44</w:t>
      </w:r>
      <w:r w:rsidRPr="007138D8">
        <w:rPr>
          <w:noProof/>
        </w:rPr>
        <w:t>(4), 948–971. https://doi.org/10.1108/ER-07-2020-0308</w:t>
      </w:r>
    </w:p>
    <w:p w14:paraId="22627219"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Allen, N. J., &amp; Meyer, J. P. (1996). Affective, Continuance, and Normative Commitment to the Organization: An Examination of Construct Validity. </w:t>
      </w:r>
      <w:r w:rsidRPr="007138D8">
        <w:rPr>
          <w:i/>
          <w:iCs/>
          <w:noProof/>
        </w:rPr>
        <w:t>Journal of Vocational Behavior</w:t>
      </w:r>
      <w:r w:rsidRPr="007138D8">
        <w:rPr>
          <w:noProof/>
        </w:rPr>
        <w:t xml:space="preserve">, </w:t>
      </w:r>
      <w:r w:rsidRPr="007138D8">
        <w:rPr>
          <w:i/>
          <w:iCs/>
          <w:noProof/>
        </w:rPr>
        <w:t>49</w:t>
      </w:r>
      <w:r w:rsidRPr="007138D8">
        <w:rPr>
          <w:noProof/>
        </w:rPr>
        <w:t>(3), 252–276. https://doi.org/10.1006/JVBE.1996.0043</w:t>
      </w:r>
    </w:p>
    <w:p w14:paraId="35BFFC2E" w14:textId="77777777" w:rsidR="002F7D6E" w:rsidRPr="007138D8" w:rsidRDefault="002F7D6E" w:rsidP="002F7D6E">
      <w:pPr>
        <w:widowControl w:val="0"/>
        <w:autoSpaceDE w:val="0"/>
        <w:autoSpaceDN w:val="0"/>
        <w:adjustRightInd w:val="0"/>
        <w:spacing w:line="480" w:lineRule="auto"/>
        <w:ind w:left="480" w:hanging="480"/>
        <w:jc w:val="both"/>
        <w:rPr>
          <w:noProof/>
        </w:rPr>
      </w:pPr>
      <w:r w:rsidRPr="007138D8">
        <w:rPr>
          <w:noProof/>
        </w:rPr>
        <w:t xml:space="preserve">Alnsour, Y., Johnson, M., Albizri, A., &amp; Harfouche, A. H. (2023). Predicting Patient Length of Stay Using Artificial Intelligence to Assist Healthcare Professionals in Resource Planning and Scheduling Decisions. </w:t>
      </w:r>
      <w:r w:rsidRPr="007138D8">
        <w:rPr>
          <w:i/>
          <w:iCs/>
          <w:noProof/>
        </w:rPr>
        <w:t>Journal of Global Information Management (JGIM), 31</w:t>
      </w:r>
      <w:r w:rsidRPr="007138D8">
        <w:rPr>
          <w:noProof/>
        </w:rPr>
        <w:t>(1), 1-14. http://doi.org/10.4018/JGIM.323059</w:t>
      </w:r>
    </w:p>
    <w:p w14:paraId="213A350C"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Bakker, A. B., &amp; de Vries, J. D. (2021). Job Demands–Resources theory and self-regulation: new explanations and remedies for job burnout. </w:t>
      </w:r>
      <w:r w:rsidRPr="007138D8">
        <w:rPr>
          <w:i/>
          <w:iCs/>
          <w:noProof/>
        </w:rPr>
        <w:t>Anxiety, Stress, &amp; Coping</w:t>
      </w:r>
      <w:r w:rsidRPr="007138D8">
        <w:rPr>
          <w:noProof/>
        </w:rPr>
        <w:t xml:space="preserve">, </w:t>
      </w:r>
      <w:r w:rsidRPr="007138D8">
        <w:rPr>
          <w:i/>
          <w:iCs/>
          <w:noProof/>
        </w:rPr>
        <w:t>34</w:t>
      </w:r>
      <w:r w:rsidRPr="007138D8">
        <w:rPr>
          <w:noProof/>
        </w:rPr>
        <w:t>(1), 1–21. https://doi.org/10.1080/10615806.2020.1797695</w:t>
      </w:r>
    </w:p>
    <w:p w14:paraId="5111DA03"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Bal, P. M., De Lange, A. H., Jansen, P. G. W., &amp; Van Der Velde, M. E. G. (2008). Psychological contract breach and job attitudes: A meta-analysis of age as a moderator. </w:t>
      </w:r>
      <w:r w:rsidRPr="007138D8">
        <w:rPr>
          <w:i/>
          <w:iCs/>
          <w:noProof/>
        </w:rPr>
        <w:t>Journal of Vocational Behavior</w:t>
      </w:r>
      <w:r w:rsidRPr="007138D8">
        <w:rPr>
          <w:noProof/>
        </w:rPr>
        <w:t xml:space="preserve">, </w:t>
      </w:r>
      <w:r w:rsidRPr="007138D8">
        <w:rPr>
          <w:i/>
          <w:iCs/>
          <w:noProof/>
        </w:rPr>
        <w:t>72</w:t>
      </w:r>
      <w:r w:rsidRPr="007138D8">
        <w:rPr>
          <w:noProof/>
        </w:rPr>
        <w:t>(1), 143–158. https://doi.org/10.1016/J.JVB.2007.10.005</w:t>
      </w:r>
    </w:p>
    <w:p w14:paraId="34E577F6"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Blau, P. M. (1964). Exchange and power in social life. In </w:t>
      </w:r>
      <w:r w:rsidRPr="007138D8">
        <w:rPr>
          <w:i/>
          <w:iCs/>
          <w:noProof/>
        </w:rPr>
        <w:t>Exchange and Power in Social Life</w:t>
      </w:r>
      <w:r w:rsidRPr="007138D8">
        <w:rPr>
          <w:noProof/>
        </w:rPr>
        <w:t>. Wiley Publishers,New York, NY. https://doi.org/10.4324/9780203792643</w:t>
      </w:r>
    </w:p>
    <w:p w14:paraId="6237EE29"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Braganza, A., Chen, W., Canhoto, A., &amp; Sap, S. (2021). Productive employment and decent work: The impact of AI adoption on psychological contracts, job engagement and employee trust. </w:t>
      </w:r>
      <w:r w:rsidRPr="007138D8">
        <w:rPr>
          <w:i/>
          <w:iCs/>
          <w:noProof/>
        </w:rPr>
        <w:t>Journal of Business Research</w:t>
      </w:r>
      <w:r w:rsidRPr="007138D8">
        <w:rPr>
          <w:noProof/>
        </w:rPr>
        <w:t xml:space="preserve">, </w:t>
      </w:r>
      <w:r w:rsidRPr="007138D8">
        <w:rPr>
          <w:i/>
          <w:iCs/>
          <w:noProof/>
        </w:rPr>
        <w:t>131</w:t>
      </w:r>
      <w:r w:rsidRPr="007138D8">
        <w:rPr>
          <w:noProof/>
        </w:rPr>
        <w:t>, 485–494. https://doi.org/10.1016/J.JBUSRES.2020.08.018</w:t>
      </w:r>
    </w:p>
    <w:p w14:paraId="16B873EA"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lastRenderedPageBreak/>
        <w:t xml:space="preserve">Brislin, R. W. (1980). </w:t>
      </w:r>
      <w:r w:rsidRPr="007138D8">
        <w:rPr>
          <w:i/>
          <w:iCs/>
          <w:noProof/>
        </w:rPr>
        <w:t>Translation and content analysis of oral and written material. In: Triandis, H.C. and Berry, J. W., Eds., Handbook of cross-cultural psychology: Methodology, Allyn and Bacon, Boston, 389-444.</w:t>
      </w:r>
    </w:p>
    <w:p w14:paraId="3D438364"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Brougham, D., &amp; Haar, J. (2018). Smart Technology, Artificial Intelligence, Robotics, and Algorithms (STARA): Employees’ perceptions of our future workplace. </w:t>
      </w:r>
      <w:r w:rsidRPr="007138D8">
        <w:rPr>
          <w:i/>
          <w:iCs/>
          <w:noProof/>
        </w:rPr>
        <w:t>Journal of Management &amp; Organization</w:t>
      </w:r>
      <w:r w:rsidRPr="007138D8">
        <w:rPr>
          <w:noProof/>
        </w:rPr>
        <w:t xml:space="preserve">, </w:t>
      </w:r>
      <w:r w:rsidRPr="007138D8">
        <w:rPr>
          <w:i/>
          <w:iCs/>
          <w:noProof/>
        </w:rPr>
        <w:t>24</w:t>
      </w:r>
      <w:r w:rsidRPr="007138D8">
        <w:rPr>
          <w:noProof/>
        </w:rPr>
        <w:t>(2), 239–257. https://doi.org/10.1017/jmo.2016.55</w:t>
      </w:r>
    </w:p>
    <w:p w14:paraId="621473AF"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Chatterjee, S., Chaudhuri, R., Kamble, S., Gupta, S., &amp; Sivarajah, U. (2023). Adoption of Artificial Intelligence and Cutting-Edge Technologies for Production System Sustainability: A Moderator-Mediation Analysis. </w:t>
      </w:r>
      <w:r w:rsidRPr="007138D8">
        <w:rPr>
          <w:i/>
          <w:iCs/>
          <w:noProof/>
        </w:rPr>
        <w:t>Information Systems Frontiers</w:t>
      </w:r>
      <w:r w:rsidRPr="007138D8">
        <w:rPr>
          <w:noProof/>
        </w:rPr>
        <w:t xml:space="preserve">, </w:t>
      </w:r>
      <w:r w:rsidRPr="007138D8">
        <w:rPr>
          <w:i/>
          <w:iCs/>
          <w:noProof/>
        </w:rPr>
        <w:t>25</w:t>
      </w:r>
      <w:r w:rsidRPr="007138D8">
        <w:rPr>
          <w:noProof/>
        </w:rPr>
        <w:t>(5), 1779–1794. https://doi.org/10.1007/s10796-022-10317-x</w:t>
      </w:r>
    </w:p>
    <w:p w14:paraId="45A6F10B" w14:textId="77777777" w:rsidR="00300ADB" w:rsidRPr="007138D8" w:rsidRDefault="00300ADB" w:rsidP="00300ADB">
      <w:pPr>
        <w:widowControl w:val="0"/>
        <w:autoSpaceDE w:val="0"/>
        <w:autoSpaceDN w:val="0"/>
        <w:adjustRightInd w:val="0"/>
        <w:spacing w:line="480" w:lineRule="auto"/>
        <w:ind w:left="480" w:hanging="480"/>
        <w:jc w:val="both"/>
        <w:rPr>
          <w:noProof/>
        </w:rPr>
      </w:pPr>
      <w:r w:rsidRPr="007138D8">
        <w:rPr>
          <w:noProof/>
        </w:rPr>
        <w:t xml:space="preserve">Chen, J. E., Bao, F., Li, C., &amp; Lin, Y. (2023). The Application and Ethics of Artificial Intelligence in Blockchain: A Bibliometric-Content Analysis. </w:t>
      </w:r>
      <w:r w:rsidRPr="007138D8">
        <w:rPr>
          <w:i/>
          <w:iCs/>
          <w:noProof/>
        </w:rPr>
        <w:t>Journal of Global Information Management (JGIM), 31</w:t>
      </w:r>
      <w:r w:rsidRPr="007138D8">
        <w:rPr>
          <w:noProof/>
        </w:rPr>
        <w:t>(7), 1-32. http://doi.org/10.4018/JGIM.323656</w:t>
      </w:r>
    </w:p>
    <w:p w14:paraId="3079FF20"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Cheng, Y., &amp; Stockdale, M. S. (2003). The validity of the three-component model of organizational commitment in a Chinese context. </w:t>
      </w:r>
      <w:r w:rsidRPr="007138D8">
        <w:rPr>
          <w:i/>
          <w:iCs/>
          <w:noProof/>
        </w:rPr>
        <w:t>Journal of Vocational Behavior</w:t>
      </w:r>
      <w:r w:rsidRPr="007138D8">
        <w:rPr>
          <w:noProof/>
        </w:rPr>
        <w:t xml:space="preserve">, </w:t>
      </w:r>
      <w:r w:rsidRPr="007138D8">
        <w:rPr>
          <w:i/>
          <w:iCs/>
          <w:noProof/>
        </w:rPr>
        <w:t>62</w:t>
      </w:r>
      <w:r w:rsidRPr="007138D8">
        <w:rPr>
          <w:noProof/>
        </w:rPr>
        <w:t>(3), 465–489. https://doi.org/10.1016/S0001-8791(02)00063-5</w:t>
      </w:r>
    </w:p>
    <w:p w14:paraId="533D3714"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Colquitt, J. A., &amp; Rodell, J. B. (2011). Justice, Trust, and Trustworthiness: A Longitudinal Analysis Integrating Three Theoretical Perspectives. </w:t>
      </w:r>
      <w:r w:rsidRPr="007138D8">
        <w:rPr>
          <w:i/>
          <w:iCs/>
          <w:noProof/>
        </w:rPr>
        <w:t>Academy of Management Journal</w:t>
      </w:r>
      <w:r w:rsidRPr="007138D8">
        <w:rPr>
          <w:noProof/>
        </w:rPr>
        <w:t xml:space="preserve">, </w:t>
      </w:r>
      <w:r w:rsidRPr="007138D8">
        <w:rPr>
          <w:i/>
          <w:iCs/>
          <w:noProof/>
        </w:rPr>
        <w:t>54</w:t>
      </w:r>
      <w:r w:rsidRPr="007138D8">
        <w:rPr>
          <w:noProof/>
        </w:rPr>
        <w:t>(6), 1183–1206. https://doi.org/10.5465/amj.2007.0572</w:t>
      </w:r>
    </w:p>
    <w:p w14:paraId="6E76ECE7"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Colquitt, J. A., Scott, B. A., &amp; LePine, J. A. (2007). Trust, trustworthiness, and trust propensity: a meta-analytic test of their unique relationships with risk taking and job performance. </w:t>
      </w:r>
      <w:r w:rsidRPr="007138D8">
        <w:rPr>
          <w:i/>
          <w:iCs/>
          <w:noProof/>
        </w:rPr>
        <w:t>The Journal of Applied Psychology</w:t>
      </w:r>
      <w:r w:rsidRPr="007138D8">
        <w:rPr>
          <w:noProof/>
        </w:rPr>
        <w:t xml:space="preserve">, </w:t>
      </w:r>
      <w:r w:rsidRPr="007138D8">
        <w:rPr>
          <w:i/>
          <w:iCs/>
          <w:noProof/>
        </w:rPr>
        <w:t>92</w:t>
      </w:r>
      <w:r w:rsidRPr="007138D8">
        <w:rPr>
          <w:noProof/>
        </w:rPr>
        <w:t>(4), 909–927. https://doi.org/10.1037/0021-9010.92.4.909</w:t>
      </w:r>
    </w:p>
    <w:p w14:paraId="636B56AC"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lastRenderedPageBreak/>
        <w:t xml:space="preserve">Conway, N., &amp; Briner, R. B. (2009). Fifty Years of Psychological Contract Research: What Do We Know and What are the Main Challenges? In </w:t>
      </w:r>
      <w:r w:rsidRPr="007138D8">
        <w:rPr>
          <w:i/>
          <w:iCs/>
          <w:noProof/>
        </w:rPr>
        <w:t>International Review of Industrial and Organizational Psychology</w:t>
      </w:r>
      <w:r w:rsidRPr="007138D8">
        <w:rPr>
          <w:noProof/>
        </w:rPr>
        <w:t xml:space="preserve"> (pp. 71–130). Wiley. https://doi.org/10.1002/9780470745267.ch3</w:t>
      </w:r>
    </w:p>
    <w:p w14:paraId="27E8EEF6"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Costa, A. C., Fulmer, C. A., &amp; Anderson, N. R. (2018). Trust in work teams: An integrative review, multilevel model, and future directions. </w:t>
      </w:r>
      <w:r w:rsidRPr="007138D8">
        <w:rPr>
          <w:i/>
          <w:iCs/>
          <w:noProof/>
        </w:rPr>
        <w:t>Journal of Organizational Behavior</w:t>
      </w:r>
      <w:r w:rsidRPr="007138D8">
        <w:rPr>
          <w:noProof/>
        </w:rPr>
        <w:t xml:space="preserve">, </w:t>
      </w:r>
      <w:r w:rsidRPr="007138D8">
        <w:rPr>
          <w:i/>
          <w:iCs/>
          <w:noProof/>
        </w:rPr>
        <w:t>39</w:t>
      </w:r>
      <w:r w:rsidRPr="007138D8">
        <w:rPr>
          <w:noProof/>
        </w:rPr>
        <w:t>(2), 169–184. https://doi.org/10.1002/job.2213</w:t>
      </w:r>
    </w:p>
    <w:p w14:paraId="2E240B1E"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Coyle-Shapiro, J. A.-M., Pereira Costa, S., Doden, W., &amp; Chang, C. (2019). Psychological Contracts: Past, Present, and Future. </w:t>
      </w:r>
      <w:r w:rsidRPr="007138D8">
        <w:rPr>
          <w:i/>
          <w:iCs/>
          <w:noProof/>
        </w:rPr>
        <w:t>Annual Review of Organizational Psychology and Organizational Behavior</w:t>
      </w:r>
      <w:r w:rsidRPr="007138D8">
        <w:rPr>
          <w:noProof/>
        </w:rPr>
        <w:t xml:space="preserve">, </w:t>
      </w:r>
      <w:r w:rsidRPr="007138D8">
        <w:rPr>
          <w:i/>
          <w:iCs/>
          <w:noProof/>
        </w:rPr>
        <w:t>6</w:t>
      </w:r>
      <w:r w:rsidRPr="007138D8">
        <w:rPr>
          <w:noProof/>
        </w:rPr>
        <w:t>(1), 145–169. https://doi.org/10.1146/annurev-orgpsych-012218-015212</w:t>
      </w:r>
    </w:p>
    <w:p w14:paraId="37CB36C5"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Cropanzano, R., &amp; Mitchell, M. S. (2005). Social Exchange Theory: An Interdisciplinary Review. </w:t>
      </w:r>
      <w:r w:rsidRPr="007138D8">
        <w:rPr>
          <w:i/>
          <w:iCs/>
          <w:noProof/>
        </w:rPr>
        <w:t>Journal of Management</w:t>
      </w:r>
      <w:r w:rsidRPr="007138D8">
        <w:rPr>
          <w:noProof/>
        </w:rPr>
        <w:t xml:space="preserve">, </w:t>
      </w:r>
      <w:r w:rsidRPr="007138D8">
        <w:rPr>
          <w:i/>
          <w:iCs/>
          <w:noProof/>
        </w:rPr>
        <w:t>31</w:t>
      </w:r>
      <w:r w:rsidRPr="007138D8">
        <w:rPr>
          <w:noProof/>
        </w:rPr>
        <w:t>(6), 874–900. https://doi.org/10.1177/0149206305279602</w:t>
      </w:r>
    </w:p>
    <w:p w14:paraId="0A00F83D"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Dennehy, D., Griva, A., Pouloudi, N., Dwivedi, Y. K., Mäntymäki, M., &amp; Pappas, I. O. (2023). Artificial Intelligence (AI) and Information Systems: Perspectives to Responsible AI. </w:t>
      </w:r>
      <w:r w:rsidRPr="007138D8">
        <w:rPr>
          <w:i/>
          <w:iCs/>
          <w:noProof/>
        </w:rPr>
        <w:t>Information Systems Frontiers</w:t>
      </w:r>
      <w:r w:rsidRPr="007138D8">
        <w:rPr>
          <w:noProof/>
        </w:rPr>
        <w:t xml:space="preserve">, </w:t>
      </w:r>
      <w:r w:rsidRPr="007138D8">
        <w:rPr>
          <w:i/>
          <w:iCs/>
          <w:noProof/>
        </w:rPr>
        <w:t>25</w:t>
      </w:r>
      <w:r w:rsidRPr="007138D8">
        <w:rPr>
          <w:noProof/>
        </w:rPr>
        <w:t>(1), 1–7. https://doi.org/10.1007/s10796-022-10365-3</w:t>
      </w:r>
    </w:p>
    <w:p w14:paraId="623FF960"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Dirks, K. T., &amp; de Jong, B. (2022). Trust Within the Workplace: A Review of Two Waves of Research and a Glimpse of the Third. </w:t>
      </w:r>
      <w:r w:rsidRPr="007138D8">
        <w:rPr>
          <w:i/>
          <w:iCs/>
          <w:noProof/>
        </w:rPr>
        <w:t>Annual Review of Organizational Psychology and Organizational Behavior</w:t>
      </w:r>
      <w:r w:rsidRPr="007138D8">
        <w:rPr>
          <w:noProof/>
        </w:rPr>
        <w:t xml:space="preserve">, </w:t>
      </w:r>
      <w:r w:rsidRPr="007138D8">
        <w:rPr>
          <w:i/>
          <w:iCs/>
          <w:noProof/>
        </w:rPr>
        <w:t>9</w:t>
      </w:r>
      <w:r w:rsidRPr="007138D8">
        <w:rPr>
          <w:noProof/>
        </w:rPr>
        <w:t>(1), 247–276. https://doi.org/10.1146/annurev-orgpsych-012420-083025</w:t>
      </w:r>
    </w:p>
    <w:p w14:paraId="4B4EC113"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Drydakis, N. (2022). Artificial Intelligence and Reduced SMEs’ Business Risks. A Dynamic Capabilities Analysis During the COVID-19 Pandemic. </w:t>
      </w:r>
      <w:r w:rsidRPr="007138D8">
        <w:rPr>
          <w:i/>
          <w:iCs/>
          <w:noProof/>
        </w:rPr>
        <w:t>Information Systems Frontiers</w:t>
      </w:r>
      <w:r w:rsidRPr="007138D8">
        <w:rPr>
          <w:noProof/>
        </w:rPr>
        <w:t xml:space="preserve">, </w:t>
      </w:r>
      <w:r w:rsidRPr="007138D8">
        <w:rPr>
          <w:i/>
          <w:iCs/>
          <w:noProof/>
        </w:rPr>
        <w:lastRenderedPageBreak/>
        <w:t>24</w:t>
      </w:r>
      <w:r w:rsidRPr="007138D8">
        <w:rPr>
          <w:noProof/>
        </w:rPr>
        <w:t>(4), 1223–1247. https://doi.org/10.1007/s10796-022-10249-6</w:t>
      </w:r>
    </w:p>
    <w:p w14:paraId="2751D0A4" w14:textId="77777777" w:rsidR="004478D4" w:rsidRPr="007138D8" w:rsidRDefault="004478D4" w:rsidP="004478D4">
      <w:pPr>
        <w:widowControl w:val="0"/>
        <w:autoSpaceDE w:val="0"/>
        <w:autoSpaceDN w:val="0"/>
        <w:adjustRightInd w:val="0"/>
        <w:spacing w:line="480" w:lineRule="auto"/>
        <w:ind w:left="480" w:hanging="480"/>
        <w:jc w:val="both"/>
        <w:rPr>
          <w:noProof/>
        </w:rPr>
      </w:pPr>
      <w:r w:rsidRPr="007138D8">
        <w:rPr>
          <w:noProof/>
          <w:lang w:val="fr-FR"/>
        </w:rPr>
        <w:t xml:space="preserve">Du, X., Zhao, X., Wu, C., &amp; Feng, K. (2022). </w:t>
      </w:r>
      <w:r w:rsidRPr="007138D8">
        <w:rPr>
          <w:noProof/>
        </w:rPr>
        <w:t xml:space="preserve">Functionality, Emotion, and Acceptance of Artificial Intelligence Virtual Assistants: The Moderating Effect of Social Norms. </w:t>
      </w:r>
      <w:r w:rsidRPr="007138D8">
        <w:rPr>
          <w:i/>
          <w:iCs/>
          <w:noProof/>
        </w:rPr>
        <w:t>Journal of Global Information Management (JGIM), 30</w:t>
      </w:r>
      <w:r w:rsidRPr="007138D8">
        <w:rPr>
          <w:noProof/>
        </w:rPr>
        <w:t>(7), 1-21. http://doi.org/10.4018/JGIM.290418</w:t>
      </w:r>
    </w:p>
    <w:p w14:paraId="08BDFC26"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Enholm, I. M., Papagiannidis, E., Mikalef, P., &amp; Krogstie, J. (2022). Artificial Intelligence and Business Value: a Literature Review. </w:t>
      </w:r>
      <w:r w:rsidRPr="007138D8">
        <w:rPr>
          <w:i/>
          <w:iCs/>
          <w:noProof/>
        </w:rPr>
        <w:t>Information Systems Frontiers</w:t>
      </w:r>
      <w:r w:rsidRPr="007138D8">
        <w:rPr>
          <w:noProof/>
        </w:rPr>
        <w:t xml:space="preserve">, </w:t>
      </w:r>
      <w:r w:rsidRPr="007138D8">
        <w:rPr>
          <w:i/>
          <w:iCs/>
          <w:noProof/>
        </w:rPr>
        <w:t>24</w:t>
      </w:r>
      <w:r w:rsidRPr="007138D8">
        <w:rPr>
          <w:noProof/>
        </w:rPr>
        <w:t>(5), 1709–1734. https://doi.org/10.1007/s10796-021-10186-w</w:t>
      </w:r>
    </w:p>
    <w:p w14:paraId="7B7EE5BD"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Erkutlu, H., &amp; Chafra, J. (2013). Effects of trust and psychological contract violation on authentic leadership and organizational deviance. </w:t>
      </w:r>
      <w:r w:rsidRPr="007138D8">
        <w:rPr>
          <w:i/>
          <w:iCs/>
          <w:noProof/>
        </w:rPr>
        <w:t>Management Research Review</w:t>
      </w:r>
      <w:r w:rsidRPr="007138D8">
        <w:rPr>
          <w:noProof/>
        </w:rPr>
        <w:t xml:space="preserve">, </w:t>
      </w:r>
      <w:r w:rsidRPr="007138D8">
        <w:rPr>
          <w:i/>
          <w:iCs/>
          <w:noProof/>
        </w:rPr>
        <w:t>36</w:t>
      </w:r>
      <w:r w:rsidRPr="007138D8">
        <w:rPr>
          <w:noProof/>
        </w:rPr>
        <w:t>(9), 828–848. https://doi.org/10.1108/MRR-06-2012-0136</w:t>
      </w:r>
    </w:p>
    <w:p w14:paraId="4E407CBE"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Fosso Wamba, S., Queiroz, M. M., Pappas, I. O., &amp; Sullivan, Y. (2024). Artificial Intelligence Capability and Firm Performance: A Sustainable Development Perspective by the Mediating Role of Data-Driven Culture. </w:t>
      </w:r>
      <w:r w:rsidRPr="007138D8">
        <w:rPr>
          <w:i/>
          <w:iCs/>
          <w:noProof/>
        </w:rPr>
        <w:t>Information Systems Frontiers</w:t>
      </w:r>
      <w:r w:rsidRPr="007138D8">
        <w:rPr>
          <w:noProof/>
        </w:rPr>
        <w:t>, 1–15. https://doi.org/10.1007/s10796-023-10460-z</w:t>
      </w:r>
    </w:p>
    <w:p w14:paraId="1AFE733F"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Frey, C. B., &amp; Osborne, M. A. (2017). The future of employment: How susceptible are jobs to computerisation? </w:t>
      </w:r>
      <w:r w:rsidRPr="007138D8">
        <w:rPr>
          <w:i/>
          <w:iCs/>
          <w:noProof/>
        </w:rPr>
        <w:t>Technological Forecasting and Social Change</w:t>
      </w:r>
      <w:r w:rsidRPr="007138D8">
        <w:rPr>
          <w:noProof/>
        </w:rPr>
        <w:t xml:space="preserve">, </w:t>
      </w:r>
      <w:r w:rsidRPr="007138D8">
        <w:rPr>
          <w:i/>
          <w:iCs/>
          <w:noProof/>
        </w:rPr>
        <w:t>114</w:t>
      </w:r>
      <w:r w:rsidRPr="007138D8">
        <w:rPr>
          <w:noProof/>
        </w:rPr>
        <w:t>, 254–280. https://doi.org/10.1016/J.TECHFORE.2016.08.019</w:t>
      </w:r>
    </w:p>
    <w:p w14:paraId="2E97F2C8"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Gaudencio, P., Coelho, A., &amp; Ribeiro, N. (2017). The role of trust in corporate social responsibility and worker relationships. </w:t>
      </w:r>
      <w:r w:rsidRPr="007138D8">
        <w:rPr>
          <w:i/>
          <w:iCs/>
          <w:noProof/>
        </w:rPr>
        <w:t>Journal of Management Development</w:t>
      </w:r>
      <w:r w:rsidRPr="007138D8">
        <w:rPr>
          <w:noProof/>
        </w:rPr>
        <w:t xml:space="preserve">, </w:t>
      </w:r>
      <w:r w:rsidRPr="007138D8">
        <w:rPr>
          <w:i/>
          <w:iCs/>
          <w:noProof/>
        </w:rPr>
        <w:t>36</w:t>
      </w:r>
      <w:r w:rsidRPr="007138D8">
        <w:rPr>
          <w:noProof/>
        </w:rPr>
        <w:t>(4), 478–492. https://doi.org/10.1108/JMD-02-2016-0026</w:t>
      </w:r>
    </w:p>
    <w:p w14:paraId="1649B3A8"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George, N. A., Aboobaker, N., &amp; Edward, M. (2021). Corporate social responsibility, organizational trust and commitment: a moderated mediation model. </w:t>
      </w:r>
      <w:r w:rsidRPr="007138D8">
        <w:rPr>
          <w:i/>
          <w:iCs/>
          <w:noProof/>
        </w:rPr>
        <w:t>Personnel Review</w:t>
      </w:r>
      <w:r w:rsidRPr="007138D8">
        <w:rPr>
          <w:noProof/>
        </w:rPr>
        <w:t xml:space="preserve">, </w:t>
      </w:r>
      <w:r w:rsidRPr="007138D8">
        <w:rPr>
          <w:i/>
          <w:iCs/>
          <w:noProof/>
        </w:rPr>
        <w:lastRenderedPageBreak/>
        <w:t>50</w:t>
      </w:r>
      <w:r w:rsidRPr="007138D8">
        <w:rPr>
          <w:noProof/>
        </w:rPr>
        <w:t>(4), 1093–1111. https://doi.org/10.1108/PR-03-2020-0144</w:t>
      </w:r>
    </w:p>
    <w:p w14:paraId="247DF512"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Gillani, A., Kutaula, S., &amp; Budhwar, P. S. (2021). Psychological contract breach: Unraveling the dark side of business-to-business relationships. </w:t>
      </w:r>
      <w:r w:rsidRPr="007138D8">
        <w:rPr>
          <w:i/>
          <w:iCs/>
          <w:noProof/>
        </w:rPr>
        <w:t>Journal of Business Research</w:t>
      </w:r>
      <w:r w:rsidRPr="007138D8">
        <w:rPr>
          <w:noProof/>
        </w:rPr>
        <w:t xml:space="preserve">, </w:t>
      </w:r>
      <w:r w:rsidRPr="007138D8">
        <w:rPr>
          <w:i/>
          <w:iCs/>
          <w:noProof/>
        </w:rPr>
        <w:t>134</w:t>
      </w:r>
      <w:r w:rsidRPr="007138D8">
        <w:rPr>
          <w:noProof/>
        </w:rPr>
        <w:t>, 631–641. https://doi.org/10.1016/J.JBUSRES.2021.06.008</w:t>
      </w:r>
    </w:p>
    <w:p w14:paraId="0F2F807E" w14:textId="77777777" w:rsidR="00E26DE6" w:rsidRPr="007138D8" w:rsidRDefault="00E26DE6" w:rsidP="00E26DE6">
      <w:pPr>
        <w:widowControl w:val="0"/>
        <w:autoSpaceDE w:val="0"/>
        <w:autoSpaceDN w:val="0"/>
        <w:adjustRightInd w:val="0"/>
        <w:spacing w:line="480" w:lineRule="auto"/>
        <w:ind w:left="480" w:hanging="480"/>
        <w:jc w:val="both"/>
        <w:rPr>
          <w:noProof/>
        </w:rPr>
      </w:pPr>
      <w:r w:rsidRPr="007138D8">
        <w:rPr>
          <w:noProof/>
        </w:rPr>
        <w:t xml:space="preserve">Harfouche, A., Quinio, B., &amp; Bugiotti, F. (2023). Human-Centric AI to Mitigate AI Biases: The Advent of Augmented Intelligence. </w:t>
      </w:r>
      <w:r w:rsidRPr="007138D8">
        <w:rPr>
          <w:i/>
          <w:iCs/>
          <w:noProof/>
        </w:rPr>
        <w:t>Journal of Global Information Management (JGIM), 31</w:t>
      </w:r>
      <w:r w:rsidRPr="007138D8">
        <w:rPr>
          <w:noProof/>
        </w:rPr>
        <w:t>(5), 1-23. http://doi.org/10.4018/JGIM.331755</w:t>
      </w:r>
    </w:p>
    <w:p w14:paraId="2C612A28" w14:textId="77777777" w:rsidR="0000253A" w:rsidRPr="007138D8" w:rsidRDefault="0000253A" w:rsidP="00120A34">
      <w:pPr>
        <w:widowControl w:val="0"/>
        <w:autoSpaceDE w:val="0"/>
        <w:autoSpaceDN w:val="0"/>
        <w:adjustRightInd w:val="0"/>
        <w:spacing w:line="480" w:lineRule="auto"/>
        <w:ind w:left="480" w:hanging="480"/>
        <w:jc w:val="both"/>
        <w:rPr>
          <w:noProof/>
          <w:lang w:val="fr-FR"/>
        </w:rPr>
      </w:pPr>
      <w:r w:rsidRPr="007138D8">
        <w:rPr>
          <w:noProof/>
        </w:rPr>
        <w:t xml:space="preserve">Harfouche, A., Quinio, B., Saba, M., &amp; Saba, P. B. (2023). The Recursive Theory of Knowledge Augmentation: Integrating human intuition and knowledge in Artificial Intelligence to augment organizational knowledge. </w:t>
      </w:r>
      <w:r w:rsidRPr="007138D8">
        <w:rPr>
          <w:i/>
          <w:iCs/>
          <w:noProof/>
          <w:lang w:val="fr-FR"/>
        </w:rPr>
        <w:t>Information Systems Frontiers</w:t>
      </w:r>
      <w:r w:rsidRPr="007138D8">
        <w:rPr>
          <w:noProof/>
          <w:lang w:val="fr-FR"/>
        </w:rPr>
        <w:t xml:space="preserve">, </w:t>
      </w:r>
      <w:r w:rsidRPr="007138D8">
        <w:rPr>
          <w:i/>
          <w:iCs/>
          <w:noProof/>
          <w:lang w:val="fr-FR"/>
        </w:rPr>
        <w:t>25</w:t>
      </w:r>
      <w:r w:rsidRPr="007138D8">
        <w:rPr>
          <w:noProof/>
          <w:lang w:val="fr-FR"/>
        </w:rPr>
        <w:t>(1), 55–70. https://doi.org/10.1007/s10796-022-10352-8</w:t>
      </w:r>
    </w:p>
    <w:p w14:paraId="269B05D8" w14:textId="77777777" w:rsidR="004D303B" w:rsidRPr="007138D8" w:rsidRDefault="004D303B" w:rsidP="004D303B">
      <w:pPr>
        <w:widowControl w:val="0"/>
        <w:autoSpaceDE w:val="0"/>
        <w:autoSpaceDN w:val="0"/>
        <w:adjustRightInd w:val="0"/>
        <w:spacing w:line="480" w:lineRule="auto"/>
        <w:ind w:left="480" w:hanging="480"/>
        <w:jc w:val="both"/>
        <w:rPr>
          <w:noProof/>
        </w:rPr>
      </w:pPr>
      <w:r w:rsidRPr="007138D8">
        <w:rPr>
          <w:noProof/>
          <w:lang w:val="fr-FR"/>
        </w:rPr>
        <w:t xml:space="preserve">Hasan, Z., Vaz, D., Athota, V. S., Désiré, S. S., &amp; Pereira, V. (2023). </w:t>
      </w:r>
      <w:r w:rsidRPr="007138D8">
        <w:rPr>
          <w:noProof/>
        </w:rPr>
        <w:t xml:space="preserve">Can Artificial Intelligence (AI) Manage Behavioural Biases Among Financial Planners?. </w:t>
      </w:r>
      <w:r w:rsidRPr="007138D8">
        <w:rPr>
          <w:i/>
          <w:iCs/>
          <w:noProof/>
        </w:rPr>
        <w:t>Journal of Global Information Management (JGIM), 31</w:t>
      </w:r>
      <w:r w:rsidRPr="007138D8">
        <w:rPr>
          <w:noProof/>
        </w:rPr>
        <w:t>(2), 1-18. http://doi.org/10.4018/JGIM.321728</w:t>
      </w:r>
    </w:p>
    <w:p w14:paraId="243BE39F"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Hayes, A. F. (2013). </w:t>
      </w:r>
      <w:r w:rsidRPr="007138D8">
        <w:rPr>
          <w:i/>
          <w:iCs/>
          <w:noProof/>
        </w:rPr>
        <w:t>Introduction to mediation, moderation, and conditional process analysis: A regression-based approach.</w:t>
      </w:r>
    </w:p>
    <w:p w14:paraId="28980E6C" w14:textId="77777777" w:rsidR="009F4F60" w:rsidRPr="007138D8" w:rsidRDefault="009F4F60" w:rsidP="009F4F60">
      <w:pPr>
        <w:widowControl w:val="0"/>
        <w:autoSpaceDE w:val="0"/>
        <w:autoSpaceDN w:val="0"/>
        <w:adjustRightInd w:val="0"/>
        <w:spacing w:line="480" w:lineRule="auto"/>
        <w:ind w:left="480" w:hanging="480"/>
        <w:jc w:val="both"/>
        <w:rPr>
          <w:noProof/>
        </w:rPr>
      </w:pPr>
      <w:r w:rsidRPr="007138D8">
        <w:rPr>
          <w:noProof/>
        </w:rPr>
        <w:t xml:space="preserve">Hossain, M. A., Akter, S., Yanamandram, V., &amp; Gunasekaran, A. (2022). Operationalizing Artificial Intelligence-Enabled Customer Analytics Capability in Retailing. </w:t>
      </w:r>
      <w:r w:rsidRPr="007138D8">
        <w:rPr>
          <w:i/>
          <w:iCs/>
          <w:noProof/>
        </w:rPr>
        <w:t>Journal of Global Information Management (JGIM), 30</w:t>
      </w:r>
      <w:r w:rsidRPr="007138D8">
        <w:rPr>
          <w:noProof/>
        </w:rPr>
        <w:t>(8), 1-23. http://doi.org/10.4018/JGIM.298992</w:t>
      </w:r>
    </w:p>
    <w:p w14:paraId="6C6E1FE5"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Jaramillo, F., Mulki, J. P., &amp; Marshall, G. W. (2005). A meta-analysis of the relationship between organizational commitment and salesperson job performance: 25 years of research. </w:t>
      </w:r>
      <w:r w:rsidRPr="007138D8">
        <w:rPr>
          <w:i/>
          <w:iCs/>
          <w:noProof/>
        </w:rPr>
        <w:t>Journal of Business Research</w:t>
      </w:r>
      <w:r w:rsidRPr="007138D8">
        <w:rPr>
          <w:noProof/>
        </w:rPr>
        <w:t xml:space="preserve">, </w:t>
      </w:r>
      <w:r w:rsidRPr="007138D8">
        <w:rPr>
          <w:i/>
          <w:iCs/>
          <w:noProof/>
        </w:rPr>
        <w:t>58</w:t>
      </w:r>
      <w:r w:rsidRPr="007138D8">
        <w:rPr>
          <w:noProof/>
        </w:rPr>
        <w:t>(6), 705–714. https://doi.org/10.1016/J.JBUSRES.2003.10.004</w:t>
      </w:r>
    </w:p>
    <w:p w14:paraId="57CA8C27"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lastRenderedPageBreak/>
        <w:t xml:space="preserve">Jayaweera, A. T., Bal, M., Chudzikowski, K., &amp; de Jong, S. (2021). Moderating effects of national culture on the psychological contract breach and outcome relationship: a meta-analysis. </w:t>
      </w:r>
      <w:r w:rsidRPr="007138D8">
        <w:rPr>
          <w:i/>
          <w:iCs/>
          <w:noProof/>
        </w:rPr>
        <w:t>Cross Cultural &amp; Strategic Management</w:t>
      </w:r>
      <w:r w:rsidRPr="007138D8">
        <w:rPr>
          <w:noProof/>
        </w:rPr>
        <w:t xml:space="preserve">, </w:t>
      </w:r>
      <w:r w:rsidRPr="007138D8">
        <w:rPr>
          <w:i/>
          <w:iCs/>
          <w:noProof/>
        </w:rPr>
        <w:t>28</w:t>
      </w:r>
      <w:r w:rsidRPr="007138D8">
        <w:rPr>
          <w:noProof/>
        </w:rPr>
        <w:t>(3), 574–599. https://doi.org/10.1108/CCSM-07-2020-0137</w:t>
      </w:r>
    </w:p>
    <w:p w14:paraId="106F86AB"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Kar, A. K., &amp; Kushwaha, A. K. (2023). Facilitators and Barriers of Artificial Intelligence Adoption in Business – Insights from Opinions Using Big Data Analytics. </w:t>
      </w:r>
      <w:r w:rsidRPr="007138D8">
        <w:rPr>
          <w:i/>
          <w:iCs/>
          <w:noProof/>
        </w:rPr>
        <w:t>Information Systems Frontiers</w:t>
      </w:r>
      <w:r w:rsidRPr="007138D8">
        <w:rPr>
          <w:noProof/>
        </w:rPr>
        <w:t xml:space="preserve">, </w:t>
      </w:r>
      <w:r w:rsidRPr="007138D8">
        <w:rPr>
          <w:i/>
          <w:iCs/>
          <w:noProof/>
        </w:rPr>
        <w:t>25</w:t>
      </w:r>
      <w:r w:rsidRPr="007138D8">
        <w:rPr>
          <w:noProof/>
        </w:rPr>
        <w:t>(4), 1351–1374. https://doi.org/10.1007/s10796-021-10219-4</w:t>
      </w:r>
    </w:p>
    <w:p w14:paraId="218E0113"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Koniakou, V. (2023). From the “rush to ethics” to the “race for governance” in Artificial Intelligence. </w:t>
      </w:r>
      <w:r w:rsidRPr="007138D8">
        <w:rPr>
          <w:i/>
          <w:iCs/>
          <w:noProof/>
        </w:rPr>
        <w:t>Information Systems Frontiers</w:t>
      </w:r>
      <w:r w:rsidRPr="007138D8">
        <w:rPr>
          <w:noProof/>
        </w:rPr>
        <w:t xml:space="preserve">, </w:t>
      </w:r>
      <w:r w:rsidRPr="007138D8">
        <w:rPr>
          <w:i/>
          <w:iCs/>
          <w:noProof/>
        </w:rPr>
        <w:t>25</w:t>
      </w:r>
      <w:r w:rsidRPr="007138D8">
        <w:rPr>
          <w:noProof/>
        </w:rPr>
        <w:t>(1), 71–102. https://doi.org/10.1007/s10796-022-10300-6</w:t>
      </w:r>
    </w:p>
    <w:p w14:paraId="5FCBFD28"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Kumar, S., Lim, W. M., Sivarajah, U., &amp; Kaur, J. (2022). Artificial Intelligence and Blockchain Integration in Business: Trends from a Bibliometric-Content Analysis. </w:t>
      </w:r>
      <w:r w:rsidRPr="007138D8">
        <w:rPr>
          <w:i/>
          <w:iCs/>
          <w:noProof/>
        </w:rPr>
        <w:t>Information Systems Frontiers</w:t>
      </w:r>
      <w:r w:rsidRPr="007138D8">
        <w:rPr>
          <w:noProof/>
        </w:rPr>
        <w:t xml:space="preserve">, </w:t>
      </w:r>
      <w:r w:rsidRPr="007138D8">
        <w:rPr>
          <w:i/>
          <w:iCs/>
          <w:noProof/>
        </w:rPr>
        <w:t>25</w:t>
      </w:r>
      <w:r w:rsidRPr="007138D8">
        <w:rPr>
          <w:noProof/>
        </w:rPr>
        <w:t>(2), 871–896. https://doi.org/10.1007/s10796-022-10279-0</w:t>
      </w:r>
    </w:p>
    <w:p w14:paraId="2FBBDDC5"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Kushwaha, A. K., Pharswan, R., Kumar, P., &amp; Kar, A. K. (2023). How Do Users Feel When They Use Artificial Intelligence for Decision Making? A Framework for Assessing Users’ Perception. </w:t>
      </w:r>
      <w:r w:rsidRPr="007138D8">
        <w:rPr>
          <w:i/>
          <w:iCs/>
          <w:noProof/>
        </w:rPr>
        <w:t>Information Systems Frontiers</w:t>
      </w:r>
      <w:r w:rsidRPr="007138D8">
        <w:rPr>
          <w:noProof/>
        </w:rPr>
        <w:t xml:space="preserve">, </w:t>
      </w:r>
      <w:r w:rsidRPr="007138D8">
        <w:rPr>
          <w:i/>
          <w:iCs/>
          <w:noProof/>
        </w:rPr>
        <w:t>25</w:t>
      </w:r>
      <w:r w:rsidRPr="007138D8">
        <w:rPr>
          <w:noProof/>
        </w:rPr>
        <w:t>(3), 1241–1260. https://doi.org/10.1007/s10796-022-10293-2</w:t>
      </w:r>
    </w:p>
    <w:p w14:paraId="55379A2B"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Lambert, L. S., Bingham, J. B., &amp; Zabinski, A. (2020). Affective commitment, trust, and the psychological contract: contributions matter, too! </w:t>
      </w:r>
      <w:r w:rsidRPr="007138D8">
        <w:rPr>
          <w:i/>
          <w:iCs/>
          <w:noProof/>
        </w:rPr>
        <w:t>European Journal of Work and Organizational Psychology</w:t>
      </w:r>
      <w:r w:rsidRPr="007138D8">
        <w:rPr>
          <w:noProof/>
        </w:rPr>
        <w:t xml:space="preserve">, </w:t>
      </w:r>
      <w:r w:rsidRPr="007138D8">
        <w:rPr>
          <w:i/>
          <w:iCs/>
          <w:noProof/>
        </w:rPr>
        <w:t>29</w:t>
      </w:r>
      <w:r w:rsidRPr="007138D8">
        <w:rPr>
          <w:noProof/>
        </w:rPr>
        <w:t>(2), 294–314. https://doi.org/10.1080/1359432X.2019.1697743</w:t>
      </w:r>
    </w:p>
    <w:p w14:paraId="51224806"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Lee, K., Allen, N. J., Meyer, J. P., &amp; Rhee, K. (2001). The Three‐Component Model of Organisational Commitment: An Application to South Korea. </w:t>
      </w:r>
      <w:r w:rsidRPr="007138D8">
        <w:rPr>
          <w:i/>
          <w:iCs/>
          <w:noProof/>
        </w:rPr>
        <w:t>Applied Psychology</w:t>
      </w:r>
      <w:r w:rsidRPr="007138D8">
        <w:rPr>
          <w:noProof/>
        </w:rPr>
        <w:t xml:space="preserve">, </w:t>
      </w:r>
      <w:r w:rsidRPr="007138D8">
        <w:rPr>
          <w:i/>
          <w:iCs/>
          <w:noProof/>
        </w:rPr>
        <w:t>50</w:t>
      </w:r>
      <w:r w:rsidRPr="007138D8">
        <w:rPr>
          <w:noProof/>
        </w:rPr>
        <w:t xml:space="preserve">(4), </w:t>
      </w:r>
      <w:r w:rsidRPr="007138D8">
        <w:rPr>
          <w:noProof/>
        </w:rPr>
        <w:lastRenderedPageBreak/>
        <w:t>596–614. https://doi.org/10.1111/1464-0597.00075</w:t>
      </w:r>
    </w:p>
    <w:p w14:paraId="2B31F74E" w14:textId="77777777" w:rsidR="00E840DA" w:rsidRPr="007138D8" w:rsidRDefault="00E840DA" w:rsidP="00E840DA">
      <w:pPr>
        <w:widowControl w:val="0"/>
        <w:autoSpaceDE w:val="0"/>
        <w:autoSpaceDN w:val="0"/>
        <w:adjustRightInd w:val="0"/>
        <w:spacing w:line="480" w:lineRule="auto"/>
        <w:ind w:left="480" w:hanging="480"/>
        <w:jc w:val="both"/>
        <w:rPr>
          <w:rFonts w:eastAsiaTheme="minorEastAsia"/>
          <w:noProof/>
        </w:rPr>
      </w:pPr>
      <w:r w:rsidRPr="007138D8">
        <w:rPr>
          <w:rFonts w:eastAsiaTheme="minorEastAsia"/>
          <w:noProof/>
        </w:rPr>
        <w:t xml:space="preserve">Li, M., Shang, X., Liu, N., Pan, X., &amp; Han, F. (2022). Knowledge Management in Relationship Among Abusive Management, Self-Efficacy, and Corporate Performance Under Artificial Intelligence. </w:t>
      </w:r>
      <w:r w:rsidRPr="007138D8">
        <w:rPr>
          <w:rFonts w:eastAsiaTheme="minorEastAsia"/>
          <w:i/>
          <w:iCs/>
          <w:noProof/>
        </w:rPr>
        <w:t>Journal of Global Information Management (JGIM), 30</w:t>
      </w:r>
      <w:r w:rsidRPr="007138D8">
        <w:rPr>
          <w:rFonts w:eastAsiaTheme="minorEastAsia"/>
          <w:noProof/>
        </w:rPr>
        <w:t>(11), 1-26. http://doi.org/10.4018/JGIM.307067</w:t>
      </w:r>
    </w:p>
    <w:p w14:paraId="36E93F1B"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Liang, H. (2022). Façade creation as a mediator of the influence of psychological contract breach on employee behaviors. </w:t>
      </w:r>
      <w:r w:rsidRPr="007138D8">
        <w:rPr>
          <w:i/>
          <w:iCs/>
          <w:noProof/>
        </w:rPr>
        <w:t>International Journal of Selection and Assessment</w:t>
      </w:r>
      <w:r w:rsidRPr="007138D8">
        <w:rPr>
          <w:noProof/>
        </w:rPr>
        <w:t xml:space="preserve">, </w:t>
      </w:r>
      <w:r w:rsidRPr="007138D8">
        <w:rPr>
          <w:i/>
          <w:iCs/>
          <w:noProof/>
        </w:rPr>
        <w:t>30</w:t>
      </w:r>
      <w:r w:rsidRPr="007138D8">
        <w:rPr>
          <w:noProof/>
        </w:rPr>
        <w:t>(4), 614–624. https://doi.org/10.1111/ijsa.12379</w:t>
      </w:r>
    </w:p>
    <w:p w14:paraId="2D26CB7F"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Makridakis, S. (2017). The forthcoming Artificial Intelligence (AI) revolution: Its impact on society and firms. </w:t>
      </w:r>
      <w:r w:rsidRPr="007138D8">
        <w:rPr>
          <w:i/>
          <w:iCs/>
          <w:noProof/>
        </w:rPr>
        <w:t>Futures</w:t>
      </w:r>
      <w:r w:rsidRPr="007138D8">
        <w:rPr>
          <w:noProof/>
        </w:rPr>
        <w:t xml:space="preserve">, </w:t>
      </w:r>
      <w:r w:rsidRPr="007138D8">
        <w:rPr>
          <w:i/>
          <w:iCs/>
          <w:noProof/>
        </w:rPr>
        <w:t>90</w:t>
      </w:r>
      <w:r w:rsidRPr="007138D8">
        <w:rPr>
          <w:noProof/>
        </w:rPr>
        <w:t>, 46–60. https://doi.org/10.1016/J.FUTURES.2017.03.006</w:t>
      </w:r>
    </w:p>
    <w:p w14:paraId="44599510"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Mayer, R. C., Davis, J. H., &amp; Schoorman, F. D. (1995). An Integrative Model of Organizational Trust. </w:t>
      </w:r>
      <w:r w:rsidRPr="007138D8">
        <w:rPr>
          <w:i/>
          <w:iCs/>
          <w:noProof/>
        </w:rPr>
        <w:t>The Academy of Management Review</w:t>
      </w:r>
      <w:r w:rsidRPr="007138D8">
        <w:rPr>
          <w:noProof/>
        </w:rPr>
        <w:t xml:space="preserve">, </w:t>
      </w:r>
      <w:r w:rsidRPr="007138D8">
        <w:rPr>
          <w:i/>
          <w:iCs/>
          <w:noProof/>
        </w:rPr>
        <w:t>20</w:t>
      </w:r>
      <w:r w:rsidRPr="007138D8">
        <w:rPr>
          <w:noProof/>
        </w:rPr>
        <w:t>(3), 709. https://doi.org/10.2307/258792</w:t>
      </w:r>
    </w:p>
    <w:p w14:paraId="3BB85D0E"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Merhi, M. I. (2023). An Assessment of the Barriers Impacting Responsible Artificial Intelligence. </w:t>
      </w:r>
      <w:r w:rsidRPr="007138D8">
        <w:rPr>
          <w:i/>
          <w:iCs/>
          <w:noProof/>
        </w:rPr>
        <w:t>Information Systems Frontiers</w:t>
      </w:r>
      <w:r w:rsidRPr="007138D8">
        <w:rPr>
          <w:noProof/>
        </w:rPr>
        <w:t xml:space="preserve">, </w:t>
      </w:r>
      <w:r w:rsidRPr="007138D8">
        <w:rPr>
          <w:i/>
          <w:iCs/>
          <w:noProof/>
        </w:rPr>
        <w:t>25</w:t>
      </w:r>
      <w:r w:rsidRPr="007138D8">
        <w:rPr>
          <w:noProof/>
        </w:rPr>
        <w:t>(3), 1147–1160. https://doi.org/10.1007/s10796-022-10276-3</w:t>
      </w:r>
    </w:p>
    <w:p w14:paraId="2AD6BE8D"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Metin Camgöz, S., &amp; Bayhan Karapinar, P. (2016). Linking secure attachment to commitment: trust in supervisors. </w:t>
      </w:r>
      <w:r w:rsidRPr="007138D8">
        <w:rPr>
          <w:i/>
          <w:iCs/>
          <w:noProof/>
        </w:rPr>
        <w:t>Leadership &amp; Organization Development Journal</w:t>
      </w:r>
      <w:r w:rsidRPr="007138D8">
        <w:rPr>
          <w:noProof/>
        </w:rPr>
        <w:t xml:space="preserve">, </w:t>
      </w:r>
      <w:r w:rsidRPr="007138D8">
        <w:rPr>
          <w:i/>
          <w:iCs/>
          <w:noProof/>
        </w:rPr>
        <w:t>37</w:t>
      </w:r>
      <w:r w:rsidRPr="007138D8">
        <w:rPr>
          <w:noProof/>
        </w:rPr>
        <w:t>(3), 387–402. https://doi.org/10.1108/LODJ-07-2014-0130</w:t>
      </w:r>
    </w:p>
    <w:p w14:paraId="0B58E03F"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Meyer, J. P., &amp; Allen, N. J. (1991). A three-component conceptualization of organizational commitment. </w:t>
      </w:r>
      <w:r w:rsidRPr="007138D8">
        <w:rPr>
          <w:i/>
          <w:iCs/>
          <w:noProof/>
        </w:rPr>
        <w:t>Human Resource Management Review</w:t>
      </w:r>
      <w:r w:rsidRPr="007138D8">
        <w:rPr>
          <w:noProof/>
        </w:rPr>
        <w:t xml:space="preserve">, </w:t>
      </w:r>
      <w:r w:rsidRPr="007138D8">
        <w:rPr>
          <w:i/>
          <w:iCs/>
          <w:noProof/>
        </w:rPr>
        <w:t>1</w:t>
      </w:r>
      <w:r w:rsidRPr="007138D8">
        <w:rPr>
          <w:noProof/>
        </w:rPr>
        <w:t>(1), 61–89. https://doi.org/10.1016/1053-4822(91)90011-Z</w:t>
      </w:r>
    </w:p>
    <w:p w14:paraId="6B9F8D20"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Meyer, J. P., Stanley, D. J., Herscovitch, L., &amp; Topolnytsky, L. (2002). Affective, Continuance, and Normative Commitment to the Organization: A Meta-analysis of Antecedents, </w:t>
      </w:r>
      <w:r w:rsidRPr="007138D8">
        <w:rPr>
          <w:noProof/>
        </w:rPr>
        <w:lastRenderedPageBreak/>
        <w:t xml:space="preserve">Correlates, and Consequences. </w:t>
      </w:r>
      <w:r w:rsidRPr="007138D8">
        <w:rPr>
          <w:i/>
          <w:iCs/>
          <w:noProof/>
        </w:rPr>
        <w:t>Journal of Vocational Behavior</w:t>
      </w:r>
      <w:r w:rsidRPr="007138D8">
        <w:rPr>
          <w:noProof/>
        </w:rPr>
        <w:t xml:space="preserve">, </w:t>
      </w:r>
      <w:r w:rsidRPr="007138D8">
        <w:rPr>
          <w:i/>
          <w:iCs/>
          <w:noProof/>
        </w:rPr>
        <w:t>61</w:t>
      </w:r>
      <w:r w:rsidRPr="007138D8">
        <w:rPr>
          <w:noProof/>
        </w:rPr>
        <w:t>(1), 20–52. https://doi.org/10.1006/JVBE.2001.1842</w:t>
      </w:r>
    </w:p>
    <w:p w14:paraId="62F60653"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Mittal, S., Shubham, &amp; Sengupta, A. (2019). Multidimensionality in Organizational Justice-Trust Relationship for Newcomer Employees: a Moderated-Mediation Model. </w:t>
      </w:r>
      <w:r w:rsidRPr="007138D8">
        <w:rPr>
          <w:i/>
          <w:iCs/>
          <w:noProof/>
        </w:rPr>
        <w:t>Current Psychology</w:t>
      </w:r>
      <w:r w:rsidRPr="007138D8">
        <w:rPr>
          <w:noProof/>
        </w:rPr>
        <w:t xml:space="preserve">, </w:t>
      </w:r>
      <w:r w:rsidRPr="007138D8">
        <w:rPr>
          <w:i/>
          <w:iCs/>
          <w:noProof/>
        </w:rPr>
        <w:t>38</w:t>
      </w:r>
      <w:r w:rsidRPr="007138D8">
        <w:rPr>
          <w:noProof/>
        </w:rPr>
        <w:t>(3), 737–748. https://doi.org/10.1007/s12144-017-9632-6</w:t>
      </w:r>
    </w:p>
    <w:p w14:paraId="135D882E"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Moin, M. F. (2018). The link between perceptions of leader emotion regulation and followers’ organizational commitment. </w:t>
      </w:r>
      <w:r w:rsidRPr="007138D8">
        <w:rPr>
          <w:i/>
          <w:iCs/>
          <w:noProof/>
        </w:rPr>
        <w:t>Journal of Management Development</w:t>
      </w:r>
      <w:r w:rsidRPr="007138D8">
        <w:rPr>
          <w:noProof/>
        </w:rPr>
        <w:t xml:space="preserve">, </w:t>
      </w:r>
      <w:r w:rsidRPr="007138D8">
        <w:rPr>
          <w:i/>
          <w:iCs/>
          <w:noProof/>
        </w:rPr>
        <w:t>37</w:t>
      </w:r>
      <w:r w:rsidRPr="007138D8">
        <w:rPr>
          <w:noProof/>
        </w:rPr>
        <w:t>(2), 178–187. https://doi.org/10.1108/JMD-01-2017-0014</w:t>
      </w:r>
    </w:p>
    <w:p w14:paraId="063E0104" w14:textId="77777777" w:rsidR="00793485" w:rsidRPr="007138D8" w:rsidRDefault="00904E08" w:rsidP="00120A34">
      <w:pPr>
        <w:widowControl w:val="0"/>
        <w:autoSpaceDE w:val="0"/>
        <w:autoSpaceDN w:val="0"/>
        <w:adjustRightInd w:val="0"/>
        <w:spacing w:line="480" w:lineRule="auto"/>
        <w:ind w:left="480" w:hanging="480"/>
        <w:jc w:val="both"/>
        <w:rPr>
          <w:noProof/>
        </w:rPr>
      </w:pPr>
      <w:r w:rsidRPr="007138D8">
        <w:rPr>
          <w:noProof/>
        </w:rPr>
        <w:t>Moin, M.F., &amp; Zhang, Z.J. (2024). Stemming the tide: linking the A</w:t>
      </w:r>
      <w:r w:rsidR="007F4FFC" w:rsidRPr="007138D8">
        <w:rPr>
          <w:noProof/>
        </w:rPr>
        <w:t>I technology with workers retent</w:t>
      </w:r>
      <w:r w:rsidRPr="007138D8">
        <w:rPr>
          <w:noProof/>
        </w:rPr>
        <w:t xml:space="preserve">ion. </w:t>
      </w:r>
      <w:r w:rsidRPr="007138D8">
        <w:rPr>
          <w:i/>
          <w:noProof/>
        </w:rPr>
        <w:t>International Journal of Managing Projects in Business</w:t>
      </w:r>
      <w:r w:rsidRPr="007138D8">
        <w:rPr>
          <w:noProof/>
        </w:rPr>
        <w:t>.online first.https://doi.org/10.1108/IJMPB-01-2024-0015</w:t>
      </w:r>
    </w:p>
    <w:p w14:paraId="13B9A1B1" w14:textId="77777777" w:rsidR="005D2F9F" w:rsidRPr="007138D8" w:rsidRDefault="005D2F9F" w:rsidP="005D2F9F">
      <w:pPr>
        <w:widowControl w:val="0"/>
        <w:autoSpaceDE w:val="0"/>
        <w:autoSpaceDN w:val="0"/>
        <w:adjustRightInd w:val="0"/>
        <w:spacing w:line="480" w:lineRule="auto"/>
        <w:ind w:left="480" w:hanging="480"/>
        <w:rPr>
          <w:sz w:val="22"/>
          <w:szCs w:val="22"/>
        </w:rPr>
      </w:pPr>
      <w:r w:rsidRPr="007138D8">
        <w:rPr>
          <w:sz w:val="22"/>
          <w:szCs w:val="22"/>
        </w:rPr>
        <w:t>Bankins, S., &amp; Formosa, P. (2020). When AI meets PC: Exploring the implications of workplace social robots and a human-robot psychological contract. European Journal of Work and Organizational Psychology, 29(2), 215-229.</w:t>
      </w:r>
    </w:p>
    <w:p w14:paraId="537CAF5C" w14:textId="77777777" w:rsidR="005D2F9F" w:rsidRPr="007138D8" w:rsidRDefault="005D2F9F" w:rsidP="005D2F9F">
      <w:pPr>
        <w:widowControl w:val="0"/>
        <w:autoSpaceDE w:val="0"/>
        <w:autoSpaceDN w:val="0"/>
        <w:adjustRightInd w:val="0"/>
        <w:spacing w:line="480" w:lineRule="auto"/>
        <w:ind w:left="480" w:hanging="480"/>
        <w:rPr>
          <w:sz w:val="22"/>
          <w:szCs w:val="22"/>
        </w:rPr>
      </w:pPr>
      <w:r w:rsidRPr="007138D8">
        <w:rPr>
          <w:sz w:val="22"/>
          <w:szCs w:val="22"/>
        </w:rPr>
        <w:t>Tursunbayeva, A., &amp; Gal, H. C. B. (2024). Adoption of artificial intelligence: A TOP framework-based checklist for digital leaders. Business Horizons.</w:t>
      </w:r>
    </w:p>
    <w:p w14:paraId="71602EC4" w14:textId="77777777" w:rsidR="005D2F9F" w:rsidRPr="007138D8" w:rsidRDefault="005D2F9F" w:rsidP="005D2F9F">
      <w:pPr>
        <w:widowControl w:val="0"/>
        <w:autoSpaceDE w:val="0"/>
        <w:autoSpaceDN w:val="0"/>
        <w:adjustRightInd w:val="0"/>
        <w:spacing w:line="480" w:lineRule="auto"/>
        <w:ind w:left="480" w:hanging="480"/>
        <w:rPr>
          <w:noProof/>
        </w:rPr>
      </w:pPr>
      <w:r w:rsidRPr="007138D8">
        <w:rPr>
          <w:sz w:val="22"/>
          <w:szCs w:val="22"/>
        </w:rPr>
        <w:t>Löffert, R. M., &amp; Diehl, M. R. (2023). A psychological contract perspective to managing the employment relationship during the COVID-19 pandemic in the aviation industry. The International Journal of Human Resource Management, 34(15), 3023-3050.</w:t>
      </w:r>
    </w:p>
    <w:p w14:paraId="11EF06F3"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Pathardikar, A. D., Mishra, P. K., &amp; Sahu, S. (2023). Procedural justice influencing affective commitment: mediating role of organizational trust and job satisfaction. </w:t>
      </w:r>
      <w:r w:rsidRPr="007138D8">
        <w:rPr>
          <w:i/>
          <w:iCs/>
          <w:noProof/>
        </w:rPr>
        <w:t>Journal of Asia Business Studies</w:t>
      </w:r>
      <w:r w:rsidRPr="007138D8">
        <w:rPr>
          <w:noProof/>
        </w:rPr>
        <w:t xml:space="preserve">, </w:t>
      </w:r>
      <w:r w:rsidRPr="007138D8">
        <w:rPr>
          <w:i/>
          <w:iCs/>
          <w:noProof/>
        </w:rPr>
        <w:t>17</w:t>
      </w:r>
      <w:r w:rsidRPr="007138D8">
        <w:rPr>
          <w:noProof/>
        </w:rPr>
        <w:t>(2), 371–384. https://doi.org/10.1108/JABS-08-2021-0356</w:t>
      </w:r>
    </w:p>
    <w:p w14:paraId="19EA4191"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Podsakoff, P. M., MacKenzie, S. B., Lee, J.-Y., &amp; Podsakoff, N. P. (2003). Common method biases in behavioral research: A critical review of the literature and recommended remedies. </w:t>
      </w:r>
      <w:r w:rsidRPr="007138D8">
        <w:rPr>
          <w:i/>
          <w:iCs/>
          <w:noProof/>
        </w:rPr>
        <w:lastRenderedPageBreak/>
        <w:t>Journal of Applied Psychology</w:t>
      </w:r>
      <w:r w:rsidRPr="007138D8">
        <w:rPr>
          <w:noProof/>
        </w:rPr>
        <w:t xml:space="preserve">, </w:t>
      </w:r>
      <w:r w:rsidRPr="007138D8">
        <w:rPr>
          <w:i/>
          <w:iCs/>
          <w:noProof/>
        </w:rPr>
        <w:t>88</w:t>
      </w:r>
      <w:r w:rsidRPr="007138D8">
        <w:rPr>
          <w:noProof/>
        </w:rPr>
        <w:t>(5), 879–903. https://doi.org/10.1037/0021-9010.88.5.879</w:t>
      </w:r>
    </w:p>
    <w:p w14:paraId="4AE20E60"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Prikshat, V., Malik, A., &amp; Budhwar, P. (2023). AI-augmented HRM: Antecedents, assimilation and multilevel consequences. </w:t>
      </w:r>
      <w:r w:rsidRPr="007138D8">
        <w:rPr>
          <w:i/>
          <w:iCs/>
          <w:noProof/>
        </w:rPr>
        <w:t>Human Resource Management Review</w:t>
      </w:r>
      <w:r w:rsidRPr="007138D8">
        <w:rPr>
          <w:noProof/>
        </w:rPr>
        <w:t xml:space="preserve">, </w:t>
      </w:r>
      <w:r w:rsidRPr="007138D8">
        <w:rPr>
          <w:i/>
          <w:iCs/>
          <w:noProof/>
        </w:rPr>
        <w:t>33</w:t>
      </w:r>
      <w:r w:rsidRPr="007138D8">
        <w:rPr>
          <w:noProof/>
        </w:rPr>
        <w:t>(1), 100860. https://doi.org/10.1016/J.HRMR.2021.100860</w:t>
      </w:r>
    </w:p>
    <w:p w14:paraId="5D4E4347"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Robinson, S. L., &amp; Wolfe Morrison, E. (2000). The development of psychological contract breach and violation: a longitudinal study. </w:t>
      </w:r>
      <w:r w:rsidRPr="007138D8">
        <w:rPr>
          <w:i/>
          <w:iCs/>
          <w:noProof/>
        </w:rPr>
        <w:t>Journal of Organizational Behavior</w:t>
      </w:r>
      <w:r w:rsidRPr="007138D8">
        <w:rPr>
          <w:noProof/>
        </w:rPr>
        <w:t xml:space="preserve">, </w:t>
      </w:r>
      <w:r w:rsidRPr="007138D8">
        <w:rPr>
          <w:i/>
          <w:iCs/>
          <w:noProof/>
        </w:rPr>
        <w:t>21</w:t>
      </w:r>
      <w:r w:rsidRPr="007138D8">
        <w:rPr>
          <w:noProof/>
        </w:rPr>
        <w:t>(5), 525–546. https://doi.org/10.1002/1099-1379(200008)21:5&lt;525::AID-JOB40&gt;3.0.CO;2-T</w:t>
      </w:r>
    </w:p>
    <w:p w14:paraId="1E77E2CC"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Samtani, S., Zhao, Z., &amp; Krishnan, R. (2023). Secure Knowledge Management and Cybersecurity in the Era of Artificial Intelligence. </w:t>
      </w:r>
      <w:r w:rsidRPr="007138D8">
        <w:rPr>
          <w:i/>
          <w:iCs/>
          <w:noProof/>
        </w:rPr>
        <w:t>Information Systems Frontiers</w:t>
      </w:r>
      <w:r w:rsidRPr="007138D8">
        <w:rPr>
          <w:noProof/>
        </w:rPr>
        <w:t xml:space="preserve">, </w:t>
      </w:r>
      <w:r w:rsidRPr="007138D8">
        <w:rPr>
          <w:i/>
          <w:iCs/>
          <w:noProof/>
        </w:rPr>
        <w:t>25</w:t>
      </w:r>
      <w:r w:rsidRPr="007138D8">
        <w:rPr>
          <w:noProof/>
        </w:rPr>
        <w:t>(2), 425–429. https://doi.org/10.1007/s10796-023-10372-y</w:t>
      </w:r>
    </w:p>
    <w:p w14:paraId="78446414"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Tremblay, M., Cloutier, J., Simard, G., Chênevert, D., &amp; Vandenberghe, C. (2010). The role of HRM practices, procedural justice, organizational support and trust in organizational commitment and in-role and extra-role performance. </w:t>
      </w:r>
      <w:r w:rsidRPr="007138D8">
        <w:rPr>
          <w:i/>
          <w:iCs/>
          <w:noProof/>
        </w:rPr>
        <w:t>The International Journal of Human Resource Management</w:t>
      </w:r>
      <w:r w:rsidRPr="007138D8">
        <w:rPr>
          <w:noProof/>
        </w:rPr>
        <w:t xml:space="preserve">, </w:t>
      </w:r>
      <w:r w:rsidRPr="007138D8">
        <w:rPr>
          <w:i/>
          <w:iCs/>
          <w:noProof/>
        </w:rPr>
        <w:t>21</w:t>
      </w:r>
      <w:r w:rsidRPr="007138D8">
        <w:rPr>
          <w:noProof/>
        </w:rPr>
        <w:t>(3), 405–433. https://doi.org/10.1080/09585190903549056</w:t>
      </w:r>
    </w:p>
    <w:p w14:paraId="72C04767" w14:textId="77777777" w:rsidR="00FD7537" w:rsidRPr="007138D8" w:rsidRDefault="00FD7537" w:rsidP="00FD7537">
      <w:pPr>
        <w:widowControl w:val="0"/>
        <w:autoSpaceDE w:val="0"/>
        <w:autoSpaceDN w:val="0"/>
        <w:adjustRightInd w:val="0"/>
        <w:spacing w:line="480" w:lineRule="auto"/>
        <w:ind w:left="480" w:hanging="480"/>
        <w:jc w:val="both"/>
        <w:rPr>
          <w:noProof/>
        </w:rPr>
      </w:pPr>
      <w:r w:rsidRPr="007138D8">
        <w:rPr>
          <w:noProof/>
        </w:rPr>
        <w:t xml:space="preserve">Tseng, H., Lo, C., &amp; Chen, C. (2023). The Moderation Role of AI-Enabled Service Quality on the Attitude Toward Fitness Apps. </w:t>
      </w:r>
      <w:r w:rsidRPr="007138D8">
        <w:rPr>
          <w:i/>
          <w:iCs/>
          <w:noProof/>
        </w:rPr>
        <w:t>Journal of Global Information Management (JGIM), 31</w:t>
      </w:r>
      <w:r w:rsidRPr="007138D8">
        <w:rPr>
          <w:noProof/>
        </w:rPr>
        <w:t>(1), 1-20. http://doi.org/10.4018/JGIM.318694</w:t>
      </w:r>
    </w:p>
    <w:p w14:paraId="5580293C"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Uribetxebarria, U., Gago, M., Legarra, M., &amp; Elorza, U. (2021). The link between HIWPs and well-being at work: the mediating role of trust. </w:t>
      </w:r>
      <w:r w:rsidRPr="007138D8">
        <w:rPr>
          <w:i/>
          <w:iCs/>
          <w:noProof/>
        </w:rPr>
        <w:t>Employee Relations: The International Journal</w:t>
      </w:r>
      <w:r w:rsidRPr="007138D8">
        <w:rPr>
          <w:noProof/>
        </w:rPr>
        <w:t xml:space="preserve">, </w:t>
      </w:r>
      <w:r w:rsidRPr="007138D8">
        <w:rPr>
          <w:i/>
          <w:iCs/>
          <w:noProof/>
        </w:rPr>
        <w:t>43</w:t>
      </w:r>
      <w:r w:rsidRPr="007138D8">
        <w:rPr>
          <w:noProof/>
        </w:rPr>
        <w:t>(4), 842–857. https://doi.org/10.1108/ER-05-2020-0223</w:t>
      </w:r>
    </w:p>
    <w:p w14:paraId="30BAD583"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Wang, X., Li, C., Chen, Y., Zheng, C., Zhang, F., Huang, Y., &amp; Birch, S. (2022). Relationships between job satisfaction, organizational commitment, burnout and job performance of </w:t>
      </w:r>
      <w:r w:rsidRPr="007138D8">
        <w:rPr>
          <w:noProof/>
        </w:rPr>
        <w:lastRenderedPageBreak/>
        <w:t xml:space="preserve">healthcare professionals in a district-level health care system of Shenzhen, China. </w:t>
      </w:r>
      <w:r w:rsidRPr="007138D8">
        <w:rPr>
          <w:i/>
          <w:iCs/>
          <w:noProof/>
        </w:rPr>
        <w:t>Frontiers in Psychology</w:t>
      </w:r>
      <w:r w:rsidRPr="007138D8">
        <w:rPr>
          <w:noProof/>
        </w:rPr>
        <w:t xml:space="preserve">, </w:t>
      </w:r>
      <w:r w:rsidRPr="007138D8">
        <w:rPr>
          <w:i/>
          <w:iCs/>
          <w:noProof/>
        </w:rPr>
        <w:t>13</w:t>
      </w:r>
      <w:r w:rsidRPr="007138D8">
        <w:rPr>
          <w:noProof/>
        </w:rPr>
        <w:t>, 992258. https://doi.org/10.3389/fpsyg.2022.992258</w:t>
      </w:r>
    </w:p>
    <w:p w14:paraId="0A9DDFF4"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Wasti, S. A. (2005). Commitment profiles: Combinations of organizational commitment forms and job outcomes. </w:t>
      </w:r>
      <w:r w:rsidRPr="007138D8">
        <w:rPr>
          <w:i/>
          <w:iCs/>
          <w:noProof/>
        </w:rPr>
        <w:t>Journal of Vocational Behavior</w:t>
      </w:r>
      <w:r w:rsidRPr="007138D8">
        <w:rPr>
          <w:noProof/>
        </w:rPr>
        <w:t xml:space="preserve">, </w:t>
      </w:r>
      <w:r w:rsidRPr="007138D8">
        <w:rPr>
          <w:i/>
          <w:iCs/>
          <w:noProof/>
        </w:rPr>
        <w:t>67</w:t>
      </w:r>
      <w:r w:rsidRPr="007138D8">
        <w:rPr>
          <w:noProof/>
        </w:rPr>
        <w:t>(2), 290–308. https://doi.org/10.1016/J.JVB.2004.07.002</w:t>
      </w:r>
    </w:p>
    <w:p w14:paraId="65A5538D" w14:textId="77777777" w:rsidR="0000253A" w:rsidRPr="007138D8" w:rsidRDefault="0000253A" w:rsidP="00120A34">
      <w:pPr>
        <w:widowControl w:val="0"/>
        <w:autoSpaceDE w:val="0"/>
        <w:autoSpaceDN w:val="0"/>
        <w:adjustRightInd w:val="0"/>
        <w:spacing w:line="480" w:lineRule="auto"/>
        <w:ind w:left="480" w:hanging="480"/>
        <w:jc w:val="both"/>
        <w:rPr>
          <w:noProof/>
        </w:rPr>
      </w:pPr>
      <w:r w:rsidRPr="007138D8">
        <w:rPr>
          <w:noProof/>
        </w:rPr>
        <w:t xml:space="preserve">Yan, J., Luo, J., Jia, J., &amp; Zhong, J. (2019). High-commitment organization and employees’ job performance. </w:t>
      </w:r>
      <w:r w:rsidRPr="007138D8">
        <w:rPr>
          <w:i/>
          <w:iCs/>
          <w:noProof/>
        </w:rPr>
        <w:t>International Journal of Manpower</w:t>
      </w:r>
      <w:r w:rsidRPr="007138D8">
        <w:rPr>
          <w:noProof/>
        </w:rPr>
        <w:t xml:space="preserve">, </w:t>
      </w:r>
      <w:r w:rsidRPr="007138D8">
        <w:rPr>
          <w:i/>
          <w:iCs/>
          <w:noProof/>
        </w:rPr>
        <w:t>40</w:t>
      </w:r>
      <w:r w:rsidRPr="007138D8">
        <w:rPr>
          <w:noProof/>
        </w:rPr>
        <w:t>(7), 1305–1318. https://doi.org/10.1108/IJM-08-2018-0243</w:t>
      </w:r>
    </w:p>
    <w:p w14:paraId="1283461B" w14:textId="76609B7D" w:rsidR="00312EF0" w:rsidRPr="007138D8" w:rsidRDefault="00456E63" w:rsidP="00120A34">
      <w:pPr>
        <w:widowControl w:val="0"/>
        <w:autoSpaceDE w:val="0"/>
        <w:autoSpaceDN w:val="0"/>
        <w:adjustRightInd w:val="0"/>
        <w:spacing w:line="480" w:lineRule="auto"/>
        <w:ind w:left="480" w:hanging="480"/>
        <w:jc w:val="both"/>
      </w:pPr>
      <w:r w:rsidRPr="007138D8">
        <w:fldChar w:fldCharType="end"/>
      </w:r>
    </w:p>
    <w:p w14:paraId="7339F4BB" w14:textId="77777777" w:rsidR="00312EF0" w:rsidRPr="007138D8" w:rsidRDefault="00312EF0">
      <w:pPr>
        <w:spacing w:after="160" w:line="259" w:lineRule="auto"/>
      </w:pPr>
      <w:r w:rsidRPr="007138D8">
        <w:br w:type="page"/>
      </w:r>
    </w:p>
    <w:p w14:paraId="239F1DF0" w14:textId="387E8294" w:rsidR="00987BEF" w:rsidRPr="007138D8" w:rsidRDefault="00987BEF" w:rsidP="00987BEF">
      <w:pPr>
        <w:rPr>
          <w:b/>
          <w:bCs/>
        </w:rPr>
      </w:pPr>
      <w:r w:rsidRPr="007138D8">
        <w:rPr>
          <w:b/>
          <w:bCs/>
        </w:rPr>
        <w:lastRenderedPageBreak/>
        <w:t>Author Biography</w:t>
      </w:r>
    </w:p>
    <w:p w14:paraId="5E255358" w14:textId="77777777" w:rsidR="00312EF0" w:rsidRPr="007138D8" w:rsidRDefault="00312EF0" w:rsidP="00120A34">
      <w:pPr>
        <w:widowControl w:val="0"/>
        <w:autoSpaceDE w:val="0"/>
        <w:autoSpaceDN w:val="0"/>
        <w:adjustRightInd w:val="0"/>
        <w:spacing w:line="480" w:lineRule="auto"/>
        <w:ind w:left="480" w:hanging="480"/>
        <w:jc w:val="both"/>
        <w:rPr>
          <w:sz w:val="20"/>
          <w:szCs w:val="20"/>
        </w:rPr>
      </w:pPr>
    </w:p>
    <w:p w14:paraId="67B19A70" w14:textId="0C50E932" w:rsidR="00987BEF" w:rsidRPr="007138D8" w:rsidRDefault="00987BEF" w:rsidP="000D576C">
      <w:r w:rsidRPr="007138D8">
        <w:t>Muhammad Farrukh Moin</w:t>
      </w:r>
      <w:r w:rsidR="00374804" w:rsidRPr="007138D8">
        <w:t xml:space="preserve"> </w:t>
      </w:r>
      <w:r w:rsidR="0055361D" w:rsidRPr="007138D8">
        <w:t>earned his PhD in Business Administration from the School of Management, University of Science and Technology of China (USTC), China. He has published over 30 SSCI papers in OB/HRM fields. His current research focuses on leadership, organi</w:t>
      </w:r>
      <w:r w:rsidR="000D576C" w:rsidRPr="007138D8">
        <w:t>z</w:t>
      </w:r>
      <w:r w:rsidR="0055361D" w:rsidRPr="007138D8">
        <w:t>ational behavior, HRM, psychology</w:t>
      </w:r>
      <w:r w:rsidR="000D576C" w:rsidRPr="007138D8">
        <w:t>,</w:t>
      </w:r>
      <w:r w:rsidR="0055361D" w:rsidRPr="007138D8">
        <w:t xml:space="preserve"> and AI. </w:t>
      </w:r>
    </w:p>
    <w:p w14:paraId="3249C0DA" w14:textId="77777777" w:rsidR="000D576C" w:rsidRPr="007138D8" w:rsidRDefault="000D576C" w:rsidP="000D576C"/>
    <w:p w14:paraId="65A43380" w14:textId="2DD5566C" w:rsidR="00987BEF" w:rsidRPr="007138D8" w:rsidRDefault="00B57111" w:rsidP="00B57111">
      <w:pPr>
        <w:widowControl w:val="0"/>
        <w:autoSpaceDE w:val="0"/>
        <w:autoSpaceDN w:val="0"/>
        <w:adjustRightInd w:val="0"/>
        <w:jc w:val="both"/>
      </w:pPr>
      <w:r w:rsidRPr="007138D8">
        <w:t xml:space="preserve">Abhishek Behl is a senior lecturer at Keele Business School, Keele University, UK. He holds rich experience </w:t>
      </w:r>
      <w:r w:rsidR="001663DE" w:rsidRPr="007138D8">
        <w:t>in</w:t>
      </w:r>
      <w:r w:rsidRPr="007138D8">
        <w:t xml:space="preserve"> teaching, research</w:t>
      </w:r>
      <w:r w:rsidR="001663DE" w:rsidRPr="007138D8">
        <w:t>,</w:t>
      </w:r>
      <w:r w:rsidRPr="007138D8">
        <w:t xml:space="preserve"> and consultancy. He has taught subjects like Marketing Analytics</w:t>
      </w:r>
      <w:r w:rsidR="001663DE" w:rsidRPr="007138D8">
        <w:t>,</w:t>
      </w:r>
      <w:r w:rsidRPr="007138D8">
        <w:t xml:space="preserve"> Gamification for Business</w:t>
      </w:r>
      <w:r w:rsidR="001663DE" w:rsidRPr="007138D8">
        <w:t>,</w:t>
      </w:r>
      <w:r w:rsidRPr="007138D8">
        <w:t xml:space="preserve"> Marketing Research</w:t>
      </w:r>
      <w:r w:rsidR="001663DE" w:rsidRPr="007138D8">
        <w:t>,</w:t>
      </w:r>
      <w:r w:rsidRPr="007138D8">
        <w:t xml:space="preserve"> and Qualitative Data Analytics. His research is in the area</w:t>
      </w:r>
      <w:r w:rsidR="008F3256" w:rsidRPr="007138D8">
        <w:t>s</w:t>
      </w:r>
      <w:r w:rsidRPr="007138D8">
        <w:t xml:space="preserve"> of gamification, stakeholder engagement, sustainability, and e-commerce start-ups.</w:t>
      </w:r>
      <w:r w:rsidRPr="007138D8">
        <w:rPr>
          <w:rFonts w:ascii="Georgia" w:hAnsi="Georgia"/>
        </w:rPr>
        <w:t> </w:t>
      </w:r>
      <w:r w:rsidRPr="007138D8">
        <w:t xml:space="preserve">He is </w:t>
      </w:r>
      <w:r w:rsidR="008F3256" w:rsidRPr="007138D8">
        <w:t>the</w:t>
      </w:r>
      <w:r w:rsidRPr="007138D8">
        <w:t xml:space="preserve"> president of </w:t>
      </w:r>
      <w:r w:rsidR="008F3256" w:rsidRPr="007138D8">
        <w:t xml:space="preserve">the </w:t>
      </w:r>
      <w:r w:rsidRPr="007138D8">
        <w:t xml:space="preserve">Special Interest Group (SIG)- GAME of AIS. He is an Associate Editor of the </w:t>
      </w:r>
      <w:r w:rsidRPr="007138D8">
        <w:rPr>
          <w:i/>
          <w:iCs/>
        </w:rPr>
        <w:t>Journal of Global Information Management</w:t>
      </w:r>
      <w:r w:rsidR="008F3256" w:rsidRPr="007138D8">
        <w:t>,</w:t>
      </w:r>
      <w:r w:rsidRPr="007138D8">
        <w:t xml:space="preserve"> </w:t>
      </w:r>
      <w:r w:rsidRPr="007138D8">
        <w:rPr>
          <w:i/>
          <w:iCs/>
        </w:rPr>
        <w:t>Journal of Global Marketing</w:t>
      </w:r>
      <w:r w:rsidR="008F3256" w:rsidRPr="007138D8">
        <w:t>,</w:t>
      </w:r>
      <w:r w:rsidRPr="007138D8">
        <w:t xml:space="preserve"> </w:t>
      </w:r>
      <w:r w:rsidRPr="007138D8">
        <w:rPr>
          <w:i/>
          <w:iCs/>
        </w:rPr>
        <w:t>International Journal of Manpower</w:t>
      </w:r>
      <w:r w:rsidR="008F3256" w:rsidRPr="007138D8">
        <w:t>,</w:t>
      </w:r>
      <w:r w:rsidRPr="007138D8">
        <w:t xml:space="preserve"> </w:t>
      </w:r>
      <w:r w:rsidRPr="007138D8">
        <w:rPr>
          <w:i/>
          <w:iCs/>
        </w:rPr>
        <w:t>International Studies of Management and Organization</w:t>
      </w:r>
      <w:r w:rsidR="008F3256" w:rsidRPr="007138D8">
        <w:t>,</w:t>
      </w:r>
      <w:r w:rsidRPr="007138D8">
        <w:t xml:space="preserve"> </w:t>
      </w:r>
      <w:r w:rsidRPr="007138D8">
        <w:rPr>
          <w:i/>
          <w:iCs/>
        </w:rPr>
        <w:t>South Asia Journal of Business Studies</w:t>
      </w:r>
      <w:r w:rsidR="008F3256" w:rsidRPr="007138D8">
        <w:t>,</w:t>
      </w:r>
      <w:r w:rsidRPr="007138D8">
        <w:t xml:space="preserve"> </w:t>
      </w:r>
      <w:r w:rsidRPr="007138D8">
        <w:rPr>
          <w:i/>
          <w:iCs/>
        </w:rPr>
        <w:t>Journal of Cases on Information Technology</w:t>
      </w:r>
      <w:r w:rsidR="008F3256" w:rsidRPr="007138D8">
        <w:t>,</w:t>
      </w:r>
      <w:r w:rsidRPr="007138D8">
        <w:t xml:space="preserve"> Assistant Editor of </w:t>
      </w:r>
      <w:r w:rsidRPr="007138D8">
        <w:rPr>
          <w:i/>
          <w:iCs/>
        </w:rPr>
        <w:t>Technology Forecasting and Social Change</w:t>
      </w:r>
      <w:r w:rsidR="00C241C4" w:rsidRPr="007138D8">
        <w:t>,</w:t>
      </w:r>
      <w:r w:rsidRPr="007138D8">
        <w:t xml:space="preserve"> and an area editor (South Asia) of the </w:t>
      </w:r>
      <w:r w:rsidRPr="007138D8">
        <w:rPr>
          <w:i/>
          <w:iCs/>
        </w:rPr>
        <w:t>International Journal of Emergency Services</w:t>
      </w:r>
      <w:r w:rsidRPr="007138D8">
        <w:t xml:space="preserve">.  He has published in journals like </w:t>
      </w:r>
      <w:r w:rsidRPr="007138D8">
        <w:rPr>
          <w:i/>
          <w:iCs/>
        </w:rPr>
        <w:t>Industrial Marketing Management</w:t>
      </w:r>
      <w:r w:rsidR="00C241C4" w:rsidRPr="007138D8">
        <w:t>,</w:t>
      </w:r>
      <w:r w:rsidRPr="007138D8">
        <w:t xml:space="preserve"> </w:t>
      </w:r>
      <w:r w:rsidRPr="007138D8">
        <w:rPr>
          <w:i/>
          <w:iCs/>
        </w:rPr>
        <w:t>International Journal of Information Management</w:t>
      </w:r>
      <w:r w:rsidR="00C241C4" w:rsidRPr="007138D8">
        <w:t>,</w:t>
      </w:r>
      <w:r w:rsidRPr="007138D8">
        <w:t xml:space="preserve"> </w:t>
      </w:r>
      <w:r w:rsidRPr="007138D8">
        <w:rPr>
          <w:i/>
          <w:iCs/>
        </w:rPr>
        <w:t>IEEE Transactions on Engineering Management</w:t>
      </w:r>
      <w:r w:rsidR="00C241C4" w:rsidRPr="007138D8">
        <w:t>,</w:t>
      </w:r>
      <w:r w:rsidRPr="007138D8">
        <w:t xml:space="preserve"> </w:t>
      </w:r>
      <w:r w:rsidRPr="007138D8">
        <w:rPr>
          <w:i/>
          <w:iCs/>
        </w:rPr>
        <w:t>Production Planning and Control</w:t>
      </w:r>
      <w:r w:rsidR="00C241C4" w:rsidRPr="007138D8">
        <w:t>,</w:t>
      </w:r>
      <w:r w:rsidRPr="007138D8">
        <w:t xml:space="preserve"> </w:t>
      </w:r>
      <w:r w:rsidRPr="007138D8">
        <w:rPr>
          <w:i/>
          <w:iCs/>
        </w:rPr>
        <w:t>Annals of Operations Research</w:t>
      </w:r>
      <w:r w:rsidR="00C241C4" w:rsidRPr="007138D8">
        <w:t>,</w:t>
      </w:r>
      <w:r w:rsidRPr="007138D8">
        <w:t xml:space="preserve"> </w:t>
      </w:r>
      <w:r w:rsidRPr="007138D8">
        <w:rPr>
          <w:i/>
          <w:iCs/>
        </w:rPr>
        <w:t>Journal of Business Research</w:t>
      </w:r>
      <w:r w:rsidR="00C241C4" w:rsidRPr="007138D8">
        <w:t>,</w:t>
      </w:r>
      <w:r w:rsidRPr="007138D8">
        <w:t xml:space="preserve"> </w:t>
      </w:r>
      <w:r w:rsidRPr="007138D8">
        <w:rPr>
          <w:i/>
          <w:iCs/>
        </w:rPr>
        <w:t>Technology Forecasting and Social Change</w:t>
      </w:r>
      <w:r w:rsidR="00C241C4" w:rsidRPr="007138D8">
        <w:t>,</w:t>
      </w:r>
      <w:r w:rsidRPr="007138D8">
        <w:t xml:space="preserve"> </w:t>
      </w:r>
      <w:r w:rsidRPr="007138D8">
        <w:rPr>
          <w:i/>
          <w:iCs/>
        </w:rPr>
        <w:t>Journal of Knowledge Management</w:t>
      </w:r>
      <w:r w:rsidR="00C241C4" w:rsidRPr="007138D8">
        <w:t>,</w:t>
      </w:r>
      <w:r w:rsidRPr="007138D8">
        <w:t xml:space="preserve"> </w:t>
      </w:r>
      <w:r w:rsidRPr="007138D8">
        <w:rPr>
          <w:i/>
          <w:iCs/>
        </w:rPr>
        <w:t xml:space="preserve">Computers in Human </w:t>
      </w:r>
      <w:proofErr w:type="spellStart"/>
      <w:r w:rsidRPr="007138D8">
        <w:rPr>
          <w:i/>
          <w:iCs/>
        </w:rPr>
        <w:t>Behaviour</w:t>
      </w:r>
      <w:proofErr w:type="spellEnd"/>
      <w:r w:rsidR="00C241C4" w:rsidRPr="007138D8">
        <w:t>,</w:t>
      </w:r>
      <w:r w:rsidRPr="007138D8">
        <w:t xml:space="preserve"> </w:t>
      </w:r>
      <w:r w:rsidRPr="007138D8">
        <w:rPr>
          <w:i/>
          <w:iCs/>
        </w:rPr>
        <w:t>Internet Research</w:t>
      </w:r>
      <w:r w:rsidR="00C241C4" w:rsidRPr="007138D8">
        <w:t>,</w:t>
      </w:r>
      <w:r w:rsidRPr="007138D8">
        <w:t xml:space="preserve"> </w:t>
      </w:r>
      <w:r w:rsidRPr="007138D8">
        <w:rPr>
          <w:i/>
          <w:iCs/>
        </w:rPr>
        <w:t>International Marketing Review</w:t>
      </w:r>
      <w:r w:rsidR="00C241C4" w:rsidRPr="007138D8">
        <w:t>,</w:t>
      </w:r>
      <w:r w:rsidRPr="007138D8">
        <w:t xml:space="preserve"> </w:t>
      </w:r>
      <w:r w:rsidRPr="007138D8">
        <w:rPr>
          <w:i/>
          <w:iCs/>
        </w:rPr>
        <w:t xml:space="preserve">Journal of Enterprise Information </w:t>
      </w:r>
      <w:r w:rsidR="00C241C4" w:rsidRPr="007138D8">
        <w:rPr>
          <w:i/>
          <w:iCs/>
        </w:rPr>
        <w:t>Management</w:t>
      </w:r>
      <w:r w:rsidR="00C241C4" w:rsidRPr="007138D8">
        <w:t>,</w:t>
      </w:r>
      <w:r w:rsidRPr="007138D8">
        <w:t xml:space="preserve"> </w:t>
      </w:r>
      <w:r w:rsidRPr="007138D8">
        <w:rPr>
          <w:i/>
          <w:iCs/>
        </w:rPr>
        <w:t>Industrial Management and Data Systems</w:t>
      </w:r>
      <w:r w:rsidRPr="007138D8">
        <w:t>, etc.</w:t>
      </w:r>
    </w:p>
    <w:p w14:paraId="002FD522" w14:textId="77777777" w:rsidR="00813F85" w:rsidRPr="007138D8" w:rsidRDefault="00813F85" w:rsidP="00B57111">
      <w:pPr>
        <w:widowControl w:val="0"/>
        <w:autoSpaceDE w:val="0"/>
        <w:autoSpaceDN w:val="0"/>
        <w:adjustRightInd w:val="0"/>
        <w:jc w:val="both"/>
      </w:pPr>
    </w:p>
    <w:p w14:paraId="72DCF1FC" w14:textId="539AD4CF" w:rsidR="00813F85" w:rsidRPr="007138D8" w:rsidRDefault="00813F85" w:rsidP="00B57111">
      <w:pPr>
        <w:widowControl w:val="0"/>
        <w:autoSpaceDE w:val="0"/>
        <w:autoSpaceDN w:val="0"/>
        <w:adjustRightInd w:val="0"/>
        <w:jc w:val="both"/>
      </w:pPr>
      <w:r w:rsidRPr="007138D8">
        <w:t>Justin Zhang is an Associate Professor of Management Information Systems and Business Analytics in the Department of Management at University of North Florida (UNF). He is also the Program Director of the Master of Science in Business Analytics (MSBA) program at UNF. He received his Ph.D. in Business Administration with a concentration on Management Science and Information Systems from Pennsylvania State University, University Park. His research interests include Information and Knowledge Management, Decision Making, Sustainable Development, Supply Chain Management, Environmental Policy, Impact Management, and Risk Assessment. He is the editor-in-chief of the </w:t>
      </w:r>
      <w:r w:rsidRPr="007138D8">
        <w:rPr>
          <w:rStyle w:val="Emphasis"/>
        </w:rPr>
        <w:t>Journal of Global Information Management</w:t>
      </w:r>
      <w:r w:rsidRPr="007138D8">
        <w:t>, an ABET commissioner, and an IEEE senior member.</w:t>
      </w:r>
    </w:p>
    <w:p w14:paraId="61D54C84" w14:textId="77777777" w:rsidR="007C5D39" w:rsidRPr="007138D8" w:rsidRDefault="007C5D39" w:rsidP="00B57111">
      <w:pPr>
        <w:widowControl w:val="0"/>
        <w:autoSpaceDE w:val="0"/>
        <w:autoSpaceDN w:val="0"/>
        <w:adjustRightInd w:val="0"/>
        <w:jc w:val="both"/>
      </w:pPr>
    </w:p>
    <w:p w14:paraId="00967F90" w14:textId="29B7F976" w:rsidR="007C5D39" w:rsidRPr="007138D8" w:rsidRDefault="007C5D39" w:rsidP="007C5D39">
      <w:pPr>
        <w:pStyle w:val="NormalWeb"/>
        <w:spacing w:before="0" w:beforeAutospacing="0" w:after="0" w:afterAutospacing="0"/>
        <w:jc w:val="both"/>
        <w:rPr>
          <w:rFonts w:ascii="Aptos" w:hAnsi="Aptos"/>
        </w:rPr>
      </w:pPr>
      <w:r w:rsidRPr="007138D8">
        <w:t xml:space="preserve">Amit Shankar is an Associate Professor in Marketing at the Indian Institute of Management Visakhapatnam, India. His research interests are in the areas of retaining, services marketing, and mobile banking. His research has been published in the </w:t>
      </w:r>
      <w:r w:rsidRPr="007138D8">
        <w:rPr>
          <w:i/>
          <w:iCs/>
        </w:rPr>
        <w:t>Industrial Marketing Management,</w:t>
      </w:r>
      <w:r w:rsidRPr="007138D8">
        <w:t xml:space="preserve"> </w:t>
      </w:r>
      <w:r w:rsidRPr="007138D8">
        <w:rPr>
          <w:i/>
          <w:iCs/>
        </w:rPr>
        <w:t>International Journal of Hospitality Management</w:t>
      </w:r>
      <w:r w:rsidRPr="007138D8">
        <w:t xml:space="preserve">, </w:t>
      </w:r>
      <w:r w:rsidRPr="007138D8">
        <w:rPr>
          <w:i/>
          <w:iCs/>
        </w:rPr>
        <w:t>Journal of Business Research,</w:t>
      </w:r>
      <w:r w:rsidRPr="007138D8">
        <w:t xml:space="preserve"> </w:t>
      </w:r>
      <w:r w:rsidRPr="007138D8">
        <w:rPr>
          <w:i/>
          <w:iCs/>
          <w:bdr w:val="none" w:sz="0" w:space="0" w:color="auto" w:frame="1"/>
          <w:lang w:val="en-GB"/>
        </w:rPr>
        <w:t>Journal of Marketing Management</w:t>
      </w:r>
      <w:r w:rsidRPr="007138D8">
        <w:rPr>
          <w:i/>
          <w:iCs/>
        </w:rPr>
        <w:t xml:space="preserve">, Technology Forecasting and Social Change, Journal of Retailing and Consumer Service, Technovation, Journal of Bank Marketing, Journal of Strategic Marketing, Australasian Marketing Journal, International Journal of Consumer Studies, Journal of Consumer Marketing, Australasian Journal of Information Systems, Journal of Enterprise Information Management, Journal of Global Information Management, </w:t>
      </w:r>
      <w:r w:rsidRPr="007138D8">
        <w:t>and</w:t>
      </w:r>
      <w:r w:rsidRPr="007138D8">
        <w:rPr>
          <w:i/>
          <w:iCs/>
        </w:rPr>
        <w:t xml:space="preserve"> Marketing Intelligence</w:t>
      </w:r>
      <w:r w:rsidRPr="007138D8">
        <w:t xml:space="preserve"> </w:t>
      </w:r>
      <w:r w:rsidRPr="007138D8">
        <w:rPr>
          <w:i/>
          <w:iCs/>
        </w:rPr>
        <w:t>&amp; Planning</w:t>
      </w:r>
      <w:r w:rsidRPr="007138D8">
        <w:t xml:space="preserve">, among others. </w:t>
      </w:r>
      <w:r w:rsidRPr="007138D8">
        <w:rPr>
          <w:i/>
          <w:iCs/>
        </w:rPr>
        <w:t> </w:t>
      </w:r>
    </w:p>
    <w:p w14:paraId="50B06AAB" w14:textId="77777777" w:rsidR="007C5D39" w:rsidRPr="007138D8" w:rsidRDefault="007C5D39" w:rsidP="00B57111">
      <w:pPr>
        <w:widowControl w:val="0"/>
        <w:autoSpaceDE w:val="0"/>
        <w:autoSpaceDN w:val="0"/>
        <w:adjustRightInd w:val="0"/>
        <w:jc w:val="both"/>
        <w:rPr>
          <w:b/>
          <w:bCs/>
          <w:sz w:val="20"/>
          <w:szCs w:val="20"/>
        </w:rPr>
      </w:pPr>
    </w:p>
    <w:sectPr w:rsidR="007C5D39" w:rsidRPr="007138D8" w:rsidSect="00723C3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D7398" w14:textId="77777777" w:rsidR="00D421D8" w:rsidRDefault="00D421D8" w:rsidP="00E75364">
      <w:r>
        <w:separator/>
      </w:r>
    </w:p>
  </w:endnote>
  <w:endnote w:type="continuationSeparator" w:id="0">
    <w:p w14:paraId="501F008C" w14:textId="77777777" w:rsidR="00D421D8" w:rsidRDefault="00D421D8" w:rsidP="00E7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harisSIL">
    <w:altName w:val="Yu Gothic"/>
    <w:panose1 w:val="00000000000000000000"/>
    <w:charset w:val="80"/>
    <w:family w:val="swiss"/>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dvPS405B7">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dvOT65f8a23b.I+03">
    <w:altName w:val="Times New Roman"/>
    <w:panose1 w:val="00000000000000000000"/>
    <w:charset w:val="00"/>
    <w:family w:val="roman"/>
    <w:notTrueType/>
    <w:pitch w:val="default"/>
  </w:font>
  <w:font w:name="AdvOT65f8a23b.I">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AdvOT46dcae81">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972CD" w14:textId="77777777" w:rsidR="00D421D8" w:rsidRDefault="00D421D8" w:rsidP="00E75364">
      <w:r>
        <w:separator/>
      </w:r>
    </w:p>
  </w:footnote>
  <w:footnote w:type="continuationSeparator" w:id="0">
    <w:p w14:paraId="14105150" w14:textId="77777777" w:rsidR="00D421D8" w:rsidRDefault="00D421D8" w:rsidP="00E75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9DDA" w14:textId="77777777" w:rsidR="00D73A11" w:rsidRDefault="00D73A11">
    <w:pPr>
      <w:pStyle w:val="Header"/>
    </w:pPr>
  </w:p>
  <w:p w14:paraId="117BC20A" w14:textId="77777777" w:rsidR="00D73A11" w:rsidRDefault="00D73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6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S0tDQwNTYwNjc2MjZW0lEKTi0uzszPAykwMqoFAC22AZktAAAA"/>
  </w:docVars>
  <w:rsids>
    <w:rsidRoot w:val="00E83C6D"/>
    <w:rsid w:val="00000C31"/>
    <w:rsid w:val="00001557"/>
    <w:rsid w:val="0000253A"/>
    <w:rsid w:val="00002CE4"/>
    <w:rsid w:val="00006787"/>
    <w:rsid w:val="00010355"/>
    <w:rsid w:val="00010AD9"/>
    <w:rsid w:val="00012312"/>
    <w:rsid w:val="00012B09"/>
    <w:rsid w:val="00013E9B"/>
    <w:rsid w:val="00016C3C"/>
    <w:rsid w:val="0002176C"/>
    <w:rsid w:val="00031D19"/>
    <w:rsid w:val="0003233C"/>
    <w:rsid w:val="000343F2"/>
    <w:rsid w:val="0003653B"/>
    <w:rsid w:val="00040C2A"/>
    <w:rsid w:val="0004396C"/>
    <w:rsid w:val="00044C4C"/>
    <w:rsid w:val="00050BE9"/>
    <w:rsid w:val="0005507B"/>
    <w:rsid w:val="000569FD"/>
    <w:rsid w:val="00070A31"/>
    <w:rsid w:val="00070ABA"/>
    <w:rsid w:val="000731C2"/>
    <w:rsid w:val="00074567"/>
    <w:rsid w:val="000748C9"/>
    <w:rsid w:val="000777AE"/>
    <w:rsid w:val="000811C0"/>
    <w:rsid w:val="000843C1"/>
    <w:rsid w:val="0009219D"/>
    <w:rsid w:val="00093685"/>
    <w:rsid w:val="00093BF3"/>
    <w:rsid w:val="000A38B8"/>
    <w:rsid w:val="000A52AD"/>
    <w:rsid w:val="000A6299"/>
    <w:rsid w:val="000B0B66"/>
    <w:rsid w:val="000B6A78"/>
    <w:rsid w:val="000C1250"/>
    <w:rsid w:val="000C26DE"/>
    <w:rsid w:val="000C3FF6"/>
    <w:rsid w:val="000C541E"/>
    <w:rsid w:val="000C6551"/>
    <w:rsid w:val="000D2722"/>
    <w:rsid w:val="000D576C"/>
    <w:rsid w:val="000E3157"/>
    <w:rsid w:val="000E34CF"/>
    <w:rsid w:val="000E35A6"/>
    <w:rsid w:val="000E4450"/>
    <w:rsid w:val="000E4459"/>
    <w:rsid w:val="000E761F"/>
    <w:rsid w:val="000F34A5"/>
    <w:rsid w:val="000F6EF4"/>
    <w:rsid w:val="00101F9A"/>
    <w:rsid w:val="00102498"/>
    <w:rsid w:val="00102B21"/>
    <w:rsid w:val="00104147"/>
    <w:rsid w:val="00104FEA"/>
    <w:rsid w:val="00105857"/>
    <w:rsid w:val="001073E5"/>
    <w:rsid w:val="00107F60"/>
    <w:rsid w:val="0011181F"/>
    <w:rsid w:val="001143FE"/>
    <w:rsid w:val="001175E1"/>
    <w:rsid w:val="00120A34"/>
    <w:rsid w:val="001221CF"/>
    <w:rsid w:val="0012658B"/>
    <w:rsid w:val="00126D64"/>
    <w:rsid w:val="00131B99"/>
    <w:rsid w:val="00132A82"/>
    <w:rsid w:val="001342E9"/>
    <w:rsid w:val="00134873"/>
    <w:rsid w:val="00135ADF"/>
    <w:rsid w:val="00135D3C"/>
    <w:rsid w:val="00140483"/>
    <w:rsid w:val="0014373D"/>
    <w:rsid w:val="00144B79"/>
    <w:rsid w:val="00145658"/>
    <w:rsid w:val="00147520"/>
    <w:rsid w:val="00147B68"/>
    <w:rsid w:val="001522DB"/>
    <w:rsid w:val="00153472"/>
    <w:rsid w:val="00155823"/>
    <w:rsid w:val="001631A4"/>
    <w:rsid w:val="0016503B"/>
    <w:rsid w:val="001663DE"/>
    <w:rsid w:val="00173842"/>
    <w:rsid w:val="00173FD5"/>
    <w:rsid w:val="00174AC2"/>
    <w:rsid w:val="00180E2B"/>
    <w:rsid w:val="00181BBA"/>
    <w:rsid w:val="001828BD"/>
    <w:rsid w:val="00182E29"/>
    <w:rsid w:val="001831DE"/>
    <w:rsid w:val="00183A2B"/>
    <w:rsid w:val="00183ABA"/>
    <w:rsid w:val="00184187"/>
    <w:rsid w:val="00187095"/>
    <w:rsid w:val="00190771"/>
    <w:rsid w:val="00192E67"/>
    <w:rsid w:val="00193853"/>
    <w:rsid w:val="001943C0"/>
    <w:rsid w:val="00195416"/>
    <w:rsid w:val="00195846"/>
    <w:rsid w:val="00195C0E"/>
    <w:rsid w:val="001A0CB3"/>
    <w:rsid w:val="001A4628"/>
    <w:rsid w:val="001A541C"/>
    <w:rsid w:val="001A79BE"/>
    <w:rsid w:val="001B14DE"/>
    <w:rsid w:val="001B28A8"/>
    <w:rsid w:val="001B4985"/>
    <w:rsid w:val="001C2709"/>
    <w:rsid w:val="001C2D5B"/>
    <w:rsid w:val="001C6090"/>
    <w:rsid w:val="001D0B75"/>
    <w:rsid w:val="001D6C7C"/>
    <w:rsid w:val="001D7065"/>
    <w:rsid w:val="001E03FD"/>
    <w:rsid w:val="001E32D1"/>
    <w:rsid w:val="001E3A67"/>
    <w:rsid w:val="001E7427"/>
    <w:rsid w:val="001E7CE4"/>
    <w:rsid w:val="001F09E2"/>
    <w:rsid w:val="001F0C9D"/>
    <w:rsid w:val="001F18EB"/>
    <w:rsid w:val="001F3DBA"/>
    <w:rsid w:val="001F7250"/>
    <w:rsid w:val="002016A7"/>
    <w:rsid w:val="00202DBA"/>
    <w:rsid w:val="002101E6"/>
    <w:rsid w:val="00210CE8"/>
    <w:rsid w:val="00211A95"/>
    <w:rsid w:val="002126C1"/>
    <w:rsid w:val="00212866"/>
    <w:rsid w:val="00213CA7"/>
    <w:rsid w:val="00217780"/>
    <w:rsid w:val="00217985"/>
    <w:rsid w:val="00221924"/>
    <w:rsid w:val="002274AA"/>
    <w:rsid w:val="00234523"/>
    <w:rsid w:val="00236A48"/>
    <w:rsid w:val="00240C9B"/>
    <w:rsid w:val="00242570"/>
    <w:rsid w:val="00243F35"/>
    <w:rsid w:val="00244D70"/>
    <w:rsid w:val="00245E9C"/>
    <w:rsid w:val="00250A63"/>
    <w:rsid w:val="0025130F"/>
    <w:rsid w:val="00251F05"/>
    <w:rsid w:val="00254A45"/>
    <w:rsid w:val="0025560E"/>
    <w:rsid w:val="00255EDF"/>
    <w:rsid w:val="00261014"/>
    <w:rsid w:val="0026233F"/>
    <w:rsid w:val="002704A2"/>
    <w:rsid w:val="00270AB0"/>
    <w:rsid w:val="0027137B"/>
    <w:rsid w:val="00276370"/>
    <w:rsid w:val="0027707C"/>
    <w:rsid w:val="002776B2"/>
    <w:rsid w:val="00285682"/>
    <w:rsid w:val="002868EE"/>
    <w:rsid w:val="00286FEF"/>
    <w:rsid w:val="002906DE"/>
    <w:rsid w:val="0029381A"/>
    <w:rsid w:val="00296B1B"/>
    <w:rsid w:val="00296FD5"/>
    <w:rsid w:val="002A009F"/>
    <w:rsid w:val="002A08BE"/>
    <w:rsid w:val="002A2427"/>
    <w:rsid w:val="002A36AA"/>
    <w:rsid w:val="002A4EA0"/>
    <w:rsid w:val="002A54A4"/>
    <w:rsid w:val="002B1849"/>
    <w:rsid w:val="002B31B6"/>
    <w:rsid w:val="002B4AA0"/>
    <w:rsid w:val="002B5845"/>
    <w:rsid w:val="002B618B"/>
    <w:rsid w:val="002C1D74"/>
    <w:rsid w:val="002D15BA"/>
    <w:rsid w:val="002D1A4E"/>
    <w:rsid w:val="002D4536"/>
    <w:rsid w:val="002D66FF"/>
    <w:rsid w:val="002D6DA3"/>
    <w:rsid w:val="002E4106"/>
    <w:rsid w:val="002E4800"/>
    <w:rsid w:val="002E52C8"/>
    <w:rsid w:val="002E5D04"/>
    <w:rsid w:val="002E5D5B"/>
    <w:rsid w:val="002F37E2"/>
    <w:rsid w:val="002F4D95"/>
    <w:rsid w:val="002F6561"/>
    <w:rsid w:val="002F785F"/>
    <w:rsid w:val="002F7D6E"/>
    <w:rsid w:val="00300ADB"/>
    <w:rsid w:val="0030139A"/>
    <w:rsid w:val="00302A35"/>
    <w:rsid w:val="00307D55"/>
    <w:rsid w:val="00312812"/>
    <w:rsid w:val="00312EF0"/>
    <w:rsid w:val="003146FF"/>
    <w:rsid w:val="00316D36"/>
    <w:rsid w:val="0032101D"/>
    <w:rsid w:val="00322293"/>
    <w:rsid w:val="003247CD"/>
    <w:rsid w:val="003277FD"/>
    <w:rsid w:val="0033321F"/>
    <w:rsid w:val="00333A30"/>
    <w:rsid w:val="00334B59"/>
    <w:rsid w:val="00335ED7"/>
    <w:rsid w:val="00337AD5"/>
    <w:rsid w:val="00342DBE"/>
    <w:rsid w:val="00343B45"/>
    <w:rsid w:val="003462F6"/>
    <w:rsid w:val="00346810"/>
    <w:rsid w:val="00346915"/>
    <w:rsid w:val="0035134D"/>
    <w:rsid w:val="0035320D"/>
    <w:rsid w:val="00357881"/>
    <w:rsid w:val="00362C91"/>
    <w:rsid w:val="00366005"/>
    <w:rsid w:val="00370D05"/>
    <w:rsid w:val="00372E63"/>
    <w:rsid w:val="003730FA"/>
    <w:rsid w:val="00374804"/>
    <w:rsid w:val="00375562"/>
    <w:rsid w:val="003812AC"/>
    <w:rsid w:val="00381407"/>
    <w:rsid w:val="00381675"/>
    <w:rsid w:val="00390C15"/>
    <w:rsid w:val="00394644"/>
    <w:rsid w:val="00395135"/>
    <w:rsid w:val="003965C2"/>
    <w:rsid w:val="003A079A"/>
    <w:rsid w:val="003A22F0"/>
    <w:rsid w:val="003A23DB"/>
    <w:rsid w:val="003A5A7E"/>
    <w:rsid w:val="003A6BF7"/>
    <w:rsid w:val="003A78F9"/>
    <w:rsid w:val="003B20EB"/>
    <w:rsid w:val="003B6511"/>
    <w:rsid w:val="003C0F21"/>
    <w:rsid w:val="003C3559"/>
    <w:rsid w:val="003C3A4F"/>
    <w:rsid w:val="003C69E1"/>
    <w:rsid w:val="003D0517"/>
    <w:rsid w:val="003D0AD0"/>
    <w:rsid w:val="003D4E64"/>
    <w:rsid w:val="003D5767"/>
    <w:rsid w:val="003D6A64"/>
    <w:rsid w:val="003E3FB9"/>
    <w:rsid w:val="003E645B"/>
    <w:rsid w:val="003F1C66"/>
    <w:rsid w:val="003F4C6C"/>
    <w:rsid w:val="0040149B"/>
    <w:rsid w:val="004107EC"/>
    <w:rsid w:val="0041082D"/>
    <w:rsid w:val="0042048C"/>
    <w:rsid w:val="004226FB"/>
    <w:rsid w:val="00423685"/>
    <w:rsid w:val="00423EFF"/>
    <w:rsid w:val="00425F6C"/>
    <w:rsid w:val="00431725"/>
    <w:rsid w:val="00432BF8"/>
    <w:rsid w:val="00435816"/>
    <w:rsid w:val="004368C1"/>
    <w:rsid w:val="00437FDE"/>
    <w:rsid w:val="00445069"/>
    <w:rsid w:val="00446F91"/>
    <w:rsid w:val="00447241"/>
    <w:rsid w:val="004478D4"/>
    <w:rsid w:val="0045295E"/>
    <w:rsid w:val="0045382C"/>
    <w:rsid w:val="00455E15"/>
    <w:rsid w:val="0045644A"/>
    <w:rsid w:val="00456773"/>
    <w:rsid w:val="00456E63"/>
    <w:rsid w:val="00467ADD"/>
    <w:rsid w:val="004737A4"/>
    <w:rsid w:val="00473BAA"/>
    <w:rsid w:val="00474A3C"/>
    <w:rsid w:val="00475FD9"/>
    <w:rsid w:val="0048299C"/>
    <w:rsid w:val="004849E6"/>
    <w:rsid w:val="00484BD7"/>
    <w:rsid w:val="00485C1A"/>
    <w:rsid w:val="0049004F"/>
    <w:rsid w:val="00494CE5"/>
    <w:rsid w:val="00495617"/>
    <w:rsid w:val="00495830"/>
    <w:rsid w:val="004A2EAE"/>
    <w:rsid w:val="004A4F85"/>
    <w:rsid w:val="004A6088"/>
    <w:rsid w:val="004A6CE6"/>
    <w:rsid w:val="004C03A6"/>
    <w:rsid w:val="004C0716"/>
    <w:rsid w:val="004C0FE8"/>
    <w:rsid w:val="004D13B0"/>
    <w:rsid w:val="004D303B"/>
    <w:rsid w:val="004D57DA"/>
    <w:rsid w:val="004D7C9B"/>
    <w:rsid w:val="004D7FE7"/>
    <w:rsid w:val="004E1C3B"/>
    <w:rsid w:val="004E2F54"/>
    <w:rsid w:val="004E4E8B"/>
    <w:rsid w:val="004E7A0B"/>
    <w:rsid w:val="004F04BB"/>
    <w:rsid w:val="004F4ABD"/>
    <w:rsid w:val="004F4E7A"/>
    <w:rsid w:val="004F51DC"/>
    <w:rsid w:val="005024E1"/>
    <w:rsid w:val="00503FC5"/>
    <w:rsid w:val="00511543"/>
    <w:rsid w:val="005121FD"/>
    <w:rsid w:val="00512575"/>
    <w:rsid w:val="0051318A"/>
    <w:rsid w:val="00516605"/>
    <w:rsid w:val="00516947"/>
    <w:rsid w:val="005174D2"/>
    <w:rsid w:val="00521BC9"/>
    <w:rsid w:val="00522BCB"/>
    <w:rsid w:val="00523A3A"/>
    <w:rsid w:val="00531092"/>
    <w:rsid w:val="00533796"/>
    <w:rsid w:val="0053386B"/>
    <w:rsid w:val="00534B63"/>
    <w:rsid w:val="00537296"/>
    <w:rsid w:val="00544D46"/>
    <w:rsid w:val="005451B1"/>
    <w:rsid w:val="00546556"/>
    <w:rsid w:val="0055114A"/>
    <w:rsid w:val="0055238E"/>
    <w:rsid w:val="00552FE3"/>
    <w:rsid w:val="0055361D"/>
    <w:rsid w:val="00553683"/>
    <w:rsid w:val="005544F6"/>
    <w:rsid w:val="00554E79"/>
    <w:rsid w:val="00555117"/>
    <w:rsid w:val="00555B03"/>
    <w:rsid w:val="00561236"/>
    <w:rsid w:val="00561B3D"/>
    <w:rsid w:val="005666CF"/>
    <w:rsid w:val="0057171F"/>
    <w:rsid w:val="00575D3B"/>
    <w:rsid w:val="005763DC"/>
    <w:rsid w:val="00581BB4"/>
    <w:rsid w:val="00582F3E"/>
    <w:rsid w:val="00583142"/>
    <w:rsid w:val="0058600F"/>
    <w:rsid w:val="00590040"/>
    <w:rsid w:val="005903B5"/>
    <w:rsid w:val="00597B8B"/>
    <w:rsid w:val="00597ED2"/>
    <w:rsid w:val="005A3AD5"/>
    <w:rsid w:val="005A552D"/>
    <w:rsid w:val="005A7137"/>
    <w:rsid w:val="005A7612"/>
    <w:rsid w:val="005B0F03"/>
    <w:rsid w:val="005B7F42"/>
    <w:rsid w:val="005C03F8"/>
    <w:rsid w:val="005C3B20"/>
    <w:rsid w:val="005C5225"/>
    <w:rsid w:val="005C5E7D"/>
    <w:rsid w:val="005C5EAD"/>
    <w:rsid w:val="005C6202"/>
    <w:rsid w:val="005D01D8"/>
    <w:rsid w:val="005D1404"/>
    <w:rsid w:val="005D27E6"/>
    <w:rsid w:val="005D2F9F"/>
    <w:rsid w:val="005D549B"/>
    <w:rsid w:val="005D7B15"/>
    <w:rsid w:val="005E022C"/>
    <w:rsid w:val="005E08D3"/>
    <w:rsid w:val="005E295F"/>
    <w:rsid w:val="005E5CF9"/>
    <w:rsid w:val="005E63A5"/>
    <w:rsid w:val="005E7B8F"/>
    <w:rsid w:val="005F5A12"/>
    <w:rsid w:val="005F5B90"/>
    <w:rsid w:val="0060497A"/>
    <w:rsid w:val="00605DCB"/>
    <w:rsid w:val="00606521"/>
    <w:rsid w:val="00607B3A"/>
    <w:rsid w:val="00611C3D"/>
    <w:rsid w:val="00613F63"/>
    <w:rsid w:val="006154F8"/>
    <w:rsid w:val="006160FB"/>
    <w:rsid w:val="00616290"/>
    <w:rsid w:val="00616E70"/>
    <w:rsid w:val="0062073B"/>
    <w:rsid w:val="00620AC1"/>
    <w:rsid w:val="0062247E"/>
    <w:rsid w:val="0062258B"/>
    <w:rsid w:val="00624ED8"/>
    <w:rsid w:val="006324F0"/>
    <w:rsid w:val="00634192"/>
    <w:rsid w:val="006368CB"/>
    <w:rsid w:val="00646B76"/>
    <w:rsid w:val="00651284"/>
    <w:rsid w:val="006515A7"/>
    <w:rsid w:val="006539EF"/>
    <w:rsid w:val="006571F0"/>
    <w:rsid w:val="00661404"/>
    <w:rsid w:val="00662ED4"/>
    <w:rsid w:val="00665B1C"/>
    <w:rsid w:val="00667845"/>
    <w:rsid w:val="0067043F"/>
    <w:rsid w:val="006759F9"/>
    <w:rsid w:val="00675F81"/>
    <w:rsid w:val="006822D2"/>
    <w:rsid w:val="00682B38"/>
    <w:rsid w:val="006842E7"/>
    <w:rsid w:val="006854CE"/>
    <w:rsid w:val="006858C4"/>
    <w:rsid w:val="00685FD0"/>
    <w:rsid w:val="0068613F"/>
    <w:rsid w:val="00686289"/>
    <w:rsid w:val="00687005"/>
    <w:rsid w:val="006908C9"/>
    <w:rsid w:val="0069117D"/>
    <w:rsid w:val="006921BF"/>
    <w:rsid w:val="006A51A7"/>
    <w:rsid w:val="006A7B23"/>
    <w:rsid w:val="006B2EB0"/>
    <w:rsid w:val="006B5609"/>
    <w:rsid w:val="006B68F2"/>
    <w:rsid w:val="006B785D"/>
    <w:rsid w:val="006C19BB"/>
    <w:rsid w:val="006C3195"/>
    <w:rsid w:val="006C3756"/>
    <w:rsid w:val="006D4A23"/>
    <w:rsid w:val="006D54B8"/>
    <w:rsid w:val="006E37C1"/>
    <w:rsid w:val="006E5CF2"/>
    <w:rsid w:val="006E66AD"/>
    <w:rsid w:val="006F44E4"/>
    <w:rsid w:val="006F515C"/>
    <w:rsid w:val="006F568A"/>
    <w:rsid w:val="00700C07"/>
    <w:rsid w:val="0070323A"/>
    <w:rsid w:val="00705C2C"/>
    <w:rsid w:val="0070666F"/>
    <w:rsid w:val="00707496"/>
    <w:rsid w:val="00707DDB"/>
    <w:rsid w:val="00710ED0"/>
    <w:rsid w:val="007138D8"/>
    <w:rsid w:val="00714F2C"/>
    <w:rsid w:val="007157B3"/>
    <w:rsid w:val="00717742"/>
    <w:rsid w:val="007207F5"/>
    <w:rsid w:val="00721E1D"/>
    <w:rsid w:val="00723269"/>
    <w:rsid w:val="00723377"/>
    <w:rsid w:val="00723939"/>
    <w:rsid w:val="00723C34"/>
    <w:rsid w:val="007241D8"/>
    <w:rsid w:val="00725C9E"/>
    <w:rsid w:val="00734661"/>
    <w:rsid w:val="00736A9A"/>
    <w:rsid w:val="007445D4"/>
    <w:rsid w:val="00744B93"/>
    <w:rsid w:val="007463AA"/>
    <w:rsid w:val="007508CA"/>
    <w:rsid w:val="00762D91"/>
    <w:rsid w:val="00765EFF"/>
    <w:rsid w:val="007668BE"/>
    <w:rsid w:val="00767F77"/>
    <w:rsid w:val="007705CF"/>
    <w:rsid w:val="00770A8A"/>
    <w:rsid w:val="007814FB"/>
    <w:rsid w:val="00781659"/>
    <w:rsid w:val="00781D16"/>
    <w:rsid w:val="00783733"/>
    <w:rsid w:val="00785C53"/>
    <w:rsid w:val="00787CA2"/>
    <w:rsid w:val="00793485"/>
    <w:rsid w:val="007940B8"/>
    <w:rsid w:val="00796328"/>
    <w:rsid w:val="007A06BA"/>
    <w:rsid w:val="007A1854"/>
    <w:rsid w:val="007A2996"/>
    <w:rsid w:val="007B18E9"/>
    <w:rsid w:val="007B1C16"/>
    <w:rsid w:val="007B24EF"/>
    <w:rsid w:val="007B303B"/>
    <w:rsid w:val="007B4177"/>
    <w:rsid w:val="007B4A71"/>
    <w:rsid w:val="007C30AB"/>
    <w:rsid w:val="007C4220"/>
    <w:rsid w:val="007C568E"/>
    <w:rsid w:val="007C5D39"/>
    <w:rsid w:val="007C662B"/>
    <w:rsid w:val="007D210D"/>
    <w:rsid w:val="007D6BAC"/>
    <w:rsid w:val="007D706C"/>
    <w:rsid w:val="007E061C"/>
    <w:rsid w:val="007E0BCD"/>
    <w:rsid w:val="007E180C"/>
    <w:rsid w:val="007E260F"/>
    <w:rsid w:val="007E42EF"/>
    <w:rsid w:val="007E4506"/>
    <w:rsid w:val="007E49AE"/>
    <w:rsid w:val="007E7C2C"/>
    <w:rsid w:val="007F3FBA"/>
    <w:rsid w:val="007F4FFC"/>
    <w:rsid w:val="007F7E7D"/>
    <w:rsid w:val="008072A5"/>
    <w:rsid w:val="00810CDE"/>
    <w:rsid w:val="00813232"/>
    <w:rsid w:val="00813F85"/>
    <w:rsid w:val="00814910"/>
    <w:rsid w:val="008219B4"/>
    <w:rsid w:val="00823BC4"/>
    <w:rsid w:val="008326C6"/>
    <w:rsid w:val="00834C3A"/>
    <w:rsid w:val="00835550"/>
    <w:rsid w:val="00836748"/>
    <w:rsid w:val="00836EAC"/>
    <w:rsid w:val="00837B7D"/>
    <w:rsid w:val="00841B7A"/>
    <w:rsid w:val="008470BD"/>
    <w:rsid w:val="00855616"/>
    <w:rsid w:val="00856B5C"/>
    <w:rsid w:val="00863CB6"/>
    <w:rsid w:val="0086600A"/>
    <w:rsid w:val="00870226"/>
    <w:rsid w:val="00872063"/>
    <w:rsid w:val="00872199"/>
    <w:rsid w:val="00872631"/>
    <w:rsid w:val="008743A8"/>
    <w:rsid w:val="008764EC"/>
    <w:rsid w:val="008766EC"/>
    <w:rsid w:val="00882544"/>
    <w:rsid w:val="00891ABC"/>
    <w:rsid w:val="008928B2"/>
    <w:rsid w:val="008946E3"/>
    <w:rsid w:val="00894D19"/>
    <w:rsid w:val="008970BF"/>
    <w:rsid w:val="008A25CD"/>
    <w:rsid w:val="008A34B1"/>
    <w:rsid w:val="008B08FC"/>
    <w:rsid w:val="008B20E1"/>
    <w:rsid w:val="008B2C6E"/>
    <w:rsid w:val="008B4B8F"/>
    <w:rsid w:val="008B6AB8"/>
    <w:rsid w:val="008B7179"/>
    <w:rsid w:val="008C0F0F"/>
    <w:rsid w:val="008C57FA"/>
    <w:rsid w:val="008D2CB4"/>
    <w:rsid w:val="008D4283"/>
    <w:rsid w:val="008D5CB5"/>
    <w:rsid w:val="008D6096"/>
    <w:rsid w:val="008E0B14"/>
    <w:rsid w:val="008E20B5"/>
    <w:rsid w:val="008E33BC"/>
    <w:rsid w:val="008E5249"/>
    <w:rsid w:val="008E5F36"/>
    <w:rsid w:val="008F0426"/>
    <w:rsid w:val="008F1D17"/>
    <w:rsid w:val="008F3256"/>
    <w:rsid w:val="008F7224"/>
    <w:rsid w:val="0090001C"/>
    <w:rsid w:val="00904E08"/>
    <w:rsid w:val="0090564A"/>
    <w:rsid w:val="00910414"/>
    <w:rsid w:val="00911889"/>
    <w:rsid w:val="009212C8"/>
    <w:rsid w:val="00925275"/>
    <w:rsid w:val="00931C8B"/>
    <w:rsid w:val="009327BF"/>
    <w:rsid w:val="00932B4E"/>
    <w:rsid w:val="00936CA1"/>
    <w:rsid w:val="00940FDD"/>
    <w:rsid w:val="00945C2B"/>
    <w:rsid w:val="009466EE"/>
    <w:rsid w:val="00951279"/>
    <w:rsid w:val="00953AFD"/>
    <w:rsid w:val="00954F95"/>
    <w:rsid w:val="009607EF"/>
    <w:rsid w:val="009658E3"/>
    <w:rsid w:val="00970E30"/>
    <w:rsid w:val="00972928"/>
    <w:rsid w:val="00975383"/>
    <w:rsid w:val="0098459F"/>
    <w:rsid w:val="0098464C"/>
    <w:rsid w:val="00985FD6"/>
    <w:rsid w:val="009867C0"/>
    <w:rsid w:val="00986D8C"/>
    <w:rsid w:val="00987BEF"/>
    <w:rsid w:val="0099538A"/>
    <w:rsid w:val="00996952"/>
    <w:rsid w:val="0099741D"/>
    <w:rsid w:val="009A0DF3"/>
    <w:rsid w:val="009A1CEE"/>
    <w:rsid w:val="009A38A3"/>
    <w:rsid w:val="009A45CD"/>
    <w:rsid w:val="009A48A0"/>
    <w:rsid w:val="009A7932"/>
    <w:rsid w:val="009B14C2"/>
    <w:rsid w:val="009B5A84"/>
    <w:rsid w:val="009B64FD"/>
    <w:rsid w:val="009B6B83"/>
    <w:rsid w:val="009C1852"/>
    <w:rsid w:val="009C1FFC"/>
    <w:rsid w:val="009C3582"/>
    <w:rsid w:val="009C44AF"/>
    <w:rsid w:val="009D12C2"/>
    <w:rsid w:val="009D277D"/>
    <w:rsid w:val="009E1198"/>
    <w:rsid w:val="009E1CB1"/>
    <w:rsid w:val="009E5FE8"/>
    <w:rsid w:val="009E7CCB"/>
    <w:rsid w:val="009F0B03"/>
    <w:rsid w:val="009F19F3"/>
    <w:rsid w:val="009F2182"/>
    <w:rsid w:val="009F2C55"/>
    <w:rsid w:val="009F34C7"/>
    <w:rsid w:val="009F4F60"/>
    <w:rsid w:val="00A02A4F"/>
    <w:rsid w:val="00A14D73"/>
    <w:rsid w:val="00A20881"/>
    <w:rsid w:val="00A213B1"/>
    <w:rsid w:val="00A22107"/>
    <w:rsid w:val="00A260D1"/>
    <w:rsid w:val="00A2712D"/>
    <w:rsid w:val="00A336D8"/>
    <w:rsid w:val="00A347CC"/>
    <w:rsid w:val="00A365D2"/>
    <w:rsid w:val="00A41E27"/>
    <w:rsid w:val="00A42A71"/>
    <w:rsid w:val="00A470A7"/>
    <w:rsid w:val="00A50E1E"/>
    <w:rsid w:val="00A55A9F"/>
    <w:rsid w:val="00A6008B"/>
    <w:rsid w:val="00A61950"/>
    <w:rsid w:val="00A639D9"/>
    <w:rsid w:val="00A64546"/>
    <w:rsid w:val="00A648F5"/>
    <w:rsid w:val="00A72824"/>
    <w:rsid w:val="00A72AE3"/>
    <w:rsid w:val="00A72AFE"/>
    <w:rsid w:val="00A74397"/>
    <w:rsid w:val="00A76AB9"/>
    <w:rsid w:val="00A77D37"/>
    <w:rsid w:val="00A803A8"/>
    <w:rsid w:val="00A807AF"/>
    <w:rsid w:val="00A87B1D"/>
    <w:rsid w:val="00A94436"/>
    <w:rsid w:val="00A96A42"/>
    <w:rsid w:val="00A97708"/>
    <w:rsid w:val="00AA1AC3"/>
    <w:rsid w:val="00AA34F2"/>
    <w:rsid w:val="00AB19C1"/>
    <w:rsid w:val="00AB25A4"/>
    <w:rsid w:val="00AB5855"/>
    <w:rsid w:val="00AC0C82"/>
    <w:rsid w:val="00AC1866"/>
    <w:rsid w:val="00AC1ECF"/>
    <w:rsid w:val="00AC341E"/>
    <w:rsid w:val="00AC4750"/>
    <w:rsid w:val="00AC57F5"/>
    <w:rsid w:val="00AC7C97"/>
    <w:rsid w:val="00AD58E1"/>
    <w:rsid w:val="00AD67AF"/>
    <w:rsid w:val="00AD6A5B"/>
    <w:rsid w:val="00AE0F41"/>
    <w:rsid w:val="00AE3174"/>
    <w:rsid w:val="00AE62DF"/>
    <w:rsid w:val="00AF0EEF"/>
    <w:rsid w:val="00AF24BE"/>
    <w:rsid w:val="00AF36B8"/>
    <w:rsid w:val="00AF43F5"/>
    <w:rsid w:val="00AF4C53"/>
    <w:rsid w:val="00B01C6B"/>
    <w:rsid w:val="00B03D06"/>
    <w:rsid w:val="00B1574C"/>
    <w:rsid w:val="00B20EB6"/>
    <w:rsid w:val="00B216B8"/>
    <w:rsid w:val="00B23078"/>
    <w:rsid w:val="00B23202"/>
    <w:rsid w:val="00B23244"/>
    <w:rsid w:val="00B24007"/>
    <w:rsid w:val="00B25A55"/>
    <w:rsid w:val="00B32CAF"/>
    <w:rsid w:val="00B33E26"/>
    <w:rsid w:val="00B3563D"/>
    <w:rsid w:val="00B407F2"/>
    <w:rsid w:val="00B44737"/>
    <w:rsid w:val="00B51CD8"/>
    <w:rsid w:val="00B533E6"/>
    <w:rsid w:val="00B53DA5"/>
    <w:rsid w:val="00B563C0"/>
    <w:rsid w:val="00B57111"/>
    <w:rsid w:val="00B61B2F"/>
    <w:rsid w:val="00B62C4D"/>
    <w:rsid w:val="00B67517"/>
    <w:rsid w:val="00B676AC"/>
    <w:rsid w:val="00B71B20"/>
    <w:rsid w:val="00B728B6"/>
    <w:rsid w:val="00B75F0C"/>
    <w:rsid w:val="00B7738F"/>
    <w:rsid w:val="00B7771D"/>
    <w:rsid w:val="00B8352A"/>
    <w:rsid w:val="00B83618"/>
    <w:rsid w:val="00B87A9E"/>
    <w:rsid w:val="00B92AD6"/>
    <w:rsid w:val="00B935C3"/>
    <w:rsid w:val="00B94EB7"/>
    <w:rsid w:val="00B9622D"/>
    <w:rsid w:val="00B96F26"/>
    <w:rsid w:val="00BA1184"/>
    <w:rsid w:val="00BB0235"/>
    <w:rsid w:val="00BB0271"/>
    <w:rsid w:val="00BB1DB4"/>
    <w:rsid w:val="00BB2FDF"/>
    <w:rsid w:val="00BB3D70"/>
    <w:rsid w:val="00BB6304"/>
    <w:rsid w:val="00BB742C"/>
    <w:rsid w:val="00BC072C"/>
    <w:rsid w:val="00BC0B27"/>
    <w:rsid w:val="00BC2F20"/>
    <w:rsid w:val="00BD3A5A"/>
    <w:rsid w:val="00BD4ABA"/>
    <w:rsid w:val="00BE005C"/>
    <w:rsid w:val="00BE0C47"/>
    <w:rsid w:val="00BE1358"/>
    <w:rsid w:val="00BE2511"/>
    <w:rsid w:val="00BE393E"/>
    <w:rsid w:val="00BE4518"/>
    <w:rsid w:val="00BF7A81"/>
    <w:rsid w:val="00C07128"/>
    <w:rsid w:val="00C0757E"/>
    <w:rsid w:val="00C112AA"/>
    <w:rsid w:val="00C20049"/>
    <w:rsid w:val="00C20EAF"/>
    <w:rsid w:val="00C241C4"/>
    <w:rsid w:val="00C30274"/>
    <w:rsid w:val="00C329C5"/>
    <w:rsid w:val="00C34B0B"/>
    <w:rsid w:val="00C34D6B"/>
    <w:rsid w:val="00C34D6C"/>
    <w:rsid w:val="00C3780C"/>
    <w:rsid w:val="00C410FB"/>
    <w:rsid w:val="00C42E9E"/>
    <w:rsid w:val="00C43402"/>
    <w:rsid w:val="00C4602E"/>
    <w:rsid w:val="00C46878"/>
    <w:rsid w:val="00C46979"/>
    <w:rsid w:val="00C51853"/>
    <w:rsid w:val="00C545D6"/>
    <w:rsid w:val="00C56008"/>
    <w:rsid w:val="00C57787"/>
    <w:rsid w:val="00C60FA9"/>
    <w:rsid w:val="00C61BBD"/>
    <w:rsid w:val="00C626FE"/>
    <w:rsid w:val="00C64098"/>
    <w:rsid w:val="00C65B08"/>
    <w:rsid w:val="00C67BF6"/>
    <w:rsid w:val="00C758B4"/>
    <w:rsid w:val="00C770F5"/>
    <w:rsid w:val="00C83128"/>
    <w:rsid w:val="00C86FDF"/>
    <w:rsid w:val="00C90610"/>
    <w:rsid w:val="00C92209"/>
    <w:rsid w:val="00C92C80"/>
    <w:rsid w:val="00C939F7"/>
    <w:rsid w:val="00CA0C00"/>
    <w:rsid w:val="00CA1754"/>
    <w:rsid w:val="00CA22A6"/>
    <w:rsid w:val="00CA23F6"/>
    <w:rsid w:val="00CA2F82"/>
    <w:rsid w:val="00CA42FC"/>
    <w:rsid w:val="00CA69AE"/>
    <w:rsid w:val="00CA6F9A"/>
    <w:rsid w:val="00CB258D"/>
    <w:rsid w:val="00CB3782"/>
    <w:rsid w:val="00CC19DF"/>
    <w:rsid w:val="00CC33D9"/>
    <w:rsid w:val="00CC7C50"/>
    <w:rsid w:val="00CD0D21"/>
    <w:rsid w:val="00CD621F"/>
    <w:rsid w:val="00CD66E7"/>
    <w:rsid w:val="00CE04BD"/>
    <w:rsid w:val="00CE0A69"/>
    <w:rsid w:val="00CE13EF"/>
    <w:rsid w:val="00CE19D3"/>
    <w:rsid w:val="00CE443E"/>
    <w:rsid w:val="00CE57F6"/>
    <w:rsid w:val="00CF0C76"/>
    <w:rsid w:val="00CF2D93"/>
    <w:rsid w:val="00CF44F9"/>
    <w:rsid w:val="00CF4C6D"/>
    <w:rsid w:val="00CF52EF"/>
    <w:rsid w:val="00CF578F"/>
    <w:rsid w:val="00CF6389"/>
    <w:rsid w:val="00CF6802"/>
    <w:rsid w:val="00D00044"/>
    <w:rsid w:val="00D035D1"/>
    <w:rsid w:val="00D04988"/>
    <w:rsid w:val="00D1032F"/>
    <w:rsid w:val="00D1086B"/>
    <w:rsid w:val="00D1151F"/>
    <w:rsid w:val="00D13BE6"/>
    <w:rsid w:val="00D143E1"/>
    <w:rsid w:val="00D14888"/>
    <w:rsid w:val="00D159D1"/>
    <w:rsid w:val="00D242BD"/>
    <w:rsid w:val="00D244FE"/>
    <w:rsid w:val="00D24C05"/>
    <w:rsid w:val="00D25AB1"/>
    <w:rsid w:val="00D272D8"/>
    <w:rsid w:val="00D30CFC"/>
    <w:rsid w:val="00D31140"/>
    <w:rsid w:val="00D336C8"/>
    <w:rsid w:val="00D33E12"/>
    <w:rsid w:val="00D40217"/>
    <w:rsid w:val="00D421D8"/>
    <w:rsid w:val="00D42EFC"/>
    <w:rsid w:val="00D43222"/>
    <w:rsid w:val="00D46A15"/>
    <w:rsid w:val="00D47E12"/>
    <w:rsid w:val="00D54130"/>
    <w:rsid w:val="00D55392"/>
    <w:rsid w:val="00D56CB6"/>
    <w:rsid w:val="00D60561"/>
    <w:rsid w:val="00D613CE"/>
    <w:rsid w:val="00D62867"/>
    <w:rsid w:val="00D63BC7"/>
    <w:rsid w:val="00D6541A"/>
    <w:rsid w:val="00D66B36"/>
    <w:rsid w:val="00D66FEF"/>
    <w:rsid w:val="00D678A3"/>
    <w:rsid w:val="00D67952"/>
    <w:rsid w:val="00D71245"/>
    <w:rsid w:val="00D73A11"/>
    <w:rsid w:val="00D75608"/>
    <w:rsid w:val="00D76967"/>
    <w:rsid w:val="00D830B1"/>
    <w:rsid w:val="00D835BC"/>
    <w:rsid w:val="00D83A73"/>
    <w:rsid w:val="00D83DC1"/>
    <w:rsid w:val="00D867D0"/>
    <w:rsid w:val="00D86E98"/>
    <w:rsid w:val="00D87DC5"/>
    <w:rsid w:val="00D902ED"/>
    <w:rsid w:val="00D946D0"/>
    <w:rsid w:val="00D95BBF"/>
    <w:rsid w:val="00DA2439"/>
    <w:rsid w:val="00DA5731"/>
    <w:rsid w:val="00DA7CA9"/>
    <w:rsid w:val="00DB1354"/>
    <w:rsid w:val="00DB35F2"/>
    <w:rsid w:val="00DB4218"/>
    <w:rsid w:val="00DC0E68"/>
    <w:rsid w:val="00DC0E86"/>
    <w:rsid w:val="00DC1223"/>
    <w:rsid w:val="00DD23C6"/>
    <w:rsid w:val="00DE2630"/>
    <w:rsid w:val="00DE27A0"/>
    <w:rsid w:val="00DE3609"/>
    <w:rsid w:val="00DE7F73"/>
    <w:rsid w:val="00DF4AF3"/>
    <w:rsid w:val="00E05048"/>
    <w:rsid w:val="00E051E2"/>
    <w:rsid w:val="00E1038D"/>
    <w:rsid w:val="00E11063"/>
    <w:rsid w:val="00E118E5"/>
    <w:rsid w:val="00E12E49"/>
    <w:rsid w:val="00E14D9F"/>
    <w:rsid w:val="00E17359"/>
    <w:rsid w:val="00E20C12"/>
    <w:rsid w:val="00E20F54"/>
    <w:rsid w:val="00E21068"/>
    <w:rsid w:val="00E21EB3"/>
    <w:rsid w:val="00E2360E"/>
    <w:rsid w:val="00E24D96"/>
    <w:rsid w:val="00E26DE6"/>
    <w:rsid w:val="00E27244"/>
    <w:rsid w:val="00E27968"/>
    <w:rsid w:val="00E27CE9"/>
    <w:rsid w:val="00E27F85"/>
    <w:rsid w:val="00E31C09"/>
    <w:rsid w:val="00E33A17"/>
    <w:rsid w:val="00E365B7"/>
    <w:rsid w:val="00E3698B"/>
    <w:rsid w:val="00E4111F"/>
    <w:rsid w:val="00E4164F"/>
    <w:rsid w:val="00E43E03"/>
    <w:rsid w:val="00E44F29"/>
    <w:rsid w:val="00E51B6A"/>
    <w:rsid w:val="00E547D4"/>
    <w:rsid w:val="00E5622E"/>
    <w:rsid w:val="00E67A65"/>
    <w:rsid w:val="00E72239"/>
    <w:rsid w:val="00E740A1"/>
    <w:rsid w:val="00E75109"/>
    <w:rsid w:val="00E75364"/>
    <w:rsid w:val="00E80C6D"/>
    <w:rsid w:val="00E83C6D"/>
    <w:rsid w:val="00E83E0F"/>
    <w:rsid w:val="00E83FA8"/>
    <w:rsid w:val="00E840DA"/>
    <w:rsid w:val="00E85DA2"/>
    <w:rsid w:val="00E91739"/>
    <w:rsid w:val="00E96B42"/>
    <w:rsid w:val="00EA336F"/>
    <w:rsid w:val="00EA6D75"/>
    <w:rsid w:val="00EA7534"/>
    <w:rsid w:val="00EB0D8E"/>
    <w:rsid w:val="00EB2F34"/>
    <w:rsid w:val="00EC01F1"/>
    <w:rsid w:val="00EC0F6F"/>
    <w:rsid w:val="00EC22BF"/>
    <w:rsid w:val="00EC7BE8"/>
    <w:rsid w:val="00ED2B46"/>
    <w:rsid w:val="00ED3B0B"/>
    <w:rsid w:val="00ED543B"/>
    <w:rsid w:val="00ED7B49"/>
    <w:rsid w:val="00EE134B"/>
    <w:rsid w:val="00EE56A1"/>
    <w:rsid w:val="00EE6BED"/>
    <w:rsid w:val="00EF0EC4"/>
    <w:rsid w:val="00EF1317"/>
    <w:rsid w:val="00F053EB"/>
    <w:rsid w:val="00F0675B"/>
    <w:rsid w:val="00F11719"/>
    <w:rsid w:val="00F133D6"/>
    <w:rsid w:val="00F16291"/>
    <w:rsid w:val="00F16422"/>
    <w:rsid w:val="00F16CA8"/>
    <w:rsid w:val="00F20FE3"/>
    <w:rsid w:val="00F23319"/>
    <w:rsid w:val="00F30E89"/>
    <w:rsid w:val="00F321CD"/>
    <w:rsid w:val="00F33A60"/>
    <w:rsid w:val="00F344A2"/>
    <w:rsid w:val="00F37B24"/>
    <w:rsid w:val="00F4254E"/>
    <w:rsid w:val="00F45892"/>
    <w:rsid w:val="00F4599B"/>
    <w:rsid w:val="00F56B96"/>
    <w:rsid w:val="00F56BC3"/>
    <w:rsid w:val="00F65BC8"/>
    <w:rsid w:val="00F70CEB"/>
    <w:rsid w:val="00F71171"/>
    <w:rsid w:val="00F74C7D"/>
    <w:rsid w:val="00F77091"/>
    <w:rsid w:val="00F83111"/>
    <w:rsid w:val="00F857D8"/>
    <w:rsid w:val="00F85F46"/>
    <w:rsid w:val="00F9456B"/>
    <w:rsid w:val="00F9618E"/>
    <w:rsid w:val="00F96494"/>
    <w:rsid w:val="00F973CC"/>
    <w:rsid w:val="00FA4071"/>
    <w:rsid w:val="00FA47E5"/>
    <w:rsid w:val="00FA49BE"/>
    <w:rsid w:val="00FA4FC5"/>
    <w:rsid w:val="00FB430D"/>
    <w:rsid w:val="00FB58B7"/>
    <w:rsid w:val="00FB5C6A"/>
    <w:rsid w:val="00FC1BA2"/>
    <w:rsid w:val="00FC4D8C"/>
    <w:rsid w:val="00FD2C4D"/>
    <w:rsid w:val="00FD49D2"/>
    <w:rsid w:val="00FD7537"/>
    <w:rsid w:val="00FD78FE"/>
    <w:rsid w:val="00FE404B"/>
    <w:rsid w:val="00FF1E64"/>
    <w:rsid w:val="00FF2DBC"/>
    <w:rsid w:val="00FF4006"/>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rules v:ext="edit">
        <o:r id="V:Rule1" type="connector" idref="#AutoShape 9"/>
        <o:r id="V:Rule2" type="connector" idref="#AutoShape 13"/>
        <o:r id="V:Rule3" type="connector" idref="#AutoShape 10"/>
        <o:r id="V:Rule4" type="connector" idref="#AutoShape 14"/>
        <o:r id="V:Rule5" type="connector" idref="#AutoShape 11"/>
        <o:r id="V:Rule6" type="connector" idref="#AutoShape 12"/>
      </o:rules>
    </o:shapelayout>
  </w:shapeDefaults>
  <w:decimalSymbol w:val="."/>
  <w:listSeparator w:val=","/>
  <w14:docId w14:val="1A6480A2"/>
  <w15:docId w15:val="{89C46740-2557-451C-A248-7C6A89EF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0DA"/>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92209"/>
    <w:rPr>
      <w:rFonts w:ascii="CharisSIL" w:hAnsi="CharisSIL" w:hint="default"/>
      <w:b w:val="0"/>
      <w:bCs w:val="0"/>
      <w:i w:val="0"/>
      <w:iCs w:val="0"/>
      <w:color w:val="000000"/>
      <w:sz w:val="16"/>
      <w:szCs w:val="16"/>
    </w:rPr>
  </w:style>
  <w:style w:type="character" w:styleId="CommentReference">
    <w:name w:val="annotation reference"/>
    <w:basedOn w:val="DefaultParagraphFont"/>
    <w:uiPriority w:val="99"/>
    <w:semiHidden/>
    <w:unhideWhenUsed/>
    <w:rsid w:val="00A213B1"/>
    <w:rPr>
      <w:sz w:val="16"/>
      <w:szCs w:val="16"/>
    </w:rPr>
  </w:style>
  <w:style w:type="paragraph" w:styleId="CommentText">
    <w:name w:val="annotation text"/>
    <w:basedOn w:val="Normal"/>
    <w:link w:val="CommentTextChar"/>
    <w:uiPriority w:val="99"/>
    <w:unhideWhenUsed/>
    <w:rsid w:val="00A213B1"/>
    <w:pPr>
      <w:spacing w:after="160"/>
    </w:pPr>
    <w:rPr>
      <w:rFonts w:eastAsiaTheme="minorEastAsia"/>
      <w:sz w:val="20"/>
      <w:szCs w:val="20"/>
    </w:rPr>
  </w:style>
  <w:style w:type="character" w:customStyle="1" w:styleId="CommentTextChar">
    <w:name w:val="Comment Text Char"/>
    <w:basedOn w:val="DefaultParagraphFont"/>
    <w:link w:val="CommentText"/>
    <w:uiPriority w:val="99"/>
    <w:rsid w:val="00A213B1"/>
    <w:rPr>
      <w:sz w:val="20"/>
      <w:szCs w:val="20"/>
    </w:rPr>
  </w:style>
  <w:style w:type="paragraph" w:styleId="CommentSubject">
    <w:name w:val="annotation subject"/>
    <w:basedOn w:val="CommentText"/>
    <w:next w:val="CommentText"/>
    <w:link w:val="CommentSubjectChar"/>
    <w:uiPriority w:val="99"/>
    <w:semiHidden/>
    <w:unhideWhenUsed/>
    <w:rsid w:val="00A213B1"/>
    <w:rPr>
      <w:b/>
      <w:bCs/>
    </w:rPr>
  </w:style>
  <w:style w:type="character" w:customStyle="1" w:styleId="CommentSubjectChar">
    <w:name w:val="Comment Subject Char"/>
    <w:basedOn w:val="CommentTextChar"/>
    <w:link w:val="CommentSubject"/>
    <w:uiPriority w:val="99"/>
    <w:semiHidden/>
    <w:rsid w:val="00A213B1"/>
    <w:rPr>
      <w:b/>
      <w:bCs/>
      <w:sz w:val="20"/>
      <w:szCs w:val="20"/>
    </w:rPr>
  </w:style>
  <w:style w:type="paragraph" w:styleId="BalloonText">
    <w:name w:val="Balloon Text"/>
    <w:basedOn w:val="Normal"/>
    <w:link w:val="BalloonTextChar"/>
    <w:uiPriority w:val="99"/>
    <w:semiHidden/>
    <w:unhideWhenUsed/>
    <w:rsid w:val="00A213B1"/>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213B1"/>
    <w:rPr>
      <w:rFonts w:ascii="Tahoma" w:hAnsi="Tahoma" w:cs="Tahoma"/>
      <w:sz w:val="16"/>
      <w:szCs w:val="16"/>
    </w:rPr>
  </w:style>
  <w:style w:type="character" w:customStyle="1" w:styleId="fontstyle21">
    <w:name w:val="fontstyle21"/>
    <w:basedOn w:val="DefaultParagraphFont"/>
    <w:rsid w:val="0098464C"/>
    <w:rPr>
      <w:rFonts w:ascii="AdvPS405B7" w:hAnsi="AdvPS405B7" w:hint="default"/>
      <w:b w:val="0"/>
      <w:bCs w:val="0"/>
      <w:i w:val="0"/>
      <w:iCs w:val="0"/>
      <w:color w:val="242021"/>
      <w:sz w:val="20"/>
      <w:szCs w:val="20"/>
    </w:rPr>
  </w:style>
  <w:style w:type="table" w:styleId="TableGrid">
    <w:name w:val="Table Grid"/>
    <w:basedOn w:val="TableNormal"/>
    <w:uiPriority w:val="39"/>
    <w:rsid w:val="00C939F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9F7"/>
    <w:pPr>
      <w:tabs>
        <w:tab w:val="center" w:pos="4680"/>
        <w:tab w:val="right" w:pos="9360"/>
      </w:tabs>
    </w:pPr>
    <w:rPr>
      <w:rFonts w:eastAsiaTheme="minorHAnsi"/>
      <w:lang w:eastAsia="en-US"/>
    </w:rPr>
  </w:style>
  <w:style w:type="character" w:customStyle="1" w:styleId="HeaderChar">
    <w:name w:val="Header Char"/>
    <w:basedOn w:val="DefaultParagraphFont"/>
    <w:link w:val="Header"/>
    <w:uiPriority w:val="99"/>
    <w:rsid w:val="00C939F7"/>
    <w:rPr>
      <w:rFonts w:eastAsiaTheme="minorHAnsi"/>
      <w:lang w:eastAsia="en-US"/>
    </w:rPr>
  </w:style>
  <w:style w:type="character" w:customStyle="1" w:styleId="fontstyle11">
    <w:name w:val="fontstyle11"/>
    <w:basedOn w:val="DefaultParagraphFont"/>
    <w:rsid w:val="00D25AB1"/>
    <w:rPr>
      <w:rFonts w:ascii="AdvOT65f8a23b.I+03" w:hAnsi="AdvOT65f8a23b.I+03" w:hint="default"/>
      <w:b w:val="0"/>
      <w:bCs w:val="0"/>
      <w:i w:val="0"/>
      <w:iCs w:val="0"/>
      <w:color w:val="000000"/>
      <w:sz w:val="20"/>
      <w:szCs w:val="20"/>
    </w:rPr>
  </w:style>
  <w:style w:type="character" w:customStyle="1" w:styleId="fontstyle31">
    <w:name w:val="fontstyle31"/>
    <w:basedOn w:val="DefaultParagraphFont"/>
    <w:rsid w:val="00D25AB1"/>
    <w:rPr>
      <w:rFonts w:ascii="AdvOT65f8a23b.I" w:hAnsi="AdvOT65f8a23b.I" w:hint="default"/>
      <w:b w:val="0"/>
      <w:bCs w:val="0"/>
      <w:i w:val="0"/>
      <w:iCs w:val="0"/>
      <w:color w:val="000000"/>
      <w:sz w:val="20"/>
      <w:szCs w:val="20"/>
    </w:rPr>
  </w:style>
  <w:style w:type="paragraph" w:styleId="Footer">
    <w:name w:val="footer"/>
    <w:basedOn w:val="Normal"/>
    <w:link w:val="FooterChar"/>
    <w:uiPriority w:val="99"/>
    <w:unhideWhenUsed/>
    <w:rsid w:val="00342DBE"/>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342DBE"/>
  </w:style>
  <w:style w:type="character" w:styleId="Hyperlink">
    <w:name w:val="Hyperlink"/>
    <w:basedOn w:val="DefaultParagraphFont"/>
    <w:uiPriority w:val="99"/>
    <w:unhideWhenUsed/>
    <w:rsid w:val="00FF2DBC"/>
    <w:rPr>
      <w:color w:val="0563C1" w:themeColor="hyperlink"/>
      <w:u w:val="single"/>
    </w:rPr>
  </w:style>
  <w:style w:type="paragraph" w:styleId="Revision">
    <w:name w:val="Revision"/>
    <w:hidden/>
    <w:uiPriority w:val="99"/>
    <w:semiHidden/>
    <w:rsid w:val="0049004F"/>
    <w:pPr>
      <w:spacing w:after="0" w:line="240" w:lineRule="auto"/>
    </w:pPr>
  </w:style>
  <w:style w:type="paragraph" w:styleId="ListParagraph">
    <w:name w:val="List Paragraph"/>
    <w:basedOn w:val="Normal"/>
    <w:uiPriority w:val="34"/>
    <w:qFormat/>
    <w:rsid w:val="00F11719"/>
    <w:pPr>
      <w:spacing w:after="160" w:line="259" w:lineRule="auto"/>
      <w:ind w:left="720"/>
      <w:contextualSpacing/>
    </w:pPr>
    <w:rPr>
      <w:rFonts w:eastAsiaTheme="minorEastAsia"/>
    </w:rPr>
  </w:style>
  <w:style w:type="character" w:customStyle="1" w:styleId="UnresolvedMention1">
    <w:name w:val="Unresolved Mention1"/>
    <w:basedOn w:val="DefaultParagraphFont"/>
    <w:uiPriority w:val="99"/>
    <w:semiHidden/>
    <w:unhideWhenUsed/>
    <w:rsid w:val="00CE13EF"/>
    <w:rPr>
      <w:color w:val="605E5C"/>
      <w:shd w:val="clear" w:color="auto" w:fill="E1DFDD"/>
    </w:rPr>
  </w:style>
  <w:style w:type="character" w:customStyle="1" w:styleId="UnresolvedMention2">
    <w:name w:val="Unresolved Mention2"/>
    <w:basedOn w:val="DefaultParagraphFont"/>
    <w:uiPriority w:val="99"/>
    <w:semiHidden/>
    <w:unhideWhenUsed/>
    <w:rsid w:val="00D66B36"/>
    <w:rPr>
      <w:color w:val="605E5C"/>
      <w:shd w:val="clear" w:color="auto" w:fill="E1DFDD"/>
    </w:rPr>
  </w:style>
  <w:style w:type="paragraph" w:styleId="NormalWeb">
    <w:name w:val="Normal (Web)"/>
    <w:basedOn w:val="Normal"/>
    <w:uiPriority w:val="99"/>
    <w:semiHidden/>
    <w:unhideWhenUsed/>
    <w:rsid w:val="007C5D39"/>
    <w:pPr>
      <w:spacing w:before="100" w:beforeAutospacing="1" w:after="100" w:afterAutospacing="1"/>
    </w:pPr>
  </w:style>
  <w:style w:type="character" w:styleId="Emphasis">
    <w:name w:val="Emphasis"/>
    <w:basedOn w:val="DefaultParagraphFont"/>
    <w:uiPriority w:val="20"/>
    <w:qFormat/>
    <w:rsid w:val="00813F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27236">
      <w:bodyDiv w:val="1"/>
      <w:marLeft w:val="0"/>
      <w:marRight w:val="0"/>
      <w:marTop w:val="0"/>
      <w:marBottom w:val="0"/>
      <w:divBdr>
        <w:top w:val="none" w:sz="0" w:space="0" w:color="auto"/>
        <w:left w:val="none" w:sz="0" w:space="0" w:color="auto"/>
        <w:bottom w:val="none" w:sz="0" w:space="0" w:color="auto"/>
        <w:right w:val="none" w:sz="0" w:space="0" w:color="auto"/>
      </w:divBdr>
      <w:divsChild>
        <w:div w:id="796723377">
          <w:marLeft w:val="0"/>
          <w:marRight w:val="0"/>
          <w:marTop w:val="0"/>
          <w:marBottom w:val="225"/>
          <w:divBdr>
            <w:top w:val="none" w:sz="0" w:space="0" w:color="auto"/>
            <w:left w:val="none" w:sz="0" w:space="0" w:color="auto"/>
            <w:bottom w:val="none" w:sz="0" w:space="0" w:color="auto"/>
            <w:right w:val="none" w:sz="0" w:space="0" w:color="auto"/>
          </w:divBdr>
        </w:div>
      </w:divsChild>
    </w:div>
    <w:div w:id="338243666">
      <w:bodyDiv w:val="1"/>
      <w:marLeft w:val="0"/>
      <w:marRight w:val="0"/>
      <w:marTop w:val="0"/>
      <w:marBottom w:val="0"/>
      <w:divBdr>
        <w:top w:val="none" w:sz="0" w:space="0" w:color="auto"/>
        <w:left w:val="none" w:sz="0" w:space="0" w:color="auto"/>
        <w:bottom w:val="none" w:sz="0" w:space="0" w:color="auto"/>
        <w:right w:val="none" w:sz="0" w:space="0" w:color="auto"/>
      </w:divBdr>
      <w:divsChild>
        <w:div w:id="1145390926">
          <w:marLeft w:val="0"/>
          <w:marRight w:val="0"/>
          <w:marTop w:val="0"/>
          <w:marBottom w:val="225"/>
          <w:divBdr>
            <w:top w:val="none" w:sz="0" w:space="0" w:color="auto"/>
            <w:left w:val="none" w:sz="0" w:space="0" w:color="auto"/>
            <w:bottom w:val="none" w:sz="0" w:space="0" w:color="auto"/>
            <w:right w:val="none" w:sz="0" w:space="0" w:color="auto"/>
          </w:divBdr>
        </w:div>
      </w:divsChild>
    </w:div>
    <w:div w:id="442262459">
      <w:bodyDiv w:val="1"/>
      <w:marLeft w:val="0"/>
      <w:marRight w:val="0"/>
      <w:marTop w:val="0"/>
      <w:marBottom w:val="0"/>
      <w:divBdr>
        <w:top w:val="none" w:sz="0" w:space="0" w:color="auto"/>
        <w:left w:val="none" w:sz="0" w:space="0" w:color="auto"/>
        <w:bottom w:val="none" w:sz="0" w:space="0" w:color="auto"/>
        <w:right w:val="none" w:sz="0" w:space="0" w:color="auto"/>
      </w:divBdr>
    </w:div>
    <w:div w:id="556012827">
      <w:bodyDiv w:val="1"/>
      <w:marLeft w:val="0"/>
      <w:marRight w:val="0"/>
      <w:marTop w:val="0"/>
      <w:marBottom w:val="0"/>
      <w:divBdr>
        <w:top w:val="none" w:sz="0" w:space="0" w:color="auto"/>
        <w:left w:val="none" w:sz="0" w:space="0" w:color="auto"/>
        <w:bottom w:val="none" w:sz="0" w:space="0" w:color="auto"/>
        <w:right w:val="none" w:sz="0" w:space="0" w:color="auto"/>
      </w:divBdr>
      <w:divsChild>
        <w:div w:id="1143158578">
          <w:marLeft w:val="0"/>
          <w:marRight w:val="0"/>
          <w:marTop w:val="0"/>
          <w:marBottom w:val="225"/>
          <w:divBdr>
            <w:top w:val="none" w:sz="0" w:space="0" w:color="auto"/>
            <w:left w:val="none" w:sz="0" w:space="0" w:color="auto"/>
            <w:bottom w:val="none" w:sz="0" w:space="0" w:color="auto"/>
            <w:right w:val="none" w:sz="0" w:space="0" w:color="auto"/>
          </w:divBdr>
        </w:div>
      </w:divsChild>
    </w:div>
    <w:div w:id="630404453">
      <w:bodyDiv w:val="1"/>
      <w:marLeft w:val="0"/>
      <w:marRight w:val="0"/>
      <w:marTop w:val="0"/>
      <w:marBottom w:val="0"/>
      <w:divBdr>
        <w:top w:val="none" w:sz="0" w:space="0" w:color="auto"/>
        <w:left w:val="none" w:sz="0" w:space="0" w:color="auto"/>
        <w:bottom w:val="none" w:sz="0" w:space="0" w:color="auto"/>
        <w:right w:val="none" w:sz="0" w:space="0" w:color="auto"/>
      </w:divBdr>
      <w:divsChild>
        <w:div w:id="1177118671">
          <w:marLeft w:val="0"/>
          <w:marRight w:val="0"/>
          <w:marTop w:val="0"/>
          <w:marBottom w:val="225"/>
          <w:divBdr>
            <w:top w:val="none" w:sz="0" w:space="0" w:color="auto"/>
            <w:left w:val="none" w:sz="0" w:space="0" w:color="auto"/>
            <w:bottom w:val="none" w:sz="0" w:space="0" w:color="auto"/>
            <w:right w:val="none" w:sz="0" w:space="0" w:color="auto"/>
          </w:divBdr>
        </w:div>
      </w:divsChild>
    </w:div>
    <w:div w:id="662508749">
      <w:bodyDiv w:val="1"/>
      <w:marLeft w:val="0"/>
      <w:marRight w:val="0"/>
      <w:marTop w:val="0"/>
      <w:marBottom w:val="0"/>
      <w:divBdr>
        <w:top w:val="none" w:sz="0" w:space="0" w:color="auto"/>
        <w:left w:val="none" w:sz="0" w:space="0" w:color="auto"/>
        <w:bottom w:val="none" w:sz="0" w:space="0" w:color="auto"/>
        <w:right w:val="none" w:sz="0" w:space="0" w:color="auto"/>
      </w:divBdr>
      <w:divsChild>
        <w:div w:id="1145196567">
          <w:marLeft w:val="0"/>
          <w:marRight w:val="0"/>
          <w:marTop w:val="0"/>
          <w:marBottom w:val="225"/>
          <w:divBdr>
            <w:top w:val="none" w:sz="0" w:space="0" w:color="auto"/>
            <w:left w:val="none" w:sz="0" w:space="0" w:color="auto"/>
            <w:bottom w:val="none" w:sz="0" w:space="0" w:color="auto"/>
            <w:right w:val="none" w:sz="0" w:space="0" w:color="auto"/>
          </w:divBdr>
        </w:div>
      </w:divsChild>
    </w:div>
    <w:div w:id="713965089">
      <w:bodyDiv w:val="1"/>
      <w:marLeft w:val="0"/>
      <w:marRight w:val="0"/>
      <w:marTop w:val="0"/>
      <w:marBottom w:val="0"/>
      <w:divBdr>
        <w:top w:val="none" w:sz="0" w:space="0" w:color="auto"/>
        <w:left w:val="none" w:sz="0" w:space="0" w:color="auto"/>
        <w:bottom w:val="none" w:sz="0" w:space="0" w:color="auto"/>
        <w:right w:val="none" w:sz="0" w:space="0" w:color="auto"/>
      </w:divBdr>
      <w:divsChild>
        <w:div w:id="551816768">
          <w:marLeft w:val="0"/>
          <w:marRight w:val="0"/>
          <w:marTop w:val="0"/>
          <w:marBottom w:val="0"/>
          <w:divBdr>
            <w:top w:val="none" w:sz="0" w:space="0" w:color="auto"/>
            <w:left w:val="none" w:sz="0" w:space="0" w:color="auto"/>
            <w:bottom w:val="none" w:sz="0" w:space="0" w:color="auto"/>
            <w:right w:val="none" w:sz="0" w:space="0" w:color="auto"/>
          </w:divBdr>
          <w:divsChild>
            <w:div w:id="980957936">
              <w:marLeft w:val="0"/>
              <w:marRight w:val="0"/>
              <w:marTop w:val="0"/>
              <w:marBottom w:val="0"/>
              <w:divBdr>
                <w:top w:val="none" w:sz="0" w:space="0" w:color="auto"/>
                <w:left w:val="none" w:sz="0" w:space="0" w:color="auto"/>
                <w:bottom w:val="none" w:sz="0" w:space="0" w:color="auto"/>
                <w:right w:val="none" w:sz="0" w:space="0" w:color="auto"/>
              </w:divBdr>
              <w:divsChild>
                <w:div w:id="12786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41426">
      <w:bodyDiv w:val="1"/>
      <w:marLeft w:val="0"/>
      <w:marRight w:val="0"/>
      <w:marTop w:val="0"/>
      <w:marBottom w:val="0"/>
      <w:divBdr>
        <w:top w:val="none" w:sz="0" w:space="0" w:color="auto"/>
        <w:left w:val="none" w:sz="0" w:space="0" w:color="auto"/>
        <w:bottom w:val="none" w:sz="0" w:space="0" w:color="auto"/>
        <w:right w:val="none" w:sz="0" w:space="0" w:color="auto"/>
      </w:divBdr>
    </w:div>
    <w:div w:id="775831196">
      <w:bodyDiv w:val="1"/>
      <w:marLeft w:val="0"/>
      <w:marRight w:val="0"/>
      <w:marTop w:val="0"/>
      <w:marBottom w:val="0"/>
      <w:divBdr>
        <w:top w:val="none" w:sz="0" w:space="0" w:color="auto"/>
        <w:left w:val="none" w:sz="0" w:space="0" w:color="auto"/>
        <w:bottom w:val="none" w:sz="0" w:space="0" w:color="auto"/>
        <w:right w:val="none" w:sz="0" w:space="0" w:color="auto"/>
      </w:divBdr>
    </w:div>
    <w:div w:id="1597787986">
      <w:bodyDiv w:val="1"/>
      <w:marLeft w:val="0"/>
      <w:marRight w:val="0"/>
      <w:marTop w:val="0"/>
      <w:marBottom w:val="0"/>
      <w:divBdr>
        <w:top w:val="none" w:sz="0" w:space="0" w:color="auto"/>
        <w:left w:val="none" w:sz="0" w:space="0" w:color="auto"/>
        <w:bottom w:val="none" w:sz="0" w:space="0" w:color="auto"/>
        <w:right w:val="none" w:sz="0" w:space="0" w:color="auto"/>
      </w:divBdr>
      <w:divsChild>
        <w:div w:id="1960642583">
          <w:marLeft w:val="0"/>
          <w:marRight w:val="0"/>
          <w:marTop w:val="0"/>
          <w:marBottom w:val="225"/>
          <w:divBdr>
            <w:top w:val="none" w:sz="0" w:space="0" w:color="auto"/>
            <w:left w:val="none" w:sz="0" w:space="0" w:color="auto"/>
            <w:bottom w:val="none" w:sz="0" w:space="0" w:color="auto"/>
            <w:right w:val="none" w:sz="0" w:space="0" w:color="auto"/>
          </w:divBdr>
        </w:div>
      </w:divsChild>
    </w:div>
    <w:div w:id="1652323454">
      <w:bodyDiv w:val="1"/>
      <w:marLeft w:val="0"/>
      <w:marRight w:val="0"/>
      <w:marTop w:val="0"/>
      <w:marBottom w:val="0"/>
      <w:divBdr>
        <w:top w:val="none" w:sz="0" w:space="0" w:color="auto"/>
        <w:left w:val="none" w:sz="0" w:space="0" w:color="auto"/>
        <w:bottom w:val="none" w:sz="0" w:space="0" w:color="auto"/>
        <w:right w:val="none" w:sz="0" w:space="0" w:color="auto"/>
      </w:divBdr>
    </w:div>
    <w:div w:id="1754887019">
      <w:bodyDiv w:val="1"/>
      <w:marLeft w:val="0"/>
      <w:marRight w:val="0"/>
      <w:marTop w:val="0"/>
      <w:marBottom w:val="0"/>
      <w:divBdr>
        <w:top w:val="none" w:sz="0" w:space="0" w:color="auto"/>
        <w:left w:val="none" w:sz="0" w:space="0" w:color="auto"/>
        <w:bottom w:val="none" w:sz="0" w:space="0" w:color="auto"/>
        <w:right w:val="none" w:sz="0" w:space="0" w:color="auto"/>
      </w:divBdr>
      <w:divsChild>
        <w:div w:id="502279280">
          <w:marLeft w:val="0"/>
          <w:marRight w:val="0"/>
          <w:marTop w:val="0"/>
          <w:marBottom w:val="225"/>
          <w:divBdr>
            <w:top w:val="none" w:sz="0" w:space="0" w:color="auto"/>
            <w:left w:val="none" w:sz="0" w:space="0" w:color="auto"/>
            <w:bottom w:val="none" w:sz="0" w:space="0" w:color="auto"/>
            <w:right w:val="none" w:sz="0" w:space="0" w:color="auto"/>
          </w:divBdr>
        </w:div>
      </w:divsChild>
    </w:div>
    <w:div w:id="2013288357">
      <w:bodyDiv w:val="1"/>
      <w:marLeft w:val="0"/>
      <w:marRight w:val="0"/>
      <w:marTop w:val="0"/>
      <w:marBottom w:val="0"/>
      <w:divBdr>
        <w:top w:val="none" w:sz="0" w:space="0" w:color="auto"/>
        <w:left w:val="none" w:sz="0" w:space="0" w:color="auto"/>
        <w:bottom w:val="none" w:sz="0" w:space="0" w:color="auto"/>
        <w:right w:val="none" w:sz="0" w:space="0" w:color="auto"/>
      </w:divBdr>
      <w:divsChild>
        <w:div w:id="85160663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Phd\Write%20up\Leadership\AI,%20PC%20fulfillment,%20Commitment,%20trust\dataset\2-way_with_all_options_AI,%20tru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9771250735993"/>
          <c:y val="7.9307201458524434E-2"/>
          <c:w val="0.65267901506658876"/>
          <c:h val="0.77666362807657996"/>
        </c:manualLayout>
      </c:layout>
      <c:lineChart>
        <c:grouping val="standard"/>
        <c:varyColors val="0"/>
        <c:ser>
          <c:idx val="0"/>
          <c:order val="0"/>
          <c:tx>
            <c:strRef>
              <c:f>'2 way interactions'!$B$47</c:f>
              <c:strCache>
                <c:ptCount val="1"/>
                <c:pt idx="0">
                  <c:v>Low AI adoption</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cat>
            <c:strRef>
              <c:f>'2 way interactions'!$C$46:$D$46</c:f>
              <c:strCache>
                <c:ptCount val="2"/>
                <c:pt idx="0">
                  <c:v>Low psychological contract</c:v>
                </c:pt>
                <c:pt idx="1">
                  <c:v>High psychological contract</c:v>
                </c:pt>
              </c:strCache>
            </c:strRef>
          </c:cat>
          <c:val>
            <c:numRef>
              <c:f>'2 way interactions'!$C$47:$D$47</c:f>
              <c:numCache>
                <c:formatCode>General</c:formatCode>
                <c:ptCount val="2"/>
                <c:pt idx="0">
                  <c:v>2.09</c:v>
                </c:pt>
                <c:pt idx="1">
                  <c:v>3.17</c:v>
                </c:pt>
              </c:numCache>
            </c:numRef>
          </c:val>
          <c:smooth val="0"/>
          <c:extLst>
            <c:ext xmlns:c16="http://schemas.microsoft.com/office/drawing/2014/chart" uri="{C3380CC4-5D6E-409C-BE32-E72D297353CC}">
              <c16:uniqueId val="{00000000-E313-41E5-9C9C-4D5C73275FB6}"/>
            </c:ext>
          </c:extLst>
        </c:ser>
        <c:ser>
          <c:idx val="1"/>
          <c:order val="1"/>
          <c:tx>
            <c:strRef>
              <c:f>'2 way interactions'!$B$48</c:f>
              <c:strCache>
                <c:ptCount val="1"/>
                <c:pt idx="0">
                  <c:v>High AI adoption</c:v>
                </c:pt>
              </c:strCache>
            </c:strRef>
          </c:tx>
          <c:spPr>
            <a:ln w="12700">
              <a:solidFill>
                <a:srgbClr val="000000"/>
              </a:solidFill>
              <a:prstDash val="sysDash"/>
            </a:ln>
          </c:spPr>
          <c:marker>
            <c:symbol val="square"/>
            <c:size val="5"/>
            <c:spPr>
              <a:solidFill>
                <a:srgbClr val="000000"/>
              </a:solidFill>
              <a:ln>
                <a:solidFill>
                  <a:srgbClr val="000000"/>
                </a:solidFill>
                <a:prstDash val="solid"/>
              </a:ln>
            </c:spPr>
          </c:marker>
          <c:cat>
            <c:strRef>
              <c:f>'2 way interactions'!$C$46:$D$46</c:f>
              <c:strCache>
                <c:ptCount val="2"/>
                <c:pt idx="0">
                  <c:v>Low psychological contract</c:v>
                </c:pt>
                <c:pt idx="1">
                  <c:v>High psychological contract</c:v>
                </c:pt>
              </c:strCache>
            </c:strRef>
          </c:cat>
          <c:val>
            <c:numRef>
              <c:f>'2 way interactions'!$C$48:$D$48</c:f>
              <c:numCache>
                <c:formatCode>General</c:formatCode>
                <c:ptCount val="2"/>
                <c:pt idx="0">
                  <c:v>3.23</c:v>
                </c:pt>
                <c:pt idx="1">
                  <c:v>3.51</c:v>
                </c:pt>
              </c:numCache>
            </c:numRef>
          </c:val>
          <c:smooth val="0"/>
          <c:extLst>
            <c:ext xmlns:c16="http://schemas.microsoft.com/office/drawing/2014/chart" uri="{C3380CC4-5D6E-409C-BE32-E72D297353CC}">
              <c16:uniqueId val="{00000001-E313-41E5-9C9C-4D5C73275FB6}"/>
            </c:ext>
          </c:extLst>
        </c:ser>
        <c:dLbls>
          <c:showLegendKey val="0"/>
          <c:showVal val="0"/>
          <c:showCatName val="0"/>
          <c:showSerName val="0"/>
          <c:showPercent val="0"/>
          <c:showBubbleSize val="0"/>
        </c:dLbls>
        <c:marker val="1"/>
        <c:smooth val="0"/>
        <c:axId val="60566144"/>
        <c:axId val="60572800"/>
      </c:lineChart>
      <c:catAx>
        <c:axId val="605661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lang="en-US" sz="1150" b="1" i="0" u="none" strike="noStrike" baseline="0">
                <a:solidFill>
                  <a:srgbClr val="000000"/>
                </a:solidFill>
                <a:latin typeface="Times New Roman"/>
                <a:ea typeface="Times New Roman"/>
                <a:cs typeface="Times New Roman"/>
              </a:defRPr>
            </a:pPr>
            <a:endParaRPr lang="en-US"/>
          </a:p>
        </c:txPr>
        <c:crossAx val="60572800"/>
        <c:crosses val="autoZero"/>
        <c:auto val="1"/>
        <c:lblAlgn val="ctr"/>
        <c:lblOffset val="100"/>
        <c:tickLblSkip val="1"/>
        <c:tickMarkSkip val="1"/>
        <c:noMultiLvlLbl val="0"/>
      </c:catAx>
      <c:valAx>
        <c:axId val="60572800"/>
        <c:scaling>
          <c:orientation val="minMax"/>
          <c:max val="8"/>
          <c:min val="0"/>
        </c:scaling>
        <c:delete val="0"/>
        <c:axPos val="l"/>
        <c:title>
          <c:tx>
            <c:rich>
              <a:bodyPr/>
              <a:lstStyle/>
              <a:p>
                <a:pPr>
                  <a:defRPr lang="en-US" sz="1200" b="1" i="0" u="none" strike="noStrike" baseline="0">
                    <a:solidFill>
                      <a:srgbClr val="000000"/>
                    </a:solidFill>
                    <a:latin typeface="Times New Roman" pitchFamily="18" charset="0"/>
                    <a:ea typeface="Times New Roman"/>
                    <a:cs typeface="Times New Roman" pitchFamily="18" charset="0"/>
                  </a:defRPr>
                </a:pPr>
                <a:r>
                  <a:rPr lang="en-US" sz="1400" b="1" i="0" u="none" strike="noStrike" baseline="0">
                    <a:effectLst/>
                  </a:rPr>
                  <a:t>Trust</a:t>
                </a:r>
                <a:endParaRPr lang="en-US" sz="1400" b="1">
                  <a:effectLst/>
                  <a:latin typeface="Times New Roman" pitchFamily="18" charset="0"/>
                  <a:cs typeface="Times New Roman" pitchFamily="18" charset="0"/>
                </a:endParaRPr>
              </a:p>
            </c:rich>
          </c:tx>
          <c:layout>
            <c:manualLayout>
              <c:xMode val="edge"/>
              <c:yMode val="edge"/>
              <c:x val="4.6416271136840437E-2"/>
              <c:y val="0.3379237940085112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US" sz="1175" b="0" i="0" u="none" strike="noStrike" baseline="0">
                <a:solidFill>
                  <a:srgbClr val="000000"/>
                </a:solidFill>
                <a:latin typeface="Times New Roman"/>
                <a:ea typeface="Times New Roman"/>
                <a:cs typeface="Times New Roman"/>
              </a:defRPr>
            </a:pPr>
            <a:endParaRPr lang="en-US"/>
          </a:p>
        </c:txPr>
        <c:crossAx val="60566144"/>
        <c:crosses val="autoZero"/>
        <c:crossBetween val="between"/>
      </c:valAx>
      <c:spPr>
        <a:solidFill>
          <a:srgbClr val="FFFFFF"/>
        </a:solidFill>
        <a:ln w="25400">
          <a:noFill/>
        </a:ln>
      </c:spPr>
    </c:plotArea>
    <c:legend>
      <c:legendPos val="r"/>
      <c:layout>
        <c:manualLayout>
          <c:xMode val="edge"/>
          <c:yMode val="edge"/>
          <c:x val="0.61435119390563986"/>
          <c:y val="0.31839339048136228"/>
          <c:w val="0.37249965705506338"/>
          <c:h val="0.38149334781428462"/>
        </c:manualLayout>
      </c:layout>
      <c:overlay val="0"/>
      <c:spPr>
        <a:noFill/>
        <a:ln w="25400">
          <a:noFill/>
        </a:ln>
      </c:spPr>
      <c:txPr>
        <a:bodyPr/>
        <a:lstStyle/>
        <a:p>
          <a:pPr>
            <a:defRPr lang="en-US" sz="1200"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9525">
      <a:noFill/>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D46D47B-3EFF-40F3-9689-37BFC149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33</Pages>
  <Words>31740</Words>
  <Characters>197424</Characters>
  <Application>Microsoft Office Word</Application>
  <DocSecurity>0</DocSecurity>
  <Lines>4029</Lines>
  <Paragraphs>1602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Farrukh</dc:creator>
  <cp:keywords/>
  <dc:description/>
  <cp:lastModifiedBy>Abhishek Behl</cp:lastModifiedBy>
  <cp:revision>57</cp:revision>
  <dcterms:created xsi:type="dcterms:W3CDTF">2024-07-16T09:03:00Z</dcterms:created>
  <dcterms:modified xsi:type="dcterms:W3CDTF">2024-11-26T16:26:00Z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http://www.zotero.org/styles/journal-of-managerial-psychology</vt:lpwstr>
  </property>
  <property fmtid="{D5CDD505-2E9C-101B-9397-08002B2CF9AE}" pid="19" name="Mendeley Recent Style Name 8_1">
    <vt:lpwstr>Journal of Managerial Psychology</vt:lpwstr>
  </property>
  <property fmtid="{D5CDD505-2E9C-101B-9397-08002B2CF9AE}" pid="20" name="Mendeley Recent Style Id 9_1">
    <vt:lpwstr>http://www.zotero.org/styles/taylor-and-francis-harvard-x</vt:lpwstr>
  </property>
  <property fmtid="{D5CDD505-2E9C-101B-9397-08002B2CF9AE}" pid="21" name="Mendeley Recent Style Name 9_1">
    <vt:lpwstr>Taylor &amp; Francis - Harvard X</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4610bd9f-e673-3b5a-9cd2-0e4426d56a26</vt:lpwstr>
  </property>
  <property fmtid="{D5CDD505-2E9C-101B-9397-08002B2CF9AE}" pid="25" name="GrammarlyDocumentId">
    <vt:lpwstr>6d7143265211893ad7ab1805a92fcba61f65fa7bd53916747658b26f92ab9b74</vt:lpwstr>
  </property>
</Properties>
</file>